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F01" w:rsidRPr="00A617F9" w:rsidRDefault="00882F01" w:rsidP="00882F01">
      <w:pPr>
        <w:jc w:val="center"/>
        <w:textAlignment w:val="baseline"/>
        <w:rPr>
          <w:rFonts w:ascii="Courier New" w:hAnsi="Courier New"/>
          <w:sz w:val="20"/>
        </w:rPr>
      </w:pPr>
      <w:r>
        <w:rPr>
          <w:rFonts w:ascii="Courier New" w:hAnsi="Courier New"/>
          <w:sz w:val="20"/>
        </w:rPr>
        <w:t>1. ------IND- 2018 0275 DK- RO- ------ 20180622 --- --- PRO</w:t>
      </w:r>
      <w:r w:rsidR="00556C55">
        <w:rPr>
          <w:rFonts w:ascii="Courier New" w:hAnsi="Courier New"/>
          <w:sz w:val="20"/>
        </w:rPr>
        <w:t>JE</w:t>
      </w:r>
      <w:r>
        <w:rPr>
          <w:rFonts w:ascii="Courier New" w:hAnsi="Courier New"/>
          <w:sz w:val="20"/>
        </w:rPr>
        <w:t>T</w:t>
      </w:r>
    </w:p>
    <w:p w:rsidR="0005581E" w:rsidRPr="001C6F96" w:rsidRDefault="0005581E" w:rsidP="00882F01">
      <w:pPr>
        <w:pStyle w:val="titel2"/>
        <w:rPr>
          <w:sz w:val="28"/>
          <w:szCs w:val="28"/>
        </w:rPr>
      </w:pPr>
      <w:r>
        <w:rPr>
          <w:sz w:val="28"/>
          <w:szCs w:val="28"/>
        </w:rPr>
        <w:t xml:space="preserve">Ordin privind prevenirea și gestionarea introducerii și răspândirii speciilor alogene invazive de pe lista UE și privind o listă națională a interdicțiilor comerciale etc. împotriva speciilor invazive. </w:t>
      </w:r>
    </w:p>
    <w:p w:rsidR="0005581E" w:rsidRPr="001C6F96" w:rsidRDefault="0005581E" w:rsidP="00882F01">
      <w:pPr>
        <w:pStyle w:val="indledning2"/>
        <w:rPr>
          <w:sz w:val="17"/>
          <w:szCs w:val="17"/>
        </w:rPr>
      </w:pPr>
      <w:r>
        <w:rPr>
          <w:sz w:val="17"/>
          <w:szCs w:val="17"/>
        </w:rPr>
        <w:t>În conformitate cu articolul 31 a alineatele (1), (2) și (2), cu articolul 70 alineatele (1) și (2), cu articolul 73 alineatul (1), cu articolului 89 alineatul (3) și cu articolul 90 alineatul (3), din Legea privind protecția mediului, a se vedea Legea consolidată nr. 934 din 27 iunie 2017, astfel cum a fost modificată ultima oară prin Legea nr. 1554 din 12 decembrie 2017, se stabilesc următoarele:</w:t>
      </w:r>
    </w:p>
    <w:p w:rsidR="0005581E" w:rsidRPr="001C6F96" w:rsidRDefault="0005581E" w:rsidP="00F60BE3">
      <w:pPr>
        <w:pStyle w:val="kapitel"/>
        <w:keepNext/>
        <w:keepLines/>
        <w:rPr>
          <w:sz w:val="17"/>
          <w:szCs w:val="17"/>
        </w:rPr>
      </w:pPr>
      <w:r>
        <w:rPr>
          <w:sz w:val="17"/>
          <w:szCs w:val="17"/>
        </w:rPr>
        <w:t xml:space="preserve">Capitolul 1 </w:t>
      </w:r>
    </w:p>
    <w:p w:rsidR="0005581E" w:rsidRPr="001C6F96" w:rsidRDefault="0005581E" w:rsidP="00F60BE3">
      <w:pPr>
        <w:pStyle w:val="kapitel"/>
        <w:keepNext/>
        <w:keepLines/>
        <w:rPr>
          <w:i/>
          <w:sz w:val="17"/>
          <w:szCs w:val="17"/>
        </w:rPr>
      </w:pPr>
      <w:r>
        <w:rPr>
          <w:i/>
          <w:sz w:val="17"/>
          <w:szCs w:val="17"/>
        </w:rPr>
        <w:t>Domeniu de aplicare</w:t>
      </w:r>
    </w:p>
    <w:p w:rsidR="00F31E30" w:rsidRPr="001C6F96" w:rsidRDefault="0005581E" w:rsidP="00F60BE3">
      <w:pPr>
        <w:pStyle w:val="paragraf"/>
        <w:keepNext/>
        <w:keepLines/>
        <w:rPr>
          <w:rStyle w:val="paragrafnr1"/>
          <w:b w:val="0"/>
          <w:sz w:val="17"/>
          <w:szCs w:val="17"/>
        </w:rPr>
      </w:pPr>
      <w:r>
        <w:rPr>
          <w:rStyle w:val="paragrafnr1"/>
          <w:sz w:val="17"/>
          <w:szCs w:val="17"/>
        </w:rPr>
        <w:t xml:space="preserve">Articolul 1 </w:t>
      </w:r>
      <w:r>
        <w:rPr>
          <w:rStyle w:val="paragrafnr1"/>
          <w:b w:val="0"/>
          <w:sz w:val="17"/>
          <w:szCs w:val="17"/>
        </w:rPr>
        <w:t>Acest ordin se aplică:</w:t>
      </w:r>
    </w:p>
    <w:p w:rsidR="00F31E30" w:rsidRPr="001C6F96" w:rsidRDefault="00F31E30" w:rsidP="00882F01">
      <w:pPr>
        <w:pStyle w:val="paragraf"/>
        <w:numPr>
          <w:ilvl w:val="0"/>
          <w:numId w:val="3"/>
        </w:numPr>
        <w:rPr>
          <w:bCs/>
          <w:sz w:val="17"/>
          <w:szCs w:val="17"/>
        </w:rPr>
      </w:pPr>
      <w:r>
        <w:rPr>
          <w:bCs/>
          <w:sz w:val="17"/>
          <w:szCs w:val="17"/>
        </w:rPr>
        <w:t xml:space="preserve">speciilor alogene invazive de pe lista actuală a speciilor invazive de interes pentru UE, astfel cum este prevăzut în anexa 1 la actualul Regulament (UE) 2016/1141 al Comisiei din 13 iulie 2016 de adoptare a unei liste a speciilor alogene invazive de interes pentru Uniune în temeiul Regulamentului (UE) nr. 1143/2014 al Parlamentului European și al Consiliului (anexa 1); și </w:t>
      </w:r>
    </w:p>
    <w:p w:rsidR="0005581E" w:rsidRPr="00CF2F9E" w:rsidRDefault="0005581E" w:rsidP="00882F01">
      <w:pPr>
        <w:pStyle w:val="paragraf"/>
        <w:numPr>
          <w:ilvl w:val="0"/>
          <w:numId w:val="3"/>
        </w:numPr>
        <w:rPr>
          <w:bCs/>
          <w:sz w:val="17"/>
          <w:szCs w:val="17"/>
        </w:rPr>
      </w:pPr>
      <w:r>
        <w:rPr>
          <w:bCs/>
          <w:sz w:val="17"/>
          <w:szCs w:val="17"/>
        </w:rPr>
        <w:t xml:space="preserve">speciilor alogene invazive de interes pentru Danemarca, în conformitate cu anexa 4 (lista națională) la prezentul ordin. </w:t>
      </w:r>
    </w:p>
    <w:p w:rsidR="00A76581" w:rsidRPr="001C6F96" w:rsidRDefault="00A76581" w:rsidP="00882F01">
      <w:pPr>
        <w:pStyle w:val="paragraf"/>
        <w:ind w:left="600" w:firstLine="0"/>
        <w:rPr>
          <w:rStyle w:val="paragrafnr1"/>
          <w:b w:val="0"/>
          <w:sz w:val="17"/>
          <w:szCs w:val="17"/>
        </w:rPr>
      </w:pPr>
    </w:p>
    <w:p w:rsidR="0005581E" w:rsidRPr="001C6F96" w:rsidRDefault="0005581E" w:rsidP="00F60BE3">
      <w:pPr>
        <w:pStyle w:val="kapiteloverskrift2"/>
        <w:keepNext/>
        <w:keepLines/>
        <w:rPr>
          <w:sz w:val="17"/>
          <w:szCs w:val="17"/>
        </w:rPr>
      </w:pPr>
      <w:r>
        <w:rPr>
          <w:sz w:val="17"/>
          <w:szCs w:val="17"/>
        </w:rPr>
        <w:t>Definiții</w:t>
      </w:r>
    </w:p>
    <w:p w:rsidR="0005581E" w:rsidRPr="001C6F96" w:rsidRDefault="0005581E" w:rsidP="00882F01">
      <w:pPr>
        <w:pStyle w:val="paragraf"/>
        <w:rPr>
          <w:sz w:val="17"/>
          <w:szCs w:val="17"/>
        </w:rPr>
      </w:pPr>
      <w:r>
        <w:rPr>
          <w:rStyle w:val="paragrafnr1"/>
          <w:sz w:val="17"/>
          <w:szCs w:val="17"/>
        </w:rPr>
        <w:t>Articolul 2</w:t>
      </w:r>
      <w:r>
        <w:rPr>
          <w:sz w:val="17"/>
          <w:szCs w:val="17"/>
        </w:rPr>
        <w:t xml:space="preserve"> În prezentul ordin, regulament înseamnă Regulamentul (UE) nr. 1143/2014 al Parlamentului European și al Consiliului din 22 octombrie 2014 (anexa 1) și regulamentele aplicabile ale Comisiei în acest domeniu (anexele 2 și 3).</w:t>
      </w:r>
    </w:p>
    <w:p w:rsidR="003B4C53" w:rsidRDefault="003B4C53" w:rsidP="00882F01">
      <w:pPr>
        <w:pStyle w:val="stk2"/>
        <w:rPr>
          <w:rStyle w:val="stknr1"/>
          <w:sz w:val="17"/>
          <w:szCs w:val="17"/>
        </w:rPr>
      </w:pPr>
    </w:p>
    <w:p w:rsidR="0005581E" w:rsidRPr="001C6F96" w:rsidRDefault="0005581E" w:rsidP="00882F01">
      <w:pPr>
        <w:pStyle w:val="stk2"/>
        <w:rPr>
          <w:sz w:val="17"/>
          <w:szCs w:val="17"/>
        </w:rPr>
      </w:pPr>
      <w:r>
        <w:rPr>
          <w:rStyle w:val="stknr1"/>
          <w:sz w:val="17"/>
          <w:szCs w:val="17"/>
        </w:rPr>
        <w:t>Alineatul (2)</w:t>
      </w:r>
      <w:r>
        <w:rPr>
          <w:sz w:val="17"/>
          <w:szCs w:val="17"/>
        </w:rPr>
        <w:t xml:space="preserve"> Lista UE înseamnă lista speciilor invazive de interes pentru UE, astfel cum sunt prevăzute în anexa 1 la actualul Regulament (UE) 2016/1141 al Comisiei din 13 iulie 2016 de adoptare a unei liste a speciilor alogene invazive de interes pentru Uniune în temeiul Regulamentului (UE) nr. 1143/2014 al Parlamentului European și al Consiliului (anexa 2).</w:t>
      </w:r>
    </w:p>
    <w:p w:rsidR="003B4C53" w:rsidRDefault="003B4C53" w:rsidP="00882F01">
      <w:pPr>
        <w:pStyle w:val="stk2"/>
        <w:rPr>
          <w:rStyle w:val="stknr1"/>
          <w:sz w:val="17"/>
          <w:szCs w:val="17"/>
        </w:rPr>
      </w:pPr>
    </w:p>
    <w:p w:rsidR="0005581E" w:rsidRPr="001C6F96" w:rsidRDefault="0005581E" w:rsidP="00882F01">
      <w:pPr>
        <w:pStyle w:val="stk2"/>
        <w:rPr>
          <w:sz w:val="17"/>
          <w:szCs w:val="17"/>
        </w:rPr>
      </w:pPr>
      <w:r>
        <w:rPr>
          <w:rStyle w:val="stknr1"/>
          <w:sz w:val="17"/>
          <w:szCs w:val="17"/>
        </w:rPr>
        <w:t>Alineatul (3)</w:t>
      </w:r>
      <w:r>
        <w:rPr>
          <w:sz w:val="17"/>
          <w:szCs w:val="17"/>
        </w:rPr>
        <w:t xml:space="preserve"> Certificat înseamnă un document care servește drept dovadă a autorizației pentru anumite activități legate de speciile incluse pe lista UE, pe care Ministerul Mediului și Alimentației o eliberează în conformitate cu articolul 2 alineatul (2) din prezentul ordin și al cărui format este stabilit prin Regulamentul de punere în aplicare (UE) 2016/145 de adoptare a formatului documentului care servește drept dovadă a eliberării de către autoritățile competente ale statelor membre a autorizației care permite unităților să efectueze anumite activități legate de speciile alogene invazive de interes pentru Uniune, în conformitate cu Regulamentul (UE) nr. 1143/2014 al Parlamentului European și al Consiliului (anexa 3).</w:t>
      </w:r>
    </w:p>
    <w:p w:rsidR="006E23F7" w:rsidRPr="001C6F96" w:rsidRDefault="0005581E" w:rsidP="00F60BE3">
      <w:pPr>
        <w:pStyle w:val="kapitel"/>
        <w:keepNext/>
        <w:keepLines/>
        <w:rPr>
          <w:sz w:val="17"/>
          <w:szCs w:val="17"/>
        </w:rPr>
      </w:pPr>
      <w:r>
        <w:rPr>
          <w:sz w:val="17"/>
          <w:szCs w:val="17"/>
        </w:rPr>
        <w:t>Capitolul 2</w:t>
      </w:r>
    </w:p>
    <w:p w:rsidR="00C81BC9" w:rsidRPr="00CF2F9E" w:rsidRDefault="00C81BC9" w:rsidP="00F60BE3">
      <w:pPr>
        <w:keepNext/>
        <w:keepLines/>
        <w:spacing w:before="200" w:after="0" w:line="240" w:lineRule="auto"/>
        <w:ind w:firstLine="240"/>
        <w:jc w:val="center"/>
        <w:rPr>
          <w:rFonts w:ascii="Tahoma" w:eastAsia="Times New Roman" w:hAnsi="Tahoma" w:cs="Tahoma"/>
          <w:i/>
          <w:color w:val="000000"/>
          <w:sz w:val="17"/>
          <w:szCs w:val="17"/>
        </w:rPr>
      </w:pPr>
      <w:r>
        <w:rPr>
          <w:rFonts w:ascii="Tahoma" w:hAnsi="Tahoma"/>
          <w:i/>
          <w:color w:val="000000"/>
          <w:sz w:val="17"/>
          <w:szCs w:val="17"/>
        </w:rPr>
        <w:t>Lista națională</w:t>
      </w:r>
    </w:p>
    <w:p w:rsidR="0005581E" w:rsidRPr="00CF2F9E" w:rsidRDefault="0005581E" w:rsidP="00882F01">
      <w:pPr>
        <w:pStyle w:val="paragraf"/>
        <w:rPr>
          <w:sz w:val="17"/>
          <w:szCs w:val="17"/>
        </w:rPr>
      </w:pPr>
      <w:r>
        <w:rPr>
          <w:b/>
          <w:sz w:val="17"/>
          <w:szCs w:val="17"/>
        </w:rPr>
        <w:t>Articolul 3</w:t>
      </w:r>
      <w:r>
        <w:rPr>
          <w:sz w:val="17"/>
          <w:szCs w:val="17"/>
        </w:rPr>
        <w:t xml:space="preserve"> Restricțiile menționate la articolul 7 alineatul (1) literele (a)-(h) din regulament pot fi aplicate speciilor alogene invazive incluse în anexa 4 (lista națională). </w:t>
      </w:r>
    </w:p>
    <w:p w:rsidR="0005581E" w:rsidRPr="00CF2F9E" w:rsidRDefault="0005581E" w:rsidP="00882F01">
      <w:pPr>
        <w:pStyle w:val="paragraf"/>
        <w:rPr>
          <w:sz w:val="17"/>
          <w:szCs w:val="17"/>
        </w:rPr>
      </w:pPr>
      <w:r>
        <w:rPr>
          <w:i/>
          <w:sz w:val="17"/>
          <w:szCs w:val="17"/>
        </w:rPr>
        <w:t>Alineatul (2)</w:t>
      </w:r>
      <w:r>
        <w:rPr>
          <w:sz w:val="17"/>
          <w:szCs w:val="17"/>
        </w:rPr>
        <w:t xml:space="preserve"> Anexa 5 descrie care dintre restricțiile menționate la articolul 7 alineatul (1) literele (a)-(h) se aplică fiecărei specii din anexa 4 (lista națională).</w:t>
      </w:r>
    </w:p>
    <w:p w:rsidR="00875A6A" w:rsidRPr="00CF2F9E" w:rsidRDefault="001B4088" w:rsidP="00882F01">
      <w:pPr>
        <w:pStyle w:val="paragraf"/>
        <w:rPr>
          <w:sz w:val="17"/>
          <w:szCs w:val="17"/>
        </w:rPr>
      </w:pPr>
      <w:r>
        <w:rPr>
          <w:i/>
          <w:sz w:val="17"/>
          <w:szCs w:val="17"/>
        </w:rPr>
        <w:t>Alineatul (3)</w:t>
      </w:r>
      <w:r>
        <w:rPr>
          <w:sz w:val="17"/>
          <w:szCs w:val="17"/>
        </w:rPr>
        <w:t xml:space="preserve"> Soiurile sterile de specii invazive incluse în anexa 4 nu fac obiectul interdicției care se aplică speciilor invazive în cauză, în conformitate cu anexa 5.</w:t>
      </w:r>
    </w:p>
    <w:p w:rsidR="00712D1B" w:rsidRPr="00CF2F9E" w:rsidRDefault="00712D1B" w:rsidP="00882F01">
      <w:pPr>
        <w:pStyle w:val="Normal1"/>
        <w:ind w:firstLine="240"/>
        <w:rPr>
          <w:rFonts w:ascii="Tahoma" w:hAnsi="Tahoma" w:cs="Tahoma"/>
          <w:color w:val="000000"/>
          <w:sz w:val="17"/>
          <w:szCs w:val="17"/>
        </w:rPr>
      </w:pPr>
      <w:r>
        <w:rPr>
          <w:rFonts w:ascii="Tahoma" w:hAnsi="Tahoma"/>
          <w:b/>
          <w:color w:val="000000"/>
          <w:sz w:val="17"/>
          <w:szCs w:val="17"/>
        </w:rPr>
        <w:t xml:space="preserve">Articolul 4 </w:t>
      </w:r>
      <w:r>
        <w:rPr>
          <w:rFonts w:ascii="Tahoma" w:hAnsi="Tahoma"/>
          <w:color w:val="000000"/>
          <w:sz w:val="17"/>
          <w:szCs w:val="17"/>
        </w:rPr>
        <w:t xml:space="preserve">Speciile alogene invazive, care sunt incluse în Anexa 4 (lista națională) și care au fost păstrate ca animale de companie în momentul includerii speciilor alogene invazive în anexa 4 (lista națională), trebuie păstrate până la decesul animalului, cu condiția ca animalul să fie ținut într-un spațiu închis și să fi fost luate toate măsurile necesare pentru a se asigura faptul că reproducerea sau evadarea nu este posibilă. </w:t>
      </w:r>
    </w:p>
    <w:p w:rsidR="00E472C4" w:rsidRPr="001C6F96" w:rsidRDefault="0056752A" w:rsidP="00882F01">
      <w:pPr>
        <w:pStyle w:val="Normal1"/>
        <w:ind w:firstLine="240"/>
        <w:rPr>
          <w:rFonts w:ascii="Tahoma" w:hAnsi="Tahoma" w:cs="Tahoma"/>
          <w:color w:val="000000"/>
          <w:sz w:val="17"/>
          <w:szCs w:val="17"/>
        </w:rPr>
      </w:pPr>
      <w:r>
        <w:rPr>
          <w:rFonts w:ascii="Tahoma" w:hAnsi="Tahoma"/>
          <w:b/>
          <w:color w:val="000000"/>
          <w:sz w:val="17"/>
          <w:szCs w:val="17"/>
        </w:rPr>
        <w:t>Articolul 5</w:t>
      </w:r>
      <w:r>
        <w:rPr>
          <w:rFonts w:ascii="Tahoma" w:hAnsi="Tahoma"/>
          <w:color w:val="000000"/>
          <w:sz w:val="17"/>
          <w:szCs w:val="17"/>
        </w:rPr>
        <w:t xml:space="preserve"> Ministerul Mediului și Alimentației poate încheia acorduri cu instituții etc. în momentul primirii speciilor alogene invazive incluse în anexa 4 (lista națională) în cadrul eliminării treptate a speciilor și al păstrării animalelor până în momentul </w:t>
      </w:r>
      <w:r>
        <w:rPr>
          <w:rFonts w:ascii="Tahoma" w:hAnsi="Tahoma"/>
          <w:color w:val="000000"/>
          <w:sz w:val="17"/>
          <w:szCs w:val="17"/>
        </w:rPr>
        <w:lastRenderedPageBreak/>
        <w:t xml:space="preserve">decesului cu condiția să fie luate toate măsurile necesare pentru a se asigura faptul că reproducerea sau evadarea nu este posibilă. </w:t>
      </w:r>
    </w:p>
    <w:p w:rsidR="00F52A6F" w:rsidRPr="001C6F96" w:rsidRDefault="00F52A6F" w:rsidP="00F60BE3">
      <w:pPr>
        <w:pStyle w:val="kapitel"/>
        <w:keepNext/>
        <w:keepLines/>
        <w:rPr>
          <w:i/>
          <w:sz w:val="17"/>
          <w:szCs w:val="17"/>
        </w:rPr>
      </w:pPr>
      <w:r>
        <w:rPr>
          <w:sz w:val="17"/>
          <w:szCs w:val="17"/>
        </w:rPr>
        <w:t>Capitolul 3</w:t>
      </w:r>
    </w:p>
    <w:p w:rsidR="0005581E" w:rsidRPr="00CF2F9E" w:rsidRDefault="0005581E" w:rsidP="00882F01">
      <w:pPr>
        <w:pStyle w:val="kapiteloverskrift2"/>
        <w:rPr>
          <w:sz w:val="17"/>
          <w:szCs w:val="17"/>
        </w:rPr>
      </w:pPr>
      <w:r>
        <w:rPr>
          <w:sz w:val="17"/>
          <w:szCs w:val="17"/>
        </w:rPr>
        <w:t>Permisiunea pentru desfășurarea de activități cercetare și pentru conservarea ex-situ și utilizarea în scop medical a speciilor invazive aflate pe lista UE și lista națională</w:t>
      </w:r>
    </w:p>
    <w:p w:rsidR="0005581E" w:rsidRPr="00CF2F9E" w:rsidRDefault="0005581E" w:rsidP="00882F01">
      <w:pPr>
        <w:pStyle w:val="paragraf"/>
        <w:rPr>
          <w:sz w:val="17"/>
          <w:szCs w:val="17"/>
        </w:rPr>
      </w:pPr>
      <w:r>
        <w:rPr>
          <w:rStyle w:val="paragrafnr2"/>
          <w:sz w:val="17"/>
          <w:szCs w:val="17"/>
        </w:rPr>
        <w:t>Articolul 6</w:t>
      </w:r>
      <w:r>
        <w:rPr>
          <w:sz w:val="17"/>
          <w:szCs w:val="17"/>
        </w:rPr>
        <w:t xml:space="preserve"> Ministerul Mediului și Alimentației acordă autorizează desfășurarea activităților descrise la articolul 8 alineatul (1) privind speciile alogene invazive de pe lista UE și speciile alogene invazive incluse în anexa 4 (lista națională), atunci când sunt îndeplinite condițiile prevăzute la articolul 8 alineatele (2) și (3). Autorizația poate conține condițiile menite să asigure respectarea cerințelor prevăzute la articolul 8 alineatele (2) și (3) și la articolul 6 alineatul (3) din prezentul regulament.</w:t>
      </w:r>
    </w:p>
    <w:p w:rsidR="00175052" w:rsidRPr="001C6F96" w:rsidRDefault="00175052" w:rsidP="00882F01">
      <w:pPr>
        <w:pStyle w:val="paragraf"/>
        <w:rPr>
          <w:sz w:val="17"/>
          <w:szCs w:val="17"/>
        </w:rPr>
      </w:pPr>
      <w:r>
        <w:rPr>
          <w:i/>
          <w:sz w:val="17"/>
          <w:szCs w:val="17"/>
        </w:rPr>
        <w:t>Alineatul (2)</w:t>
      </w:r>
      <w:r>
        <w:rPr>
          <w:sz w:val="17"/>
          <w:szCs w:val="17"/>
        </w:rPr>
        <w:t xml:space="preserve"> În ceea ce privește speciile alogene invazive de pe lista UE, Ministerul Mediului și Alimentației poate autoriza desfășurarea activităților descrise la articolul 9 alineatul (1) din regulament. </w:t>
      </w:r>
    </w:p>
    <w:p w:rsidR="003B4C53" w:rsidRDefault="003B4C53" w:rsidP="00882F01">
      <w:pPr>
        <w:pStyle w:val="stk2"/>
        <w:rPr>
          <w:rStyle w:val="stknr1"/>
          <w:sz w:val="17"/>
          <w:szCs w:val="17"/>
        </w:rPr>
      </w:pPr>
    </w:p>
    <w:p w:rsidR="0005581E" w:rsidRPr="001C6F96" w:rsidRDefault="0005581E" w:rsidP="00882F01">
      <w:pPr>
        <w:pStyle w:val="stk2"/>
        <w:rPr>
          <w:sz w:val="17"/>
          <w:szCs w:val="17"/>
        </w:rPr>
      </w:pPr>
      <w:r>
        <w:rPr>
          <w:rStyle w:val="stknr1"/>
          <w:sz w:val="17"/>
          <w:szCs w:val="17"/>
        </w:rPr>
        <w:t>Alineatul (3)</w:t>
      </w:r>
      <w:r>
        <w:rPr>
          <w:sz w:val="17"/>
          <w:szCs w:val="17"/>
        </w:rPr>
        <w:t xml:space="preserve"> Activitățile care fac obiectul unei autorizații eliberate în conformitate cu alineatele (1) și (2) trebuie desfășurate de personal cu calificări corespunzătoare pentru a se deține, a manipula, a transporta etc. speciile incluse pe lista UE sau în anexa 4 (lista națională) în conformitate cu cerințele prevăzute la articolul 8 alineatele (2) și (3), inclusiv într-un mod care să garanteze faptul că speciile nu evadează și nu se răspândesc.</w:t>
      </w:r>
    </w:p>
    <w:p w:rsidR="003B4C53" w:rsidRDefault="003B4C53" w:rsidP="00882F01">
      <w:pPr>
        <w:pStyle w:val="stk2"/>
        <w:rPr>
          <w:rStyle w:val="stknr1"/>
          <w:sz w:val="17"/>
          <w:szCs w:val="17"/>
        </w:rPr>
      </w:pPr>
    </w:p>
    <w:p w:rsidR="0005581E" w:rsidRPr="001C6F96" w:rsidRDefault="0005581E" w:rsidP="00F60BE3">
      <w:pPr>
        <w:pStyle w:val="stk2"/>
        <w:keepNext/>
        <w:keepLines/>
        <w:rPr>
          <w:sz w:val="17"/>
          <w:szCs w:val="17"/>
        </w:rPr>
      </w:pPr>
      <w:r>
        <w:rPr>
          <w:rStyle w:val="stknr1"/>
          <w:sz w:val="17"/>
          <w:szCs w:val="17"/>
        </w:rPr>
        <w:t>Alineatul (4)</w:t>
      </w:r>
      <w:r>
        <w:rPr>
          <w:sz w:val="17"/>
          <w:szCs w:val="17"/>
        </w:rPr>
        <w:t xml:space="preserve"> Cererile de autorizație în conformitate cu alineatele (1) și (2) trebuie să conțină următoarele:</w:t>
      </w:r>
    </w:p>
    <w:p w:rsidR="0005581E" w:rsidRPr="001C6F96" w:rsidRDefault="0005581E" w:rsidP="00882F01">
      <w:pPr>
        <w:pStyle w:val="liste1"/>
        <w:rPr>
          <w:sz w:val="17"/>
          <w:szCs w:val="17"/>
        </w:rPr>
      </w:pPr>
      <w:r>
        <w:rPr>
          <w:sz w:val="17"/>
          <w:szCs w:val="17"/>
        </w:rPr>
        <w:t>1) informații privind întreprinderea sau grupul de întreprinderi care formulează cererea, inclusiv numele și adresa;</w:t>
      </w:r>
    </w:p>
    <w:p w:rsidR="0005581E" w:rsidRPr="001C6F96" w:rsidRDefault="0005581E" w:rsidP="00882F01">
      <w:pPr>
        <w:pStyle w:val="liste1"/>
        <w:rPr>
          <w:sz w:val="17"/>
          <w:szCs w:val="17"/>
        </w:rPr>
      </w:pPr>
      <w:r>
        <w:rPr>
          <w:sz w:val="17"/>
          <w:szCs w:val="17"/>
        </w:rPr>
        <w:t>2) denumirea științifică și, dacă este posibil, denumirea în limba daneză a speciilor care fac obiectul cererii;</w:t>
      </w:r>
    </w:p>
    <w:p w:rsidR="0005581E" w:rsidRPr="001C6F96" w:rsidRDefault="0005581E" w:rsidP="00882F01">
      <w:pPr>
        <w:pStyle w:val="liste1"/>
        <w:rPr>
          <w:sz w:val="17"/>
          <w:szCs w:val="17"/>
        </w:rPr>
      </w:pPr>
      <w:r>
        <w:rPr>
          <w:sz w:val="17"/>
          <w:szCs w:val="17"/>
        </w:rPr>
        <w:t>3) codurile din Nomenclatura combinată prevăzute în Regulamentul (CEE) nr. 2658/87;</w:t>
      </w:r>
    </w:p>
    <w:p w:rsidR="0005581E" w:rsidRPr="001C6F96" w:rsidRDefault="0005581E" w:rsidP="00882F01">
      <w:pPr>
        <w:pStyle w:val="liste1"/>
        <w:rPr>
          <w:sz w:val="17"/>
          <w:szCs w:val="17"/>
        </w:rPr>
      </w:pPr>
      <w:r>
        <w:rPr>
          <w:sz w:val="17"/>
          <w:szCs w:val="17"/>
        </w:rPr>
        <w:t>4) numărul sau valoarea specimenelor speciilor în cauză;</w:t>
      </w:r>
    </w:p>
    <w:p w:rsidR="0005581E" w:rsidRPr="001C6F96" w:rsidRDefault="0005581E" w:rsidP="00882F01">
      <w:pPr>
        <w:pStyle w:val="liste1"/>
        <w:rPr>
          <w:sz w:val="17"/>
          <w:szCs w:val="17"/>
        </w:rPr>
      </w:pPr>
      <w:r>
        <w:rPr>
          <w:sz w:val="17"/>
          <w:szCs w:val="17"/>
        </w:rPr>
        <w:t>5) scopul pentru care se solicită autorizația;</w:t>
      </w:r>
    </w:p>
    <w:p w:rsidR="0005581E" w:rsidRPr="001C6F96" w:rsidRDefault="0005581E" w:rsidP="00882F01">
      <w:pPr>
        <w:pStyle w:val="liste1"/>
        <w:rPr>
          <w:sz w:val="17"/>
          <w:szCs w:val="17"/>
        </w:rPr>
      </w:pPr>
      <w:r>
        <w:rPr>
          <w:sz w:val="17"/>
          <w:szCs w:val="17"/>
        </w:rPr>
        <w:t>6) o descriere detaliată a modului în care sunt îndeplinite cerințele prevăzute la articolul 8 alineatele (2) și (3), inclusiv măsurile avute în vedere pentru a se garanta faptul că evadarea sau răspândirea nu este posibilă din spațiile de depozitare închise în care trebuie păstrate și manipulate, precum și o descriere a măsurilor necesare pentru a asigura faptul că orice transport al speciilor, care poate fi necesar, se realizează în condiții care exclud posibilitatea ca specia să evadeze;</w:t>
      </w:r>
    </w:p>
    <w:p w:rsidR="0005581E" w:rsidRPr="001C6F96" w:rsidRDefault="0005581E" w:rsidP="00882F01">
      <w:pPr>
        <w:pStyle w:val="liste1"/>
        <w:rPr>
          <w:sz w:val="17"/>
          <w:szCs w:val="17"/>
        </w:rPr>
      </w:pPr>
      <w:r>
        <w:rPr>
          <w:sz w:val="17"/>
          <w:szCs w:val="17"/>
        </w:rPr>
        <w:t>7) o descriere a planului de monitorizare continuă planificată și a planului de urgență planificat acoperind orice evadare sau răspândire, inclusiv un plan de eradicare;</w:t>
      </w:r>
    </w:p>
    <w:p w:rsidR="0005581E" w:rsidRPr="001C6F96" w:rsidRDefault="0005581E" w:rsidP="00882F01">
      <w:pPr>
        <w:pStyle w:val="liste1"/>
        <w:rPr>
          <w:sz w:val="17"/>
          <w:szCs w:val="17"/>
        </w:rPr>
      </w:pPr>
      <w:r>
        <w:rPr>
          <w:sz w:val="17"/>
          <w:szCs w:val="17"/>
        </w:rPr>
        <w:t>8) o descriere a modului în care sunt îndeplinite cerințele de la articolul 6 alineatul (1) din prezentul ordin, inclusiv documentația privind calificarea personalului și modul de gestionare a înlocuirii personalului-cheie.</w:t>
      </w:r>
    </w:p>
    <w:p w:rsidR="0005581E" w:rsidRPr="001C6F96" w:rsidRDefault="0005581E" w:rsidP="00882F01">
      <w:pPr>
        <w:pStyle w:val="stk2"/>
        <w:rPr>
          <w:sz w:val="17"/>
          <w:szCs w:val="17"/>
        </w:rPr>
      </w:pPr>
      <w:r>
        <w:rPr>
          <w:rStyle w:val="stknr1"/>
          <w:sz w:val="17"/>
          <w:szCs w:val="17"/>
        </w:rPr>
        <w:t>Alineatul (5)</w:t>
      </w:r>
      <w:r>
        <w:rPr>
          <w:sz w:val="17"/>
          <w:szCs w:val="17"/>
        </w:rPr>
        <w:t xml:space="preserve"> În ceea ce privește cererile prevăzute la articolul 9 alineatul (1) din regulament, acestea trebuie să conțină și următoarele:</w:t>
      </w:r>
    </w:p>
    <w:p w:rsidR="0005581E" w:rsidRPr="001C6F96" w:rsidRDefault="0005581E" w:rsidP="00882F01">
      <w:pPr>
        <w:pStyle w:val="liste1"/>
        <w:rPr>
          <w:sz w:val="17"/>
          <w:szCs w:val="17"/>
        </w:rPr>
      </w:pPr>
      <w:r>
        <w:rPr>
          <w:sz w:val="17"/>
          <w:szCs w:val="17"/>
        </w:rPr>
        <w:t>1) o descriere a legislației naționale aplicabile întreprinderii care formulează cererea;</w:t>
      </w:r>
    </w:p>
    <w:p w:rsidR="0005581E" w:rsidRPr="001C6F96" w:rsidRDefault="0005581E" w:rsidP="00882F01">
      <w:pPr>
        <w:pStyle w:val="liste1"/>
        <w:rPr>
          <w:sz w:val="17"/>
          <w:szCs w:val="17"/>
        </w:rPr>
      </w:pPr>
      <w:r>
        <w:rPr>
          <w:sz w:val="17"/>
          <w:szCs w:val="17"/>
        </w:rPr>
        <w:t>2) o evaluare a riscului de evadare a speciilor pentru care se solicită autorizarea și o descriere a măsurilor de diminuare a riscurilor care urmează să fie instituite în acest caz.</w:t>
      </w:r>
    </w:p>
    <w:p w:rsidR="00CE0DB1" w:rsidRDefault="00CE0DB1" w:rsidP="00882F01">
      <w:pPr>
        <w:pStyle w:val="stk2"/>
        <w:rPr>
          <w:rStyle w:val="stknr1"/>
          <w:sz w:val="17"/>
          <w:szCs w:val="17"/>
        </w:rPr>
      </w:pPr>
    </w:p>
    <w:p w:rsidR="0005581E" w:rsidRPr="001C6F96" w:rsidRDefault="0005581E" w:rsidP="00882F01">
      <w:pPr>
        <w:pStyle w:val="stk2"/>
        <w:rPr>
          <w:sz w:val="17"/>
          <w:szCs w:val="17"/>
        </w:rPr>
      </w:pPr>
      <w:r>
        <w:rPr>
          <w:rStyle w:val="stknr1"/>
          <w:sz w:val="17"/>
          <w:szCs w:val="17"/>
        </w:rPr>
        <w:t>Alineatul (6)</w:t>
      </w:r>
      <w:r>
        <w:rPr>
          <w:sz w:val="17"/>
          <w:szCs w:val="17"/>
        </w:rPr>
        <w:t xml:space="preserve"> Ministerul Mediului și Alimentației poate, în orice moment, să retragă o autorizație acordată în conformitate cu alineatele (1) și (2), temporar sau permanent, în cazul în care au loc evenimente neprevăzute cu un impact negativ asupra biodiversității și a serviciilor ecosistemice conexe, sau în cazul în care Ministerul Mediului și Alimentației constată încălcarea condițiilor prevăzute în autorizațiile eliberate în conformitate cu alineatele (1) sau (2).</w:t>
      </w:r>
    </w:p>
    <w:p w:rsidR="0005581E" w:rsidRPr="001C6F96" w:rsidRDefault="0005581E" w:rsidP="00F60BE3">
      <w:pPr>
        <w:pStyle w:val="kapitel"/>
        <w:keepNext/>
        <w:keepLines/>
        <w:rPr>
          <w:sz w:val="17"/>
          <w:szCs w:val="17"/>
        </w:rPr>
      </w:pPr>
      <w:r>
        <w:rPr>
          <w:sz w:val="17"/>
          <w:szCs w:val="17"/>
        </w:rPr>
        <w:t xml:space="preserve">Capitolul 4 </w:t>
      </w:r>
    </w:p>
    <w:p w:rsidR="0005581E" w:rsidRPr="001C6F96" w:rsidRDefault="0005581E" w:rsidP="00F60BE3">
      <w:pPr>
        <w:pStyle w:val="kapiteloverskrift2"/>
        <w:keepNext/>
        <w:keepLines/>
        <w:rPr>
          <w:sz w:val="17"/>
          <w:szCs w:val="17"/>
        </w:rPr>
      </w:pPr>
      <w:r>
        <w:rPr>
          <w:sz w:val="17"/>
          <w:szCs w:val="17"/>
        </w:rPr>
        <w:t>Supravegherea, controlul și sancțiunile</w:t>
      </w:r>
    </w:p>
    <w:p w:rsidR="0005581E" w:rsidRPr="001C6F96" w:rsidRDefault="0005581E" w:rsidP="00882F01">
      <w:pPr>
        <w:pStyle w:val="paragraf"/>
        <w:rPr>
          <w:sz w:val="17"/>
          <w:szCs w:val="17"/>
        </w:rPr>
      </w:pPr>
      <w:r>
        <w:rPr>
          <w:rStyle w:val="paragrafnr3"/>
          <w:sz w:val="17"/>
          <w:szCs w:val="17"/>
        </w:rPr>
        <w:t>Articolul 7</w:t>
      </w:r>
      <w:r>
        <w:rPr>
          <w:sz w:val="17"/>
          <w:szCs w:val="17"/>
        </w:rPr>
        <w:t xml:space="preserve"> Ministerul Mediului și Alimentației este autoritatea competentă în conformitate cu regulamentul și cu regulamentele aplicabile ale Comisiei și administrează regulamentele respective.</w:t>
      </w:r>
    </w:p>
    <w:p w:rsidR="003B4C53" w:rsidRDefault="003B4C53" w:rsidP="00882F01">
      <w:pPr>
        <w:pStyle w:val="stk2"/>
        <w:rPr>
          <w:rStyle w:val="stknr1"/>
          <w:sz w:val="17"/>
          <w:szCs w:val="17"/>
        </w:rPr>
      </w:pPr>
    </w:p>
    <w:p w:rsidR="0005581E" w:rsidRPr="001C6F96" w:rsidRDefault="0005581E" w:rsidP="00882F01">
      <w:pPr>
        <w:pStyle w:val="stk2"/>
        <w:rPr>
          <w:sz w:val="17"/>
          <w:szCs w:val="17"/>
        </w:rPr>
      </w:pPr>
      <w:r>
        <w:rPr>
          <w:rStyle w:val="stknr1"/>
          <w:sz w:val="17"/>
          <w:szCs w:val="17"/>
        </w:rPr>
        <w:t>Alineatul (2)</w:t>
      </w:r>
      <w:r>
        <w:rPr>
          <w:sz w:val="17"/>
          <w:szCs w:val="17"/>
        </w:rPr>
        <w:t xml:space="preserve"> Ministerul Mediului și Alimentației asigură respectarea regulilor regulamentului, a regulamentelor aplicabile ale Comisiei și a prezentului ordin. Ministerul Mediului și Alimentației asigură îndeplinirea condițiilor prevăzute în autorizațiile acordate în conformitate cu articolul 6 alineatele (1) și (2). </w:t>
      </w:r>
    </w:p>
    <w:p w:rsidR="003B4C53" w:rsidRDefault="003B4C53" w:rsidP="00882F01">
      <w:pPr>
        <w:pStyle w:val="stk2"/>
        <w:rPr>
          <w:rStyle w:val="stknr1"/>
          <w:sz w:val="17"/>
          <w:szCs w:val="17"/>
        </w:rPr>
      </w:pPr>
    </w:p>
    <w:p w:rsidR="0005581E" w:rsidRPr="001C6F96" w:rsidRDefault="0005581E" w:rsidP="00882F01">
      <w:pPr>
        <w:pStyle w:val="stk2"/>
        <w:rPr>
          <w:sz w:val="17"/>
          <w:szCs w:val="17"/>
        </w:rPr>
      </w:pPr>
      <w:r>
        <w:rPr>
          <w:rStyle w:val="stknr1"/>
          <w:sz w:val="17"/>
          <w:szCs w:val="17"/>
        </w:rPr>
        <w:t>Alineatul (3)</w:t>
      </w:r>
      <w:r>
        <w:rPr>
          <w:sz w:val="17"/>
          <w:szCs w:val="17"/>
        </w:rPr>
        <w:t xml:space="preserve"> Ministerul Mediului și Alimentației decide cu privire la starea plantelor și a animalelor, inclusiv a părților și produselor derivate reținute de Administrația Fiscală și Vamală, în urma controlului menționat la articolul 15 din regulament și la articolul 8 din prezentul ordin, sau confiscate ca urmare a încălcării regulamentului sau a ordinului, inclusiv privind sacrificarea și distrugerea.</w:t>
      </w:r>
    </w:p>
    <w:p w:rsidR="00712D1B" w:rsidRPr="001C6F96" w:rsidRDefault="0005581E" w:rsidP="00882F01">
      <w:pPr>
        <w:pStyle w:val="paragraf"/>
        <w:rPr>
          <w:sz w:val="17"/>
          <w:szCs w:val="17"/>
        </w:rPr>
      </w:pPr>
      <w:r>
        <w:rPr>
          <w:rStyle w:val="paragrafnr4"/>
          <w:sz w:val="17"/>
          <w:szCs w:val="17"/>
        </w:rPr>
        <w:t>Articolul 8</w:t>
      </w:r>
      <w:r>
        <w:rPr>
          <w:sz w:val="17"/>
          <w:szCs w:val="17"/>
        </w:rPr>
        <w:t xml:space="preserve"> Controlul menit să prevină introducerea intenționate a speciilor incluse pe lista actuală UE și a speciilor invazive incluse în anexa 4 (lista națională) este efectuat de Administrația Vamală și Fiscală. Ministerul Mediului și Alimentației asistă </w:t>
      </w:r>
      <w:r>
        <w:rPr>
          <w:sz w:val="17"/>
          <w:szCs w:val="17"/>
        </w:rPr>
        <w:lastRenderedPageBreak/>
        <w:t>Administrația Fiscală și Vamală în ceea ce privește verificarea valabilității certificatelor și autorizațiilor care urmează să fie depuse la biroul vamal de frontieră și va decide în caz de diferend.</w:t>
      </w:r>
    </w:p>
    <w:p w:rsidR="003B4C53" w:rsidRDefault="003B4C53" w:rsidP="00882F01">
      <w:pPr>
        <w:pStyle w:val="stk2"/>
        <w:rPr>
          <w:rStyle w:val="stknr1"/>
          <w:sz w:val="17"/>
          <w:szCs w:val="17"/>
        </w:rPr>
      </w:pPr>
    </w:p>
    <w:p w:rsidR="0005581E" w:rsidRPr="001C6F96" w:rsidRDefault="00712D1B" w:rsidP="00882F01">
      <w:pPr>
        <w:pStyle w:val="stk2"/>
        <w:rPr>
          <w:sz w:val="17"/>
          <w:szCs w:val="17"/>
        </w:rPr>
      </w:pPr>
      <w:r>
        <w:rPr>
          <w:rStyle w:val="stknr1"/>
          <w:sz w:val="17"/>
          <w:szCs w:val="17"/>
        </w:rPr>
        <w:t xml:space="preserve">Alineatul (2) </w:t>
      </w:r>
      <w:r>
        <w:rPr>
          <w:sz w:val="17"/>
          <w:szCs w:val="17"/>
        </w:rPr>
        <w:t>Ministerul Mediului și Alimentației asistă Administrația Fiscală și Vamală în ceea ce privește identificarea speciilor sau a specimenelor speciilor și, în cazul în care există dubii cu privire la includerea unui specimen sau a unei specii în lista UE sau în anexa 4 (lista națională) sau dacă se consideră adecvat, identificarea sau dispunerea identificării speciilor. Ministerul Mediului și Alimentației stabilește dacă o specie sau un specimen trebuie inclus pe lista UE sau în anexa 4 (lista națională).</w:t>
      </w:r>
    </w:p>
    <w:p w:rsidR="0005581E" w:rsidRPr="001C6F96" w:rsidRDefault="0005581E" w:rsidP="00882F01">
      <w:pPr>
        <w:pStyle w:val="paragraf"/>
        <w:rPr>
          <w:sz w:val="17"/>
          <w:szCs w:val="17"/>
        </w:rPr>
      </w:pPr>
      <w:r>
        <w:rPr>
          <w:rStyle w:val="paragrafnr5"/>
          <w:sz w:val="17"/>
          <w:szCs w:val="17"/>
        </w:rPr>
        <w:t>Articolul 9</w:t>
      </w:r>
      <w:r>
        <w:rPr>
          <w:sz w:val="17"/>
          <w:szCs w:val="17"/>
        </w:rPr>
        <w:t xml:space="preserve"> Deciziile Ministerului Mediului și Alimentației în conformitate cu articolul 6 alineatele (1), (2) și (6), cu articolul 7 alineatul (3) și cu articolul 8 alineatele (1) și (2) nu pot fi atacate de o altă autoritate administrativă.</w:t>
      </w:r>
    </w:p>
    <w:p w:rsidR="005D4F74" w:rsidRPr="001C6F96" w:rsidRDefault="005D4F74" w:rsidP="00F60BE3">
      <w:pPr>
        <w:pStyle w:val="paragraf"/>
        <w:keepNext/>
        <w:keepLines/>
        <w:rPr>
          <w:sz w:val="17"/>
          <w:szCs w:val="17"/>
        </w:rPr>
      </w:pPr>
      <w:r>
        <w:rPr>
          <w:rStyle w:val="paragrafnr6"/>
          <w:sz w:val="17"/>
          <w:szCs w:val="17"/>
        </w:rPr>
        <w:t>Articolul 10</w:t>
      </w:r>
      <w:r>
        <w:rPr>
          <w:sz w:val="17"/>
          <w:szCs w:val="17"/>
        </w:rPr>
        <w:t xml:space="preserve"> Cu excepția cazului în care sunt prevăzute penalități mai mari în alte acte legislative, se impun amenzi persoanelor responsabile pentru:</w:t>
      </w:r>
    </w:p>
    <w:p w:rsidR="005D4F74" w:rsidRPr="001C6F96" w:rsidRDefault="005D4F74" w:rsidP="00882F01">
      <w:pPr>
        <w:pStyle w:val="liste1"/>
        <w:rPr>
          <w:sz w:val="17"/>
          <w:szCs w:val="17"/>
        </w:rPr>
      </w:pPr>
      <w:r>
        <w:rPr>
          <w:sz w:val="17"/>
          <w:szCs w:val="17"/>
        </w:rPr>
        <w:t xml:space="preserve">1) introducerea în Uniune, inclusiv tranzitul sub supraveghere vamală, deținerea, creșterea, transportul, comercializarea, expunerea, utilizarea sau schimbul de specimene din lista UE sau pentru furnizarea de specimene din speciile de pe lista Uniunii cu scopul reproducerii, creșterii sau cultivării acestora prin încălcarea regulamentului, precum și persoanelor care încalcă articolul 3 alineatul (2), în conformitate cu anexa 5; </w:t>
      </w:r>
    </w:p>
    <w:p w:rsidR="005D4F74" w:rsidRPr="001C6F96" w:rsidRDefault="005D4F74" w:rsidP="00882F01">
      <w:pPr>
        <w:pStyle w:val="liste1"/>
        <w:rPr>
          <w:sz w:val="17"/>
          <w:szCs w:val="17"/>
        </w:rPr>
      </w:pPr>
      <w:r>
        <w:rPr>
          <w:sz w:val="17"/>
          <w:szCs w:val="17"/>
        </w:rPr>
        <w:t>2) încălcarea condițiilor stabilite în autorizațiile eliberate în conformitate cu prezentul ordin;</w:t>
      </w:r>
    </w:p>
    <w:p w:rsidR="005D4F74" w:rsidRPr="001C6F96" w:rsidRDefault="005D4F74" w:rsidP="00882F01">
      <w:pPr>
        <w:pStyle w:val="liste1"/>
        <w:rPr>
          <w:sz w:val="17"/>
          <w:szCs w:val="17"/>
        </w:rPr>
      </w:pPr>
      <w:r>
        <w:rPr>
          <w:sz w:val="17"/>
          <w:szCs w:val="17"/>
        </w:rPr>
        <w:t>3) păstrarea animalelor de companie care fac obiectul articolului 31 alineatul (1) din regulament, prin încălcarea cerințelor prevăzute la articolul 31 din regulament sau pentru păstrarea animalelor de companie prin încălcarea articolului 4;</w:t>
      </w:r>
    </w:p>
    <w:p w:rsidR="005D4F74" w:rsidRPr="001C6F96" w:rsidRDefault="005D4F74" w:rsidP="00EE6747">
      <w:pPr>
        <w:pStyle w:val="liste1"/>
        <w:rPr>
          <w:sz w:val="17"/>
          <w:szCs w:val="17"/>
        </w:rPr>
      </w:pPr>
      <w:r>
        <w:rPr>
          <w:sz w:val="17"/>
          <w:szCs w:val="17"/>
        </w:rPr>
        <w:t>4) gestionarea stocurilor comerciale care fac obiectul articolului 32 alineatul (1) din regulament, prin încălcarea cerințelor prevăzute la 32.</w:t>
      </w:r>
    </w:p>
    <w:p w:rsidR="00E747D6" w:rsidRDefault="00E747D6" w:rsidP="00882F01">
      <w:pPr>
        <w:pStyle w:val="stk2"/>
        <w:rPr>
          <w:rStyle w:val="stknr1"/>
          <w:sz w:val="17"/>
          <w:szCs w:val="17"/>
        </w:rPr>
      </w:pPr>
    </w:p>
    <w:p w:rsidR="005D4F74" w:rsidRPr="001C6F96" w:rsidRDefault="005D4F74" w:rsidP="00882F01">
      <w:pPr>
        <w:pStyle w:val="stk2"/>
        <w:rPr>
          <w:sz w:val="17"/>
          <w:szCs w:val="17"/>
        </w:rPr>
      </w:pPr>
      <w:r>
        <w:rPr>
          <w:rStyle w:val="stknr1"/>
          <w:sz w:val="17"/>
          <w:szCs w:val="17"/>
        </w:rPr>
        <w:t>Alineatul (2)</w:t>
      </w:r>
      <w:r>
        <w:rPr>
          <w:sz w:val="17"/>
          <w:szCs w:val="17"/>
        </w:rPr>
        <w:t xml:space="preserve"> Pedeapsa poate consta în condamnarea la închisoare timp de 1 an dacă infracțiunea a fost săvârșită intenționat sau din gravă neglijență și dacă încălcarea:</w:t>
      </w:r>
    </w:p>
    <w:p w:rsidR="005D4F74" w:rsidRPr="001C6F96" w:rsidRDefault="005D4F74" w:rsidP="00882F01">
      <w:pPr>
        <w:pStyle w:val="liste1"/>
        <w:rPr>
          <w:sz w:val="17"/>
          <w:szCs w:val="17"/>
        </w:rPr>
      </w:pPr>
      <w:r>
        <w:rPr>
          <w:sz w:val="17"/>
          <w:szCs w:val="17"/>
        </w:rPr>
        <w:t>1) cauzează prejudicii sau pune în pericol interesele pe care Legea privind protecția naturii intenționează să le protejeze, în conformitate cu articolul 1; sau</w:t>
      </w:r>
    </w:p>
    <w:p w:rsidR="005D4F74" w:rsidRPr="001C6F96" w:rsidRDefault="005D4F74" w:rsidP="00882F01">
      <w:pPr>
        <w:pStyle w:val="liste1"/>
        <w:rPr>
          <w:sz w:val="17"/>
          <w:szCs w:val="17"/>
        </w:rPr>
      </w:pPr>
      <w:r>
        <w:rPr>
          <w:sz w:val="17"/>
          <w:szCs w:val="17"/>
        </w:rPr>
        <w:t>2</w:t>
      </w:r>
      <w:r w:rsidR="00914B01">
        <w:rPr>
          <w:sz w:val="17"/>
          <w:szCs w:val="17"/>
        </w:rPr>
        <w:t xml:space="preserve">) </w:t>
      </w:r>
      <w:bookmarkStart w:id="0" w:name="_GoBack"/>
      <w:bookmarkEnd w:id="0"/>
      <w:r>
        <w:rPr>
          <w:sz w:val="17"/>
          <w:szCs w:val="17"/>
        </w:rPr>
        <w:t>a obținut sau a intenționat, prin încălcare, să obțină un avantaj economic pentru sine sau pentru alții.</w:t>
      </w:r>
    </w:p>
    <w:p w:rsidR="00E747D6" w:rsidRDefault="00E747D6" w:rsidP="00882F01">
      <w:pPr>
        <w:pStyle w:val="stk2"/>
        <w:rPr>
          <w:rStyle w:val="stknr1"/>
          <w:sz w:val="17"/>
          <w:szCs w:val="17"/>
        </w:rPr>
      </w:pPr>
    </w:p>
    <w:p w:rsidR="005D4F74" w:rsidRPr="001C6F96" w:rsidRDefault="005D4F74" w:rsidP="00882F01">
      <w:pPr>
        <w:pStyle w:val="stk2"/>
        <w:rPr>
          <w:sz w:val="17"/>
          <w:szCs w:val="17"/>
        </w:rPr>
      </w:pPr>
      <w:r>
        <w:rPr>
          <w:rStyle w:val="stknr1"/>
          <w:sz w:val="17"/>
          <w:szCs w:val="17"/>
        </w:rPr>
        <w:t>Alineatul (3)</w:t>
      </w:r>
      <w:r>
        <w:rPr>
          <w:sz w:val="17"/>
          <w:szCs w:val="17"/>
        </w:rPr>
        <w:t xml:space="preserve"> Societățile etc. (persoanele juridice) pot fi considerate responsabile în conformitate cu normele prevăzute la capitolul 5 din Codul penal.</w:t>
      </w:r>
    </w:p>
    <w:p w:rsidR="005D4F74" w:rsidRPr="001C6F96" w:rsidRDefault="005D4F74" w:rsidP="00882F01">
      <w:pPr>
        <w:pStyle w:val="stk2"/>
        <w:rPr>
          <w:sz w:val="17"/>
          <w:szCs w:val="17"/>
        </w:rPr>
      </w:pPr>
    </w:p>
    <w:p w:rsidR="005D4F74" w:rsidRPr="00F60BE3" w:rsidRDefault="005D4F74" w:rsidP="00882F01">
      <w:pPr>
        <w:pStyle w:val="paragraf"/>
        <w:rPr>
          <w:sz w:val="17"/>
          <w:szCs w:val="17"/>
        </w:rPr>
      </w:pPr>
      <w:r>
        <w:rPr>
          <w:b/>
          <w:sz w:val="17"/>
          <w:szCs w:val="17"/>
        </w:rPr>
        <w:t>Articolul 11</w:t>
      </w:r>
      <w:r>
        <w:rPr>
          <w:sz w:val="17"/>
          <w:szCs w:val="17"/>
        </w:rPr>
        <w:t xml:space="preserve"> Regulamentul intră în vigoare la 01 ianuarie 2019.</w:t>
      </w:r>
    </w:p>
    <w:p w:rsidR="005D4F74" w:rsidRPr="00CF2F9E" w:rsidRDefault="005D4F74" w:rsidP="00882F01">
      <w:pPr>
        <w:pStyle w:val="stk2"/>
        <w:rPr>
          <w:sz w:val="17"/>
          <w:szCs w:val="17"/>
        </w:rPr>
      </w:pPr>
      <w:r>
        <w:rPr>
          <w:sz w:val="17"/>
          <w:szCs w:val="17"/>
        </w:rPr>
        <w:t xml:space="preserve">Alineatul (2) În ceea ce privește </w:t>
      </w:r>
      <w:r>
        <w:rPr>
          <w:i/>
          <w:sz w:val="17"/>
          <w:szCs w:val="17"/>
        </w:rPr>
        <w:t>Elodea canadensis</w:t>
      </w:r>
      <w:r>
        <w:rPr>
          <w:sz w:val="17"/>
          <w:szCs w:val="17"/>
        </w:rPr>
        <w:t xml:space="preserve">, </w:t>
      </w:r>
      <w:r>
        <w:rPr>
          <w:i/>
          <w:sz w:val="17"/>
          <w:szCs w:val="17"/>
        </w:rPr>
        <w:t>Solidago canadensis</w:t>
      </w:r>
      <w:r>
        <w:rPr>
          <w:sz w:val="17"/>
          <w:szCs w:val="17"/>
        </w:rPr>
        <w:t xml:space="preserve">, </w:t>
      </w:r>
      <w:r>
        <w:rPr>
          <w:i/>
          <w:sz w:val="17"/>
          <w:szCs w:val="17"/>
        </w:rPr>
        <w:t>Solidago gigantea</w:t>
      </w:r>
      <w:r>
        <w:rPr>
          <w:sz w:val="17"/>
          <w:szCs w:val="17"/>
        </w:rPr>
        <w:t xml:space="preserve">, </w:t>
      </w:r>
      <w:r>
        <w:rPr>
          <w:i/>
          <w:sz w:val="17"/>
          <w:szCs w:val="17"/>
        </w:rPr>
        <w:t>Reynoutria japonica</w:t>
      </w:r>
      <w:r>
        <w:rPr>
          <w:sz w:val="17"/>
          <w:szCs w:val="17"/>
        </w:rPr>
        <w:t xml:space="preserve">, </w:t>
      </w:r>
      <w:r>
        <w:rPr>
          <w:i/>
          <w:sz w:val="17"/>
          <w:szCs w:val="17"/>
        </w:rPr>
        <w:t>Reynoutria sachalinensis</w:t>
      </w:r>
      <w:r>
        <w:rPr>
          <w:sz w:val="17"/>
          <w:szCs w:val="17"/>
        </w:rPr>
        <w:t xml:space="preserve">, </w:t>
      </w:r>
      <w:r>
        <w:rPr>
          <w:i/>
          <w:sz w:val="17"/>
          <w:szCs w:val="17"/>
        </w:rPr>
        <w:t>Reynoutria x bohemica J. Chrtek &amp; A. Chrtková</w:t>
      </w:r>
      <w:r>
        <w:rPr>
          <w:sz w:val="17"/>
          <w:szCs w:val="17"/>
        </w:rPr>
        <w:t xml:space="preserve">, </w:t>
      </w:r>
      <w:r>
        <w:rPr>
          <w:i/>
          <w:sz w:val="17"/>
          <w:szCs w:val="17"/>
        </w:rPr>
        <w:t>Impatiens capensis</w:t>
      </w:r>
      <w:r>
        <w:rPr>
          <w:sz w:val="17"/>
          <w:szCs w:val="17"/>
        </w:rPr>
        <w:t xml:space="preserve">, </w:t>
      </w:r>
      <w:r>
        <w:rPr>
          <w:i/>
          <w:sz w:val="17"/>
          <w:szCs w:val="17"/>
        </w:rPr>
        <w:t>Impatiens parviflora</w:t>
      </w:r>
      <w:r>
        <w:rPr>
          <w:sz w:val="17"/>
          <w:szCs w:val="17"/>
        </w:rPr>
        <w:t xml:space="preserve">, </w:t>
      </w:r>
      <w:r>
        <w:rPr>
          <w:i/>
          <w:sz w:val="17"/>
          <w:szCs w:val="17"/>
        </w:rPr>
        <w:t>Crassula helmsii</w:t>
      </w:r>
      <w:r>
        <w:rPr>
          <w:sz w:val="17"/>
          <w:szCs w:val="17"/>
        </w:rPr>
        <w:t xml:space="preserve">, </w:t>
      </w:r>
      <w:r>
        <w:rPr>
          <w:i/>
          <w:sz w:val="17"/>
          <w:szCs w:val="17"/>
        </w:rPr>
        <w:t>Azolla filiculoides</w:t>
      </w:r>
      <w:r>
        <w:rPr>
          <w:sz w:val="17"/>
          <w:szCs w:val="17"/>
        </w:rPr>
        <w:t xml:space="preserve"> și </w:t>
      </w:r>
      <w:r>
        <w:rPr>
          <w:i/>
          <w:sz w:val="17"/>
          <w:szCs w:val="17"/>
        </w:rPr>
        <w:t>Astacus leptodactylus</w:t>
      </w:r>
      <w:r>
        <w:rPr>
          <w:sz w:val="17"/>
          <w:szCs w:val="17"/>
        </w:rPr>
        <w:t xml:space="preserve"> interdicțiile prezentate în anexa 5 intră în vigoare în termen de un an de la intrarea în vigoare a prezentului ordin.</w:t>
      </w:r>
    </w:p>
    <w:p w:rsidR="00E747D6" w:rsidRPr="00CF2F9E" w:rsidRDefault="00E747D6" w:rsidP="00882F01">
      <w:pPr>
        <w:pStyle w:val="stk2"/>
        <w:rPr>
          <w:i/>
          <w:sz w:val="17"/>
          <w:szCs w:val="17"/>
        </w:rPr>
      </w:pPr>
    </w:p>
    <w:p w:rsidR="00F35360" w:rsidRPr="00CF2F9E" w:rsidRDefault="005D4F74" w:rsidP="00882F01">
      <w:pPr>
        <w:pStyle w:val="stk2"/>
        <w:rPr>
          <w:sz w:val="17"/>
          <w:szCs w:val="17"/>
        </w:rPr>
      </w:pPr>
      <w:r>
        <w:rPr>
          <w:i/>
          <w:sz w:val="17"/>
          <w:szCs w:val="17"/>
        </w:rPr>
        <w:t>Alineatul (3)</w:t>
      </w:r>
      <w:r>
        <w:rPr>
          <w:sz w:val="17"/>
          <w:szCs w:val="17"/>
        </w:rPr>
        <w:t xml:space="preserve"> În ceea ce privește </w:t>
      </w:r>
      <w:r>
        <w:rPr>
          <w:i/>
          <w:sz w:val="17"/>
          <w:szCs w:val="17"/>
        </w:rPr>
        <w:t>Rosa rugosa</w:t>
      </w:r>
      <w:r>
        <w:rPr>
          <w:sz w:val="17"/>
          <w:szCs w:val="17"/>
        </w:rPr>
        <w:t xml:space="preserve"> și </w:t>
      </w:r>
      <w:r>
        <w:rPr>
          <w:i/>
          <w:sz w:val="17"/>
          <w:szCs w:val="17"/>
        </w:rPr>
        <w:t>Prunus serotina</w:t>
      </w:r>
      <w:r>
        <w:rPr>
          <w:sz w:val="17"/>
          <w:szCs w:val="17"/>
        </w:rPr>
        <w:t xml:space="preserve"> interdicțiile prevăzute în anexa 5 intră în vigoare în termen de trei ani de la data intrării în vigoare prezentului ordin. </w:t>
      </w:r>
    </w:p>
    <w:p w:rsidR="00E747D6" w:rsidRPr="00CF2F9E" w:rsidRDefault="00E747D6" w:rsidP="00882F01">
      <w:pPr>
        <w:pStyle w:val="stk2"/>
        <w:rPr>
          <w:i/>
          <w:sz w:val="17"/>
          <w:szCs w:val="17"/>
        </w:rPr>
      </w:pPr>
    </w:p>
    <w:p w:rsidR="00C81BC9" w:rsidRPr="00F60BE3" w:rsidRDefault="00C81BC9" w:rsidP="00882F01">
      <w:pPr>
        <w:pStyle w:val="stk2"/>
        <w:rPr>
          <w:sz w:val="17"/>
          <w:szCs w:val="17"/>
        </w:rPr>
      </w:pPr>
      <w:r>
        <w:rPr>
          <w:i/>
          <w:sz w:val="17"/>
          <w:szCs w:val="17"/>
        </w:rPr>
        <w:t>Alineatul (4)</w:t>
      </w:r>
      <w:r>
        <w:rPr>
          <w:sz w:val="17"/>
          <w:szCs w:val="17"/>
        </w:rPr>
        <w:t xml:space="preserve"> Ordinul nr. 1088 din 18 iulie 2016 privind prevenirea și gestionarea introducerii și răspândirii speciilor alogene invazive se abrogă.</w:t>
      </w:r>
    </w:p>
    <w:p w:rsidR="0090506E" w:rsidRDefault="00F60BE3" w:rsidP="00F60BE3">
      <w:pPr>
        <w:pStyle w:val="stk2"/>
        <w:pageBreakBefore/>
        <w:jc w:val="right"/>
        <w:rPr>
          <w:sz w:val="17"/>
          <w:szCs w:val="17"/>
        </w:rPr>
      </w:pPr>
      <w:r>
        <w:rPr>
          <w:sz w:val="17"/>
          <w:szCs w:val="17"/>
        </w:rPr>
        <w:lastRenderedPageBreak/>
        <w:t>Anexa 1</w:t>
      </w:r>
    </w:p>
    <w:p w:rsidR="00FB46A1" w:rsidRDefault="00FB46A1" w:rsidP="00882F01">
      <w:pPr>
        <w:pStyle w:val="stk2"/>
        <w:jc w:val="right"/>
        <w:rPr>
          <w:sz w:val="17"/>
          <w:szCs w:val="17"/>
        </w:rPr>
      </w:pPr>
    </w:p>
    <w:p w:rsidR="00F41DFB" w:rsidRPr="00F41DFB" w:rsidRDefault="00F41DFB" w:rsidP="00882F01">
      <w:pPr>
        <w:pStyle w:val="stk2"/>
        <w:jc w:val="right"/>
        <w:rPr>
          <w:sz w:val="17"/>
          <w:szCs w:val="17"/>
        </w:rPr>
      </w:pPr>
      <w:r>
        <w:rPr>
          <w:sz w:val="17"/>
          <w:szCs w:val="17"/>
        </w:rPr>
        <w:t>Regulamentul (CE) nr. 1143/2014 al Parlamentului European și al Consiliului articolul</w:t>
      </w:r>
    </w:p>
    <w:p w:rsidR="00F41DFB" w:rsidRPr="00F41DFB" w:rsidRDefault="00F41DFB" w:rsidP="00882F01">
      <w:pPr>
        <w:pStyle w:val="stk2"/>
        <w:jc w:val="right"/>
        <w:rPr>
          <w:sz w:val="17"/>
          <w:szCs w:val="17"/>
        </w:rPr>
      </w:pPr>
      <w:r>
        <w:rPr>
          <w:sz w:val="17"/>
          <w:szCs w:val="17"/>
        </w:rPr>
        <w:t>din 22 octombrie 2014</w:t>
      </w:r>
    </w:p>
    <w:p w:rsidR="00FB46A1" w:rsidRDefault="00F41DFB" w:rsidP="00882F01">
      <w:pPr>
        <w:pStyle w:val="stk2"/>
        <w:jc w:val="right"/>
        <w:rPr>
          <w:sz w:val="17"/>
          <w:szCs w:val="17"/>
        </w:rPr>
      </w:pPr>
      <w:r>
        <w:rPr>
          <w:sz w:val="17"/>
          <w:szCs w:val="17"/>
        </w:rPr>
        <w:t>privind prevenirea și gestionarea introducerea și răspândirea speciilor alogene invazive</w:t>
      </w:r>
    </w:p>
    <w:p w:rsidR="006E23F7" w:rsidRDefault="006E23F7" w:rsidP="00F60BE3">
      <w:pPr>
        <w:pStyle w:val="stk2"/>
        <w:pageBreakBefore/>
        <w:jc w:val="right"/>
        <w:rPr>
          <w:sz w:val="17"/>
          <w:szCs w:val="17"/>
        </w:rPr>
      </w:pPr>
      <w:r>
        <w:rPr>
          <w:sz w:val="17"/>
          <w:szCs w:val="17"/>
        </w:rPr>
        <w:lastRenderedPageBreak/>
        <w:t>Anexa 2</w:t>
      </w:r>
    </w:p>
    <w:p w:rsidR="006E23F7" w:rsidRDefault="006E23F7" w:rsidP="00882F01">
      <w:pPr>
        <w:pStyle w:val="stk2"/>
        <w:jc w:val="right"/>
        <w:rPr>
          <w:sz w:val="17"/>
          <w:szCs w:val="17"/>
        </w:rPr>
      </w:pPr>
    </w:p>
    <w:p w:rsidR="006E23F7" w:rsidRPr="006E23F7" w:rsidRDefault="006E23F7" w:rsidP="00882F01">
      <w:pPr>
        <w:pStyle w:val="stk2"/>
        <w:jc w:val="right"/>
        <w:rPr>
          <w:sz w:val="17"/>
          <w:szCs w:val="17"/>
        </w:rPr>
      </w:pPr>
      <w:r>
        <w:rPr>
          <w:sz w:val="17"/>
          <w:szCs w:val="17"/>
        </w:rPr>
        <w:t>REGULAMENTUL DE PUNERE ÎN APLICARE (UE) 2016/1141 al Comisiei din 13 iulie 2016</w:t>
      </w:r>
    </w:p>
    <w:p w:rsidR="006E23F7" w:rsidRPr="006E23F7" w:rsidRDefault="006E23F7" w:rsidP="00882F01">
      <w:pPr>
        <w:pStyle w:val="stk2"/>
        <w:jc w:val="right"/>
        <w:rPr>
          <w:sz w:val="17"/>
          <w:szCs w:val="17"/>
        </w:rPr>
      </w:pPr>
    </w:p>
    <w:p w:rsidR="006E23F7" w:rsidRDefault="006E23F7" w:rsidP="00882F01">
      <w:pPr>
        <w:pStyle w:val="stk2"/>
        <w:jc w:val="right"/>
        <w:rPr>
          <w:sz w:val="17"/>
          <w:szCs w:val="17"/>
        </w:rPr>
      </w:pPr>
      <w:r>
        <w:rPr>
          <w:sz w:val="17"/>
          <w:szCs w:val="17"/>
        </w:rPr>
        <w:t>de adoptare a unei liste a speciilor alogene invazive de interes pentru Uniune în temeiul Regulamentului (UE) nr. 1143/2014 al Parlamentului European și al Consiliului</w:t>
      </w:r>
    </w:p>
    <w:p w:rsidR="006E23F7" w:rsidRDefault="006E23F7" w:rsidP="00F60BE3">
      <w:pPr>
        <w:pStyle w:val="stk2"/>
        <w:pageBreakBefore/>
        <w:jc w:val="right"/>
        <w:rPr>
          <w:sz w:val="17"/>
          <w:szCs w:val="17"/>
        </w:rPr>
      </w:pPr>
      <w:r>
        <w:rPr>
          <w:sz w:val="17"/>
          <w:szCs w:val="17"/>
        </w:rPr>
        <w:lastRenderedPageBreak/>
        <w:t>Anexa 3</w:t>
      </w:r>
    </w:p>
    <w:p w:rsidR="006E23F7" w:rsidRDefault="006E23F7" w:rsidP="00882F01">
      <w:pPr>
        <w:pStyle w:val="stk2"/>
        <w:jc w:val="right"/>
        <w:rPr>
          <w:sz w:val="17"/>
          <w:szCs w:val="17"/>
        </w:rPr>
      </w:pPr>
    </w:p>
    <w:p w:rsidR="006E23F7" w:rsidRPr="006E23F7" w:rsidRDefault="006E23F7" w:rsidP="00882F01">
      <w:pPr>
        <w:pStyle w:val="stk2"/>
        <w:jc w:val="right"/>
        <w:rPr>
          <w:sz w:val="17"/>
          <w:szCs w:val="17"/>
        </w:rPr>
      </w:pPr>
      <w:r>
        <w:rPr>
          <w:sz w:val="17"/>
          <w:szCs w:val="17"/>
        </w:rPr>
        <w:t xml:space="preserve">II </w:t>
      </w:r>
    </w:p>
    <w:p w:rsidR="006E23F7" w:rsidRPr="006E23F7" w:rsidRDefault="006E23F7" w:rsidP="00882F01">
      <w:pPr>
        <w:pStyle w:val="stk2"/>
        <w:jc w:val="right"/>
        <w:rPr>
          <w:sz w:val="17"/>
          <w:szCs w:val="17"/>
        </w:rPr>
      </w:pPr>
    </w:p>
    <w:p w:rsidR="006E23F7" w:rsidRPr="006E23F7" w:rsidRDefault="006E23F7" w:rsidP="00882F01">
      <w:pPr>
        <w:pStyle w:val="stk2"/>
        <w:jc w:val="right"/>
        <w:rPr>
          <w:sz w:val="17"/>
          <w:szCs w:val="17"/>
        </w:rPr>
      </w:pPr>
      <w:r>
        <w:rPr>
          <w:sz w:val="17"/>
          <w:szCs w:val="17"/>
        </w:rPr>
        <w:t xml:space="preserve">(Acte fără caracter legislativ) </w:t>
      </w:r>
    </w:p>
    <w:p w:rsidR="006E23F7" w:rsidRPr="006E23F7" w:rsidRDefault="006E23F7" w:rsidP="00882F01">
      <w:pPr>
        <w:pStyle w:val="stk2"/>
        <w:jc w:val="right"/>
        <w:rPr>
          <w:sz w:val="17"/>
          <w:szCs w:val="17"/>
        </w:rPr>
      </w:pPr>
    </w:p>
    <w:p w:rsidR="006E23F7" w:rsidRPr="006E23F7" w:rsidRDefault="006E23F7" w:rsidP="00882F01">
      <w:pPr>
        <w:pStyle w:val="stk2"/>
        <w:jc w:val="right"/>
        <w:rPr>
          <w:sz w:val="17"/>
          <w:szCs w:val="17"/>
        </w:rPr>
      </w:pPr>
      <w:r>
        <w:rPr>
          <w:sz w:val="17"/>
          <w:szCs w:val="17"/>
        </w:rPr>
        <w:t xml:space="preserve">REGULAMENTE </w:t>
      </w:r>
    </w:p>
    <w:p w:rsidR="006E23F7" w:rsidRPr="006E23F7" w:rsidRDefault="006E23F7" w:rsidP="00882F01">
      <w:pPr>
        <w:pStyle w:val="stk2"/>
        <w:jc w:val="right"/>
        <w:rPr>
          <w:sz w:val="17"/>
          <w:szCs w:val="17"/>
        </w:rPr>
      </w:pPr>
    </w:p>
    <w:p w:rsidR="006E23F7" w:rsidRPr="006E23F7" w:rsidRDefault="006E23F7" w:rsidP="00882F01">
      <w:pPr>
        <w:pStyle w:val="stk2"/>
        <w:jc w:val="right"/>
        <w:rPr>
          <w:sz w:val="17"/>
          <w:szCs w:val="17"/>
        </w:rPr>
      </w:pPr>
      <w:r>
        <w:rPr>
          <w:sz w:val="17"/>
          <w:szCs w:val="17"/>
        </w:rPr>
        <w:t xml:space="preserve">REGULAMENTUL DE PUNERE ÎN APLICARE (UE) 2016/145 AL COMISIEI </w:t>
      </w:r>
    </w:p>
    <w:p w:rsidR="006E23F7" w:rsidRPr="006E23F7" w:rsidRDefault="006E23F7" w:rsidP="00882F01">
      <w:pPr>
        <w:pStyle w:val="stk2"/>
        <w:jc w:val="right"/>
        <w:rPr>
          <w:sz w:val="17"/>
          <w:szCs w:val="17"/>
        </w:rPr>
      </w:pPr>
    </w:p>
    <w:p w:rsidR="006E23F7" w:rsidRPr="006E23F7" w:rsidRDefault="006E23F7" w:rsidP="00882F01">
      <w:pPr>
        <w:pStyle w:val="stk2"/>
        <w:jc w:val="right"/>
        <w:rPr>
          <w:sz w:val="17"/>
          <w:szCs w:val="17"/>
        </w:rPr>
      </w:pPr>
      <w:r>
        <w:rPr>
          <w:sz w:val="17"/>
          <w:szCs w:val="17"/>
        </w:rPr>
        <w:t xml:space="preserve">din 4 februarie 2016 </w:t>
      </w:r>
    </w:p>
    <w:p w:rsidR="006E23F7" w:rsidRPr="006E23F7" w:rsidRDefault="006E23F7" w:rsidP="00882F01">
      <w:pPr>
        <w:pStyle w:val="stk2"/>
        <w:jc w:val="right"/>
        <w:rPr>
          <w:sz w:val="17"/>
          <w:szCs w:val="17"/>
        </w:rPr>
      </w:pPr>
    </w:p>
    <w:p w:rsidR="006E23F7" w:rsidRDefault="006E23F7" w:rsidP="00882F01">
      <w:pPr>
        <w:pStyle w:val="stk2"/>
        <w:jc w:val="right"/>
        <w:rPr>
          <w:sz w:val="17"/>
          <w:szCs w:val="17"/>
        </w:rPr>
      </w:pPr>
      <w:r>
        <w:rPr>
          <w:sz w:val="17"/>
          <w:szCs w:val="17"/>
        </w:rPr>
        <w:t>de adoptare a formatului documentului care servește drept dovadă a eliberării de către autoritățile competente ale statelor membre a autorizației care permite unităților să efectueze anumite activități legate de speciile alogene invazive de interes pentru Uniune, în conformitate cu Regulamentul (UE) nr. 1143/2014 al Parlamentului European și al Consiliului</w:t>
      </w:r>
    </w:p>
    <w:p w:rsidR="00FB46A1" w:rsidRDefault="00FB46A1" w:rsidP="00F60BE3">
      <w:pPr>
        <w:pStyle w:val="stk2"/>
        <w:pageBreakBefore/>
        <w:jc w:val="right"/>
        <w:rPr>
          <w:sz w:val="17"/>
          <w:szCs w:val="17"/>
        </w:rPr>
      </w:pPr>
      <w:r>
        <w:rPr>
          <w:sz w:val="17"/>
          <w:szCs w:val="17"/>
        </w:rPr>
        <w:lastRenderedPageBreak/>
        <w:t>Anexa 4</w:t>
      </w:r>
    </w:p>
    <w:p w:rsidR="00FB46A1" w:rsidRDefault="00FB46A1" w:rsidP="00882F01">
      <w:pPr>
        <w:pStyle w:val="stk2"/>
        <w:jc w:val="right"/>
        <w:rPr>
          <w:sz w:val="17"/>
          <w:szCs w:val="17"/>
        </w:rPr>
      </w:pPr>
      <w:r>
        <w:rPr>
          <w:sz w:val="17"/>
          <w:szCs w:val="17"/>
        </w:rPr>
        <w:t>Lista națională</w:t>
      </w:r>
    </w:p>
    <w:p w:rsidR="00FB46A1" w:rsidRDefault="00FB46A1" w:rsidP="00882F01">
      <w:pPr>
        <w:pStyle w:val="stk2"/>
        <w:jc w:val="right"/>
        <w:rPr>
          <w:sz w:val="17"/>
          <w:szCs w:val="17"/>
        </w:rPr>
      </w:pPr>
    </w:p>
    <w:p w:rsidR="00FB46A1" w:rsidRDefault="00FB46A1" w:rsidP="00882F01">
      <w:pPr>
        <w:pStyle w:val="stk2"/>
        <w:jc w:val="right"/>
        <w:rPr>
          <w:sz w:val="17"/>
          <w:szCs w:val="17"/>
        </w:rPr>
      </w:pPr>
    </w:p>
    <w:p w:rsidR="00FB46A1" w:rsidRDefault="00FB46A1" w:rsidP="00882F01">
      <w:pPr>
        <w:pStyle w:val="stk2"/>
        <w:rPr>
          <w:sz w:val="17"/>
          <w:szCs w:val="17"/>
        </w:rPr>
      </w:pPr>
    </w:p>
    <w:tbl>
      <w:tblPr>
        <w:tblStyle w:val="Tabel-Gitter1"/>
        <w:tblW w:w="9908" w:type="dxa"/>
        <w:tblLayout w:type="fixed"/>
        <w:tblLook w:val="04A0" w:firstRow="1" w:lastRow="0" w:firstColumn="1" w:lastColumn="0" w:noHBand="0" w:noVBand="1"/>
      </w:tblPr>
      <w:tblGrid>
        <w:gridCol w:w="9908"/>
      </w:tblGrid>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Elodea canadensis</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Solidago canadensis</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Solidago gigantea</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Prunus serotina</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 xml:space="preserve">Reynoutria japonica </w:t>
            </w:r>
          </w:p>
          <w:p w:rsidR="0066518B" w:rsidRPr="0066518B" w:rsidRDefault="0066518B" w:rsidP="00882F01">
            <w:pPr>
              <w:spacing w:line="260" w:lineRule="atLeast"/>
              <w:rPr>
                <w:rFonts w:ascii="Tahoma" w:eastAsia="Times New Roman" w:hAnsi="Tahoma" w:cs="Tahoma"/>
                <w:sz w:val="17"/>
                <w:szCs w:val="17"/>
                <w:lang w:val="en-US"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 xml:space="preserve">Reynoutria sachalinensis </w:t>
            </w:r>
          </w:p>
          <w:p w:rsidR="0066518B" w:rsidRPr="0066518B" w:rsidRDefault="0066518B" w:rsidP="00882F01">
            <w:pPr>
              <w:spacing w:line="260" w:lineRule="atLeast"/>
              <w:rPr>
                <w:rFonts w:ascii="Tahoma" w:eastAsia="Times New Roman" w:hAnsi="Tahoma" w:cs="Tahoma"/>
                <w:sz w:val="17"/>
                <w:szCs w:val="17"/>
                <w:lang w:val="en-US" w:eastAsia="da-DK"/>
              </w:rPr>
            </w:pPr>
          </w:p>
        </w:tc>
      </w:tr>
      <w:tr w:rsidR="0066518B" w:rsidRPr="0066518B" w:rsidTr="00F60BE3">
        <w:trPr>
          <w:cantSplit/>
        </w:trPr>
        <w:tc>
          <w:tcPr>
            <w:tcW w:w="9908" w:type="dxa"/>
          </w:tcPr>
          <w:p w:rsidR="00D03CA8" w:rsidRDefault="00185DDB" w:rsidP="00882F01">
            <w:pPr>
              <w:spacing w:line="260" w:lineRule="atLeast"/>
              <w:rPr>
                <w:rFonts w:ascii="Tahoma" w:eastAsia="Times New Roman" w:hAnsi="Tahoma" w:cs="Tahoma"/>
                <w:sz w:val="17"/>
                <w:szCs w:val="17"/>
              </w:rPr>
            </w:pPr>
            <w:r>
              <w:rPr>
                <w:rFonts w:ascii="Tahoma" w:hAnsi="Tahoma"/>
                <w:sz w:val="17"/>
                <w:szCs w:val="17"/>
              </w:rPr>
              <w:t xml:space="preserve">Bohemica Pileurt </w:t>
            </w:r>
          </w:p>
          <w:p w:rsidR="00185DDB" w:rsidRPr="0066518B" w:rsidRDefault="00185DDB" w:rsidP="00882F01">
            <w:pPr>
              <w:spacing w:line="260" w:lineRule="atLeast"/>
              <w:rPr>
                <w:rFonts w:ascii="Tahoma" w:eastAsia="Times New Roman" w:hAnsi="Tahoma" w:cs="Tahoma"/>
                <w:sz w:val="17"/>
                <w:szCs w:val="17"/>
                <w:lang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Impatiens capensis</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Impatiens parviflora</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DE4D23"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 xml:space="preserve">Crassula helmsii </w:t>
            </w:r>
          </w:p>
          <w:p w:rsidR="0066518B" w:rsidRPr="0066518B" w:rsidRDefault="0066518B" w:rsidP="00882F01">
            <w:pPr>
              <w:spacing w:line="260" w:lineRule="atLeast"/>
              <w:rPr>
                <w:rFonts w:ascii="Tahoma" w:eastAsia="Times New Roman" w:hAnsi="Tahoma" w:cs="Tahoma"/>
                <w:sz w:val="17"/>
                <w:szCs w:val="17"/>
                <w:lang w:val="en-US" w:eastAsia="da-DK"/>
              </w:rPr>
            </w:pPr>
          </w:p>
        </w:tc>
      </w:tr>
      <w:tr w:rsidR="0066518B" w:rsidRPr="0066518B" w:rsidTr="00F60BE3">
        <w:trPr>
          <w:cantSplit/>
        </w:trPr>
        <w:tc>
          <w:tcPr>
            <w:tcW w:w="9908" w:type="dxa"/>
          </w:tcPr>
          <w:p w:rsidR="0066518B" w:rsidRPr="0066518B" w:rsidRDefault="0066518B" w:rsidP="00882F01">
            <w:pPr>
              <w:spacing w:line="260" w:lineRule="atLeast"/>
              <w:rPr>
                <w:rFonts w:ascii="Tahoma" w:eastAsia="Times New Roman" w:hAnsi="Tahoma" w:cs="Tahoma"/>
                <w:sz w:val="17"/>
                <w:szCs w:val="17"/>
              </w:rPr>
            </w:pPr>
            <w:r>
              <w:rPr>
                <w:rFonts w:ascii="Tahoma" w:hAnsi="Tahoma"/>
                <w:sz w:val="17"/>
                <w:szCs w:val="17"/>
              </w:rPr>
              <w:t>Azolla filiculoides</w:t>
            </w:r>
          </w:p>
          <w:p w:rsidR="0066518B" w:rsidRPr="0066518B" w:rsidRDefault="0066518B" w:rsidP="00882F01">
            <w:pPr>
              <w:spacing w:line="260" w:lineRule="atLeast"/>
              <w:rPr>
                <w:rFonts w:ascii="Tahoma" w:eastAsia="Times New Roman" w:hAnsi="Tahoma" w:cs="Tahoma"/>
                <w:sz w:val="17"/>
                <w:szCs w:val="17"/>
                <w:lang w:eastAsia="da-DK"/>
              </w:rPr>
            </w:pPr>
          </w:p>
        </w:tc>
      </w:tr>
      <w:tr w:rsidR="0066518B" w:rsidRPr="00316BB8" w:rsidTr="00F60BE3">
        <w:trPr>
          <w:cantSplit/>
        </w:trPr>
        <w:tc>
          <w:tcPr>
            <w:tcW w:w="9908" w:type="dxa"/>
          </w:tcPr>
          <w:p w:rsidR="0066518B" w:rsidRPr="00316BB8" w:rsidRDefault="00316BB8" w:rsidP="00882F01">
            <w:pPr>
              <w:spacing w:line="260" w:lineRule="atLeast"/>
              <w:rPr>
                <w:rFonts w:ascii="Tahoma" w:eastAsia="Times New Roman" w:hAnsi="Tahoma" w:cs="Tahoma"/>
                <w:sz w:val="17"/>
                <w:szCs w:val="17"/>
              </w:rPr>
            </w:pPr>
            <w:r>
              <w:rPr>
                <w:rFonts w:ascii="Tahoma" w:hAnsi="Tahoma"/>
                <w:sz w:val="17"/>
                <w:szCs w:val="17"/>
              </w:rPr>
              <w:t>Rynket rose*</w:t>
            </w:r>
          </w:p>
          <w:p w:rsidR="0066518B" w:rsidRPr="00316BB8" w:rsidRDefault="0066518B" w:rsidP="00882F01">
            <w:pPr>
              <w:spacing w:line="260" w:lineRule="atLeast"/>
              <w:rPr>
                <w:rFonts w:ascii="Tahoma" w:eastAsia="Times New Roman" w:hAnsi="Tahoma" w:cs="Tahoma"/>
                <w:sz w:val="17"/>
                <w:szCs w:val="17"/>
                <w:lang w:eastAsia="da-DK"/>
              </w:rPr>
            </w:pPr>
          </w:p>
        </w:tc>
      </w:tr>
      <w:tr w:rsidR="0066518B" w:rsidRPr="00DE4D23" w:rsidTr="00F60BE3">
        <w:trPr>
          <w:cantSplit/>
        </w:trPr>
        <w:tc>
          <w:tcPr>
            <w:tcW w:w="9908" w:type="dxa"/>
          </w:tcPr>
          <w:p w:rsidR="0066518B" w:rsidRPr="00882F01" w:rsidRDefault="0066518B" w:rsidP="00882F01">
            <w:pPr>
              <w:spacing w:line="260" w:lineRule="atLeast"/>
              <w:rPr>
                <w:rFonts w:ascii="Tahoma" w:eastAsia="Times New Roman" w:hAnsi="Tahoma" w:cs="Tahoma"/>
                <w:sz w:val="17"/>
                <w:szCs w:val="17"/>
              </w:rPr>
            </w:pPr>
            <w:r>
              <w:rPr>
                <w:rFonts w:ascii="Tahoma" w:hAnsi="Tahoma"/>
                <w:sz w:val="17"/>
                <w:szCs w:val="17"/>
              </w:rPr>
              <w:t>Astacus leptodactylus</w:t>
            </w:r>
          </w:p>
          <w:p w:rsidR="0066518B" w:rsidRPr="00882F01" w:rsidRDefault="0066518B" w:rsidP="00882F01">
            <w:pPr>
              <w:spacing w:line="260" w:lineRule="atLeast"/>
              <w:rPr>
                <w:rFonts w:ascii="Tahoma" w:eastAsia="Times New Roman" w:hAnsi="Tahoma" w:cs="Tahoma"/>
                <w:sz w:val="17"/>
                <w:szCs w:val="17"/>
                <w:lang w:eastAsia="da-DK"/>
              </w:rPr>
            </w:pPr>
          </w:p>
        </w:tc>
      </w:tr>
    </w:tbl>
    <w:p w:rsidR="00FB46A1" w:rsidRPr="003B4C53" w:rsidRDefault="009465CF" w:rsidP="00882F01">
      <w:pPr>
        <w:pStyle w:val="stk2"/>
        <w:rPr>
          <w:sz w:val="17"/>
          <w:szCs w:val="17"/>
        </w:rPr>
      </w:pPr>
      <w:r>
        <w:rPr>
          <w:sz w:val="17"/>
          <w:szCs w:val="17"/>
        </w:rPr>
        <w:t xml:space="preserve">* Speciile numite Rosa rugosa care nu se formează butași înrădăcinați nu sunt acoperite. </w:t>
      </w:r>
    </w:p>
    <w:p w:rsidR="00FB46A1" w:rsidRDefault="00FB46A1" w:rsidP="00F60BE3">
      <w:pPr>
        <w:pStyle w:val="stk2"/>
        <w:pageBreakBefore/>
        <w:jc w:val="right"/>
        <w:rPr>
          <w:sz w:val="17"/>
          <w:szCs w:val="17"/>
        </w:rPr>
      </w:pPr>
      <w:r>
        <w:rPr>
          <w:sz w:val="17"/>
          <w:szCs w:val="17"/>
        </w:rPr>
        <w:lastRenderedPageBreak/>
        <w:t>Anexa 5</w:t>
      </w:r>
    </w:p>
    <w:p w:rsidR="00FB46A1" w:rsidRDefault="00FB46A1" w:rsidP="00882F01">
      <w:pPr>
        <w:pStyle w:val="stk2"/>
        <w:jc w:val="right"/>
        <w:rPr>
          <w:sz w:val="17"/>
          <w:szCs w:val="17"/>
        </w:rPr>
      </w:pPr>
      <w:r>
        <w:rPr>
          <w:sz w:val="17"/>
          <w:szCs w:val="17"/>
        </w:rPr>
        <w:t>Prezentare generală a interdicțiilor pentru fiecare specie</w:t>
      </w:r>
    </w:p>
    <w:p w:rsidR="00FB46A1" w:rsidRDefault="00FB46A1" w:rsidP="00882F01">
      <w:pPr>
        <w:pStyle w:val="stk2"/>
        <w:jc w:val="right"/>
        <w:rPr>
          <w:sz w:val="17"/>
          <w:szCs w:val="17"/>
        </w:rPr>
      </w:pPr>
    </w:p>
    <w:p w:rsidR="00FB46A1" w:rsidRDefault="00FB46A1" w:rsidP="00882F01">
      <w:pPr>
        <w:pStyle w:val="stk2"/>
        <w:jc w:val="right"/>
        <w:rPr>
          <w:sz w:val="17"/>
          <w:szCs w:val="17"/>
        </w:rPr>
      </w:pPr>
    </w:p>
    <w:p w:rsidR="00F124F4" w:rsidRDefault="00F124F4" w:rsidP="00882F01">
      <w:pPr>
        <w:pStyle w:val="stk2"/>
        <w:rPr>
          <w:sz w:val="17"/>
          <w:szCs w:val="17"/>
        </w:rPr>
      </w:pPr>
      <w:r>
        <w:rPr>
          <w:sz w:val="17"/>
          <w:szCs w:val="17"/>
        </w:rPr>
        <w:t xml:space="preserve">Tipuri de plante: </w:t>
      </w:r>
    </w:p>
    <w:p w:rsidR="00F124F4" w:rsidRDefault="00F124F4" w:rsidP="00882F01">
      <w:pPr>
        <w:pStyle w:val="stk2"/>
        <w:rPr>
          <w:sz w:val="17"/>
          <w:szCs w:val="17"/>
        </w:rPr>
      </w:pPr>
    </w:p>
    <w:tbl>
      <w:tblPr>
        <w:tblStyle w:val="Tabel-Gitter1"/>
        <w:tblW w:w="10206" w:type="dxa"/>
        <w:tblLayout w:type="fixed"/>
        <w:tblLook w:val="04A0" w:firstRow="1" w:lastRow="0" w:firstColumn="1" w:lastColumn="0" w:noHBand="0" w:noVBand="1"/>
      </w:tblPr>
      <w:tblGrid>
        <w:gridCol w:w="1134"/>
        <w:gridCol w:w="1134"/>
        <w:gridCol w:w="1134"/>
        <w:gridCol w:w="1134"/>
        <w:gridCol w:w="1134"/>
        <w:gridCol w:w="1134"/>
        <w:gridCol w:w="1134"/>
        <w:gridCol w:w="1134"/>
        <w:gridCol w:w="1134"/>
      </w:tblGrid>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Denumirea speciei (latină/română acolo unde este posibil)</w:t>
            </w:r>
          </w:p>
        </w:tc>
        <w:tc>
          <w:tcPr>
            <w:tcW w:w="1134" w:type="dxa"/>
          </w:tcPr>
          <w:p w:rsidR="00FB46A1" w:rsidRPr="00FB46A1" w:rsidRDefault="00A428A1" w:rsidP="00882F01">
            <w:pPr>
              <w:rPr>
                <w:rFonts w:ascii="Tahoma" w:hAnsi="Tahoma" w:cs="Tahoma"/>
                <w:sz w:val="17"/>
                <w:szCs w:val="17"/>
              </w:rPr>
            </w:pPr>
            <w:r>
              <w:rPr>
                <w:rFonts w:ascii="Tahoma" w:hAnsi="Tahoma"/>
                <w:sz w:val="17"/>
                <w:szCs w:val="17"/>
              </w:rPr>
              <w:t>Interdicție de import – inclusiv tranzit sub supraveghere vamală</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Interdicție de deținere – inclusiv în spații închise</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Interdicție de creștere – inclusiv în spații închise</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Interdicție de transport către sau dinspre Danemarca, cu excepția transportului către facilități în scopuri de eradicare</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 xml:space="preserve">Interdicție de comercializare </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Interdicție de utilizare sau schimb</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Interdicție de a oferi speciilor posibilitatea de a se reproduce, de a fi crescute, cultivate, inclusiv în spații închise</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Interdicție de eliberare în mediu</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 xml:space="preserve">Elodea canadensis </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A428A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 xml:space="preserve">Solidago canadensis </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 xml:space="preserve">Solidago gigantea </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D03CA8"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Prunus serotina</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 xml:space="preserve">Reynoutria japonica </w:t>
            </w:r>
          </w:p>
          <w:p w:rsidR="00FB46A1" w:rsidRPr="00FB46A1" w:rsidRDefault="00FB46A1" w:rsidP="00882F01">
            <w:pPr>
              <w:rPr>
                <w:rFonts w:ascii="Tahoma" w:hAnsi="Tahoma" w:cs="Tahoma"/>
                <w:sz w:val="17"/>
                <w:szCs w:val="17"/>
                <w:lang w:val="en-US"/>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Reynoutria sachalinensis</w:t>
            </w:r>
          </w:p>
          <w:p w:rsidR="00FB46A1" w:rsidRPr="00FB46A1" w:rsidRDefault="00FB46A1" w:rsidP="00882F01">
            <w:pPr>
              <w:rPr>
                <w:rFonts w:ascii="Tahoma" w:hAnsi="Tahoma" w:cs="Tahoma"/>
                <w:sz w:val="17"/>
                <w:szCs w:val="17"/>
                <w:lang w:val="en-US"/>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185DDB" w:rsidP="00882F01">
            <w:pPr>
              <w:rPr>
                <w:rFonts w:ascii="Tahoma" w:hAnsi="Tahoma" w:cs="Tahoma"/>
                <w:sz w:val="17"/>
                <w:szCs w:val="17"/>
              </w:rPr>
            </w:pPr>
            <w:r>
              <w:rPr>
                <w:rFonts w:ascii="Tahoma" w:hAnsi="Tahoma"/>
                <w:sz w:val="17"/>
                <w:szCs w:val="17"/>
              </w:rPr>
              <w:t>Bohemica Pileurt</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Impatiens capensis</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Impatiens parviflora</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Crassula helmsii</w:t>
            </w:r>
          </w:p>
          <w:p w:rsidR="00FB46A1" w:rsidRPr="00FB46A1" w:rsidRDefault="00FB46A1" w:rsidP="00882F01">
            <w:pPr>
              <w:rPr>
                <w:rFonts w:ascii="Tahoma" w:hAnsi="Tahoma" w:cs="Tahoma"/>
                <w:sz w:val="17"/>
                <w:szCs w:val="17"/>
                <w:lang w:val="en-US"/>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FB46A1" w:rsidRDefault="00FB46A1" w:rsidP="00882F01">
            <w:pPr>
              <w:rPr>
                <w:rFonts w:ascii="Tahoma" w:hAnsi="Tahoma" w:cs="Tahoma"/>
                <w:sz w:val="17"/>
                <w:szCs w:val="17"/>
              </w:rPr>
            </w:pPr>
            <w:r>
              <w:rPr>
                <w:rFonts w:ascii="Tahoma" w:hAnsi="Tahoma"/>
                <w:sz w:val="17"/>
                <w:szCs w:val="17"/>
              </w:rPr>
              <w:t xml:space="preserve">Azolla filiculoides </w:t>
            </w:r>
          </w:p>
          <w:p w:rsidR="00FB46A1" w:rsidRPr="00FB46A1" w:rsidRDefault="00FB46A1" w:rsidP="00882F01">
            <w:pPr>
              <w:rPr>
                <w:rFonts w:ascii="Tahoma" w:hAnsi="Tahoma" w:cs="Tahoma"/>
                <w:sz w:val="17"/>
                <w:szCs w:val="17"/>
              </w:rPr>
            </w:pPr>
          </w:p>
        </w:tc>
        <w:tc>
          <w:tcPr>
            <w:tcW w:w="1134" w:type="dxa"/>
          </w:tcPr>
          <w:p w:rsidR="00FB46A1" w:rsidRPr="00FB46A1" w:rsidRDefault="00A428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shd w:val="clear" w:color="auto" w:fill="auto"/>
          </w:tcPr>
          <w:p w:rsidR="00FB46A1" w:rsidRPr="001E7778" w:rsidRDefault="001E7778"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r w:rsidR="00FB46A1" w:rsidRPr="00FB46A1" w:rsidTr="00F60BE3">
        <w:trPr>
          <w:cantSplit/>
        </w:trPr>
        <w:tc>
          <w:tcPr>
            <w:tcW w:w="1134" w:type="dxa"/>
          </w:tcPr>
          <w:p w:rsidR="00FB46A1" w:rsidRPr="005A1746" w:rsidRDefault="00FB46A1" w:rsidP="00882F01">
            <w:pPr>
              <w:rPr>
                <w:rFonts w:ascii="Tahoma" w:hAnsi="Tahoma" w:cs="Tahoma"/>
                <w:sz w:val="17"/>
                <w:szCs w:val="17"/>
              </w:rPr>
            </w:pPr>
            <w:r>
              <w:rPr>
                <w:rFonts w:ascii="Tahoma" w:hAnsi="Tahoma"/>
                <w:sz w:val="17"/>
                <w:szCs w:val="17"/>
              </w:rPr>
              <w:t>Rosa rugosa</w:t>
            </w:r>
          </w:p>
          <w:p w:rsidR="00FB46A1" w:rsidRPr="00FB46A1" w:rsidRDefault="00FB46A1" w:rsidP="00882F01">
            <w:pPr>
              <w:rPr>
                <w:rFonts w:ascii="Tahoma" w:hAnsi="Tahoma" w:cs="Tahoma"/>
                <w:sz w:val="17"/>
                <w:szCs w:val="17"/>
              </w:rPr>
            </w:pP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A428A1" w:rsidP="00882F01">
            <w:pPr>
              <w:rPr>
                <w:rFonts w:ascii="Tahoma" w:hAnsi="Tahoma" w:cs="Tahoma"/>
                <w:sz w:val="17"/>
                <w:szCs w:val="17"/>
                <w:highlight w:val="yellow"/>
              </w:rPr>
            </w:pPr>
            <w:r>
              <w:rPr>
                <w:rFonts w:ascii="Tahoma" w:hAnsi="Tahoma"/>
                <w:sz w:val="17"/>
                <w:szCs w:val="17"/>
              </w:rPr>
              <w:t xml:space="preserve">Nu </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c>
          <w:tcPr>
            <w:tcW w:w="1134" w:type="dxa"/>
          </w:tcPr>
          <w:p w:rsidR="00FB46A1" w:rsidRPr="00FB46A1" w:rsidRDefault="00882F01" w:rsidP="00882F01">
            <w:pPr>
              <w:rPr>
                <w:rFonts w:ascii="Tahoma" w:hAnsi="Tahoma" w:cs="Tahoma"/>
                <w:sz w:val="17"/>
                <w:szCs w:val="17"/>
              </w:rPr>
            </w:pPr>
            <w:r>
              <w:rPr>
                <w:rFonts w:ascii="Tahoma" w:hAnsi="Tahoma"/>
                <w:sz w:val="17"/>
                <w:szCs w:val="17"/>
              </w:rPr>
              <w:t>Nu</w:t>
            </w:r>
          </w:p>
        </w:tc>
        <w:tc>
          <w:tcPr>
            <w:tcW w:w="1134" w:type="dxa"/>
          </w:tcPr>
          <w:p w:rsidR="00FB46A1" w:rsidRPr="00FB46A1" w:rsidRDefault="00FB46A1" w:rsidP="00882F01">
            <w:pPr>
              <w:rPr>
                <w:rFonts w:ascii="Tahoma" w:hAnsi="Tahoma" w:cs="Tahoma"/>
                <w:sz w:val="17"/>
                <w:szCs w:val="17"/>
              </w:rPr>
            </w:pPr>
            <w:r>
              <w:rPr>
                <w:rFonts w:ascii="Tahoma" w:hAnsi="Tahoma"/>
                <w:sz w:val="17"/>
                <w:szCs w:val="17"/>
              </w:rPr>
              <w:t>Da</w:t>
            </w:r>
          </w:p>
        </w:tc>
      </w:tr>
    </w:tbl>
    <w:p w:rsidR="00FB46A1" w:rsidRDefault="00FB46A1" w:rsidP="00882F01">
      <w:pPr>
        <w:pStyle w:val="stk2"/>
        <w:rPr>
          <w:sz w:val="17"/>
          <w:szCs w:val="17"/>
        </w:rPr>
      </w:pPr>
    </w:p>
    <w:p w:rsidR="00F60BE3" w:rsidRPr="005A1746" w:rsidRDefault="00F60BE3" w:rsidP="00882F01">
      <w:pPr>
        <w:pStyle w:val="stk2"/>
        <w:rPr>
          <w:sz w:val="17"/>
          <w:szCs w:val="17"/>
        </w:rPr>
      </w:pPr>
    </w:p>
    <w:p w:rsidR="005A1746" w:rsidRDefault="005A1746" w:rsidP="00F60BE3">
      <w:pPr>
        <w:pStyle w:val="stk2"/>
        <w:keepNext/>
        <w:keepLines/>
        <w:rPr>
          <w:sz w:val="17"/>
          <w:szCs w:val="17"/>
        </w:rPr>
      </w:pPr>
      <w:r>
        <w:rPr>
          <w:sz w:val="17"/>
          <w:szCs w:val="17"/>
        </w:rPr>
        <w:t>Animale:</w:t>
      </w:r>
    </w:p>
    <w:p w:rsidR="005A1746" w:rsidRDefault="005A1746" w:rsidP="00F60BE3">
      <w:pPr>
        <w:pStyle w:val="stk2"/>
        <w:keepNext/>
        <w:keepLines/>
        <w:rPr>
          <w:sz w:val="17"/>
          <w:szCs w:val="17"/>
        </w:rPr>
      </w:pPr>
    </w:p>
    <w:tbl>
      <w:tblPr>
        <w:tblStyle w:val="TableGrid"/>
        <w:tblW w:w="10206" w:type="dxa"/>
        <w:tblLayout w:type="fixed"/>
        <w:tblLook w:val="04A0" w:firstRow="1" w:lastRow="0" w:firstColumn="1" w:lastColumn="0" w:noHBand="0" w:noVBand="1"/>
      </w:tblPr>
      <w:tblGrid>
        <w:gridCol w:w="1134"/>
        <w:gridCol w:w="1134"/>
        <w:gridCol w:w="1134"/>
        <w:gridCol w:w="1134"/>
        <w:gridCol w:w="1134"/>
        <w:gridCol w:w="1134"/>
        <w:gridCol w:w="1134"/>
        <w:gridCol w:w="1134"/>
        <w:gridCol w:w="1134"/>
      </w:tblGrid>
      <w:tr w:rsidR="005A1746" w:rsidTr="00F60BE3">
        <w:trPr>
          <w:cantSplit/>
        </w:trPr>
        <w:tc>
          <w:tcPr>
            <w:tcW w:w="1134" w:type="dxa"/>
          </w:tcPr>
          <w:p w:rsidR="005A1746" w:rsidRDefault="005A1746" w:rsidP="00F60BE3">
            <w:pPr>
              <w:rPr>
                <w:rFonts w:ascii="Tahoma" w:eastAsia="Calibri" w:hAnsi="Tahoma" w:cs="Tahoma"/>
                <w:sz w:val="17"/>
                <w:szCs w:val="17"/>
              </w:rPr>
            </w:pPr>
            <w:r>
              <w:rPr>
                <w:rFonts w:ascii="Tahoma" w:hAnsi="Tahoma"/>
                <w:sz w:val="17"/>
                <w:szCs w:val="17"/>
              </w:rPr>
              <w:t>Astacus leptodactylus</w:t>
            </w:r>
          </w:p>
          <w:p w:rsidR="00F60BE3" w:rsidRPr="00882F01" w:rsidRDefault="00F60BE3" w:rsidP="00F60BE3">
            <w:pPr>
              <w:rPr>
                <w:sz w:val="17"/>
                <w:szCs w:val="17"/>
              </w:rPr>
            </w:pPr>
          </w:p>
        </w:tc>
        <w:tc>
          <w:tcPr>
            <w:tcW w:w="1134" w:type="dxa"/>
          </w:tcPr>
          <w:p w:rsidR="005A1746" w:rsidRPr="00FB46A1" w:rsidRDefault="00A428A1" w:rsidP="00882F01">
            <w:pPr>
              <w:rPr>
                <w:rFonts w:ascii="Tahoma" w:eastAsia="Calibri" w:hAnsi="Tahoma" w:cs="Tahoma"/>
                <w:sz w:val="17"/>
                <w:szCs w:val="17"/>
              </w:rPr>
            </w:pPr>
            <w:r>
              <w:rPr>
                <w:rFonts w:ascii="Tahoma" w:hAnsi="Tahoma"/>
                <w:sz w:val="17"/>
                <w:szCs w:val="17"/>
              </w:rPr>
              <w:t>Da</w:t>
            </w:r>
          </w:p>
        </w:tc>
        <w:tc>
          <w:tcPr>
            <w:tcW w:w="1134" w:type="dxa"/>
          </w:tcPr>
          <w:p w:rsidR="005A1746" w:rsidRPr="00FB46A1" w:rsidRDefault="002037DC" w:rsidP="00882F01">
            <w:pPr>
              <w:rPr>
                <w:rFonts w:ascii="Tahoma" w:eastAsia="Calibri" w:hAnsi="Tahoma" w:cs="Tahoma"/>
                <w:sz w:val="17"/>
                <w:szCs w:val="17"/>
              </w:rPr>
            </w:pPr>
            <w:r>
              <w:rPr>
                <w:rFonts w:ascii="Tahoma" w:hAnsi="Tahoma"/>
                <w:sz w:val="17"/>
                <w:szCs w:val="17"/>
              </w:rPr>
              <w:t>Nu</w:t>
            </w:r>
          </w:p>
        </w:tc>
        <w:tc>
          <w:tcPr>
            <w:tcW w:w="1134" w:type="dxa"/>
          </w:tcPr>
          <w:p w:rsidR="005A1746" w:rsidRDefault="001E7778" w:rsidP="00882F01">
            <w:pPr>
              <w:pStyle w:val="stk2"/>
              <w:ind w:firstLine="0"/>
              <w:rPr>
                <w:sz w:val="17"/>
                <w:szCs w:val="17"/>
              </w:rPr>
            </w:pPr>
            <w:r>
              <w:rPr>
                <w:sz w:val="17"/>
                <w:szCs w:val="17"/>
              </w:rPr>
              <w:t>Da</w:t>
            </w:r>
          </w:p>
        </w:tc>
        <w:tc>
          <w:tcPr>
            <w:tcW w:w="1134" w:type="dxa"/>
          </w:tcPr>
          <w:p w:rsidR="005A1746" w:rsidRDefault="005A1746" w:rsidP="00882F01">
            <w:pPr>
              <w:pStyle w:val="stk2"/>
              <w:ind w:firstLine="0"/>
              <w:rPr>
                <w:sz w:val="17"/>
                <w:szCs w:val="17"/>
              </w:rPr>
            </w:pPr>
            <w:r>
              <w:rPr>
                <w:sz w:val="17"/>
                <w:szCs w:val="17"/>
              </w:rPr>
              <w:t>Da</w:t>
            </w:r>
          </w:p>
        </w:tc>
        <w:tc>
          <w:tcPr>
            <w:tcW w:w="1134" w:type="dxa"/>
          </w:tcPr>
          <w:p w:rsidR="005A1746" w:rsidRDefault="005A1746" w:rsidP="00882F01">
            <w:pPr>
              <w:pStyle w:val="stk2"/>
              <w:ind w:firstLine="0"/>
              <w:rPr>
                <w:sz w:val="17"/>
                <w:szCs w:val="17"/>
              </w:rPr>
            </w:pPr>
            <w:r>
              <w:rPr>
                <w:sz w:val="17"/>
                <w:szCs w:val="17"/>
              </w:rPr>
              <w:t>Da</w:t>
            </w:r>
          </w:p>
        </w:tc>
        <w:tc>
          <w:tcPr>
            <w:tcW w:w="1134" w:type="dxa"/>
          </w:tcPr>
          <w:p w:rsidR="005A1746" w:rsidRDefault="005A1746" w:rsidP="00882F01">
            <w:pPr>
              <w:pStyle w:val="stk2"/>
              <w:ind w:firstLine="0"/>
              <w:rPr>
                <w:sz w:val="17"/>
                <w:szCs w:val="17"/>
              </w:rPr>
            </w:pPr>
            <w:r>
              <w:rPr>
                <w:sz w:val="17"/>
                <w:szCs w:val="17"/>
              </w:rPr>
              <w:t>Da</w:t>
            </w:r>
          </w:p>
        </w:tc>
        <w:tc>
          <w:tcPr>
            <w:tcW w:w="1134" w:type="dxa"/>
          </w:tcPr>
          <w:p w:rsidR="005A1746" w:rsidRDefault="00A428A1" w:rsidP="00882F01">
            <w:pPr>
              <w:pStyle w:val="stk2"/>
              <w:ind w:firstLine="0"/>
              <w:rPr>
                <w:sz w:val="17"/>
                <w:szCs w:val="17"/>
              </w:rPr>
            </w:pPr>
            <w:r>
              <w:rPr>
                <w:sz w:val="17"/>
                <w:szCs w:val="17"/>
              </w:rPr>
              <w:t>Nu</w:t>
            </w:r>
          </w:p>
        </w:tc>
        <w:tc>
          <w:tcPr>
            <w:tcW w:w="1134" w:type="dxa"/>
          </w:tcPr>
          <w:p w:rsidR="005A1746" w:rsidRPr="00FB46A1" w:rsidRDefault="005A1746" w:rsidP="00882F01">
            <w:pPr>
              <w:rPr>
                <w:rFonts w:ascii="Tahoma" w:eastAsia="Calibri" w:hAnsi="Tahoma" w:cs="Tahoma"/>
                <w:sz w:val="17"/>
                <w:szCs w:val="17"/>
              </w:rPr>
            </w:pPr>
            <w:r>
              <w:rPr>
                <w:rFonts w:ascii="Tahoma" w:hAnsi="Tahoma"/>
                <w:sz w:val="17"/>
                <w:szCs w:val="17"/>
              </w:rPr>
              <w:t>Da</w:t>
            </w:r>
          </w:p>
        </w:tc>
      </w:tr>
    </w:tbl>
    <w:p w:rsidR="0090506E" w:rsidRDefault="0090506E" w:rsidP="00882F01">
      <w:pPr>
        <w:pStyle w:val="stk2"/>
        <w:rPr>
          <w:sz w:val="17"/>
          <w:szCs w:val="17"/>
        </w:rPr>
      </w:pPr>
    </w:p>
    <w:sectPr w:rsidR="009050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16C" w:rsidRDefault="00AA316C" w:rsidP="0043451D">
      <w:pPr>
        <w:spacing w:after="0" w:line="240" w:lineRule="auto"/>
      </w:pPr>
      <w:r>
        <w:separator/>
      </w:r>
    </w:p>
  </w:endnote>
  <w:endnote w:type="continuationSeparator" w:id="0">
    <w:p w:rsidR="00AA316C" w:rsidRDefault="00AA316C" w:rsidP="0043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16C" w:rsidRDefault="00AA316C" w:rsidP="0043451D">
      <w:pPr>
        <w:spacing w:after="0" w:line="240" w:lineRule="auto"/>
      </w:pPr>
      <w:r>
        <w:separator/>
      </w:r>
    </w:p>
  </w:footnote>
  <w:footnote w:type="continuationSeparator" w:id="0">
    <w:p w:rsidR="00AA316C" w:rsidRDefault="00AA316C" w:rsidP="00434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14360"/>
    <w:multiLevelType w:val="hybridMultilevel"/>
    <w:tmpl w:val="68D88076"/>
    <w:lvl w:ilvl="0" w:tplc="FD66CB5E">
      <w:start w:val="1"/>
      <w:numFmt w:val="lowerLetter"/>
      <w:lvlText w:val="%1)"/>
      <w:lvlJc w:val="left"/>
      <w:pPr>
        <w:ind w:left="600" w:hanging="360"/>
      </w:pPr>
      <w:rPr>
        <w:rFonts w:hint="default"/>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abstractNum w:abstractNumId="1" w15:restartNumberingAfterBreak="0">
    <w:nsid w:val="621A4F5A"/>
    <w:multiLevelType w:val="hybridMultilevel"/>
    <w:tmpl w:val="278C7B9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24C242D"/>
    <w:multiLevelType w:val="hybridMultilevel"/>
    <w:tmpl w:val="F45E651A"/>
    <w:lvl w:ilvl="0" w:tplc="283E2296">
      <w:start w:val="1"/>
      <w:numFmt w:val="lowerLetter"/>
      <w:lvlText w:val="%1)"/>
      <w:lvlJc w:val="left"/>
      <w:pPr>
        <w:ind w:left="600" w:hanging="360"/>
      </w:pPr>
      <w:rPr>
        <w:rFonts w:ascii="Tahoma" w:eastAsia="Times New Roman" w:hAnsi="Tahoma" w:cs="Tahoma"/>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1E"/>
    <w:rsid w:val="00020A7D"/>
    <w:rsid w:val="00043365"/>
    <w:rsid w:val="0005581E"/>
    <w:rsid w:val="000C0880"/>
    <w:rsid w:val="000C7E43"/>
    <w:rsid w:val="000E064A"/>
    <w:rsid w:val="000F68D3"/>
    <w:rsid w:val="00123DFD"/>
    <w:rsid w:val="00130BE9"/>
    <w:rsid w:val="001338F7"/>
    <w:rsid w:val="00141DDC"/>
    <w:rsid w:val="00146E41"/>
    <w:rsid w:val="00155E8A"/>
    <w:rsid w:val="001612D4"/>
    <w:rsid w:val="00175052"/>
    <w:rsid w:val="00185DDB"/>
    <w:rsid w:val="001932F8"/>
    <w:rsid w:val="001B4088"/>
    <w:rsid w:val="001C6F96"/>
    <w:rsid w:val="001D155F"/>
    <w:rsid w:val="001D3797"/>
    <w:rsid w:val="001D3B7E"/>
    <w:rsid w:val="001E7778"/>
    <w:rsid w:val="001F0E31"/>
    <w:rsid w:val="002037DC"/>
    <w:rsid w:val="00217B4C"/>
    <w:rsid w:val="00234EE8"/>
    <w:rsid w:val="00243FE1"/>
    <w:rsid w:val="00285751"/>
    <w:rsid w:val="002A33F4"/>
    <w:rsid w:val="002D60AB"/>
    <w:rsid w:val="002F317E"/>
    <w:rsid w:val="00316BB8"/>
    <w:rsid w:val="00321F13"/>
    <w:rsid w:val="00327D53"/>
    <w:rsid w:val="00334FFE"/>
    <w:rsid w:val="003410AD"/>
    <w:rsid w:val="00350A9D"/>
    <w:rsid w:val="00357807"/>
    <w:rsid w:val="00370981"/>
    <w:rsid w:val="00371DE0"/>
    <w:rsid w:val="00377E32"/>
    <w:rsid w:val="00394DE6"/>
    <w:rsid w:val="003A0B7C"/>
    <w:rsid w:val="003B4C53"/>
    <w:rsid w:val="003C0EA2"/>
    <w:rsid w:val="003E02AE"/>
    <w:rsid w:val="003F48B9"/>
    <w:rsid w:val="00401FB6"/>
    <w:rsid w:val="00407283"/>
    <w:rsid w:val="00417E9E"/>
    <w:rsid w:val="0043451D"/>
    <w:rsid w:val="0044632E"/>
    <w:rsid w:val="0045683F"/>
    <w:rsid w:val="004568C6"/>
    <w:rsid w:val="004763E9"/>
    <w:rsid w:val="004A554E"/>
    <w:rsid w:val="004C4AAA"/>
    <w:rsid w:val="004C58B8"/>
    <w:rsid w:val="00522FAD"/>
    <w:rsid w:val="0054217D"/>
    <w:rsid w:val="00554CAD"/>
    <w:rsid w:val="00556C55"/>
    <w:rsid w:val="005576EC"/>
    <w:rsid w:val="0056029F"/>
    <w:rsid w:val="0056752A"/>
    <w:rsid w:val="005A1746"/>
    <w:rsid w:val="005C11F8"/>
    <w:rsid w:val="005C5506"/>
    <w:rsid w:val="005D0C60"/>
    <w:rsid w:val="005D4F74"/>
    <w:rsid w:val="005E4A74"/>
    <w:rsid w:val="0060758E"/>
    <w:rsid w:val="00610E5E"/>
    <w:rsid w:val="0061786F"/>
    <w:rsid w:val="006316FD"/>
    <w:rsid w:val="006326DC"/>
    <w:rsid w:val="0066518B"/>
    <w:rsid w:val="006651DF"/>
    <w:rsid w:val="006672E7"/>
    <w:rsid w:val="0067089E"/>
    <w:rsid w:val="00676695"/>
    <w:rsid w:val="0067717F"/>
    <w:rsid w:val="006C42B1"/>
    <w:rsid w:val="006D41C1"/>
    <w:rsid w:val="006E08FC"/>
    <w:rsid w:val="006E23F7"/>
    <w:rsid w:val="006E7792"/>
    <w:rsid w:val="006E7E63"/>
    <w:rsid w:val="00712D1B"/>
    <w:rsid w:val="007A4F58"/>
    <w:rsid w:val="007D19E3"/>
    <w:rsid w:val="007D2B66"/>
    <w:rsid w:val="007E7D50"/>
    <w:rsid w:val="007F7F25"/>
    <w:rsid w:val="0084359B"/>
    <w:rsid w:val="00871421"/>
    <w:rsid w:val="00875A6A"/>
    <w:rsid w:val="00882F01"/>
    <w:rsid w:val="008A034A"/>
    <w:rsid w:val="008F6F58"/>
    <w:rsid w:val="0090506E"/>
    <w:rsid w:val="00914B01"/>
    <w:rsid w:val="00916169"/>
    <w:rsid w:val="0094227E"/>
    <w:rsid w:val="00943515"/>
    <w:rsid w:val="009465CF"/>
    <w:rsid w:val="0094703C"/>
    <w:rsid w:val="0097173E"/>
    <w:rsid w:val="0098354D"/>
    <w:rsid w:val="009A245B"/>
    <w:rsid w:val="009B19BC"/>
    <w:rsid w:val="009C4BC2"/>
    <w:rsid w:val="009E3413"/>
    <w:rsid w:val="009E4EBD"/>
    <w:rsid w:val="00A0365C"/>
    <w:rsid w:val="00A07917"/>
    <w:rsid w:val="00A21F67"/>
    <w:rsid w:val="00A428A1"/>
    <w:rsid w:val="00A50F85"/>
    <w:rsid w:val="00A51AD1"/>
    <w:rsid w:val="00A735E1"/>
    <w:rsid w:val="00A76581"/>
    <w:rsid w:val="00A8000B"/>
    <w:rsid w:val="00A952EF"/>
    <w:rsid w:val="00AA316C"/>
    <w:rsid w:val="00AE3811"/>
    <w:rsid w:val="00B054D8"/>
    <w:rsid w:val="00B06067"/>
    <w:rsid w:val="00B076A3"/>
    <w:rsid w:val="00B126E3"/>
    <w:rsid w:val="00B26C25"/>
    <w:rsid w:val="00B433FB"/>
    <w:rsid w:val="00B43E99"/>
    <w:rsid w:val="00B46FD8"/>
    <w:rsid w:val="00B54E8E"/>
    <w:rsid w:val="00B55F02"/>
    <w:rsid w:val="00B73901"/>
    <w:rsid w:val="00B744C8"/>
    <w:rsid w:val="00BD56D3"/>
    <w:rsid w:val="00C04347"/>
    <w:rsid w:val="00C17202"/>
    <w:rsid w:val="00C37F9F"/>
    <w:rsid w:val="00C64417"/>
    <w:rsid w:val="00C66BE1"/>
    <w:rsid w:val="00C70112"/>
    <w:rsid w:val="00C7046C"/>
    <w:rsid w:val="00C81B0A"/>
    <w:rsid w:val="00C81BC9"/>
    <w:rsid w:val="00C85B37"/>
    <w:rsid w:val="00C8735E"/>
    <w:rsid w:val="00C90D52"/>
    <w:rsid w:val="00CB56A1"/>
    <w:rsid w:val="00CD5B56"/>
    <w:rsid w:val="00CD7A07"/>
    <w:rsid w:val="00CE0DB1"/>
    <w:rsid w:val="00CF0FA7"/>
    <w:rsid w:val="00CF2F9E"/>
    <w:rsid w:val="00D03CA8"/>
    <w:rsid w:val="00D05CD1"/>
    <w:rsid w:val="00D16856"/>
    <w:rsid w:val="00D36115"/>
    <w:rsid w:val="00D6554D"/>
    <w:rsid w:val="00D713C1"/>
    <w:rsid w:val="00D838E4"/>
    <w:rsid w:val="00DB2B9D"/>
    <w:rsid w:val="00DD4E33"/>
    <w:rsid w:val="00DE4D23"/>
    <w:rsid w:val="00DE7891"/>
    <w:rsid w:val="00E03616"/>
    <w:rsid w:val="00E10A5F"/>
    <w:rsid w:val="00E25FAB"/>
    <w:rsid w:val="00E26136"/>
    <w:rsid w:val="00E472C4"/>
    <w:rsid w:val="00E540AA"/>
    <w:rsid w:val="00E563A8"/>
    <w:rsid w:val="00E74753"/>
    <w:rsid w:val="00E747D6"/>
    <w:rsid w:val="00E8376C"/>
    <w:rsid w:val="00EA6B08"/>
    <w:rsid w:val="00EC5048"/>
    <w:rsid w:val="00EE6747"/>
    <w:rsid w:val="00EF028B"/>
    <w:rsid w:val="00F06364"/>
    <w:rsid w:val="00F124F4"/>
    <w:rsid w:val="00F31E30"/>
    <w:rsid w:val="00F32D8C"/>
    <w:rsid w:val="00F35360"/>
    <w:rsid w:val="00F3572E"/>
    <w:rsid w:val="00F41DFB"/>
    <w:rsid w:val="00F443D3"/>
    <w:rsid w:val="00F44D40"/>
    <w:rsid w:val="00F45D5B"/>
    <w:rsid w:val="00F52A6F"/>
    <w:rsid w:val="00F60BE3"/>
    <w:rsid w:val="00F6578B"/>
    <w:rsid w:val="00F93D85"/>
    <w:rsid w:val="00FB46A1"/>
    <w:rsid w:val="00FE3238"/>
    <w:rsid w:val="00FE7AC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7683E4-C35C-41F8-B351-E339A165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ledning2">
    <w:name w:val="indledning2"/>
    <w:basedOn w:val="Normal"/>
    <w:rsid w:val="0005581E"/>
    <w:pPr>
      <w:spacing w:after="0" w:line="240" w:lineRule="auto"/>
      <w:ind w:firstLine="240"/>
    </w:pPr>
    <w:rPr>
      <w:rFonts w:ascii="Tahoma" w:eastAsia="Times New Roman" w:hAnsi="Tahoma" w:cs="Tahoma"/>
      <w:color w:val="000000"/>
      <w:sz w:val="24"/>
      <w:szCs w:val="24"/>
      <w:lang w:eastAsia="da-DK"/>
    </w:rPr>
  </w:style>
  <w:style w:type="paragraph" w:customStyle="1" w:styleId="kapitel">
    <w:name w:val="kapitel"/>
    <w:basedOn w:val="Normal"/>
    <w:rsid w:val="0005581E"/>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05581E"/>
    <w:pPr>
      <w:spacing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05581E"/>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05581E"/>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05581E"/>
    <w:pPr>
      <w:spacing w:after="0" w:line="240" w:lineRule="auto"/>
      <w:ind w:left="280"/>
    </w:pPr>
    <w:rPr>
      <w:rFonts w:ascii="Tahoma" w:eastAsia="Times New Roman" w:hAnsi="Tahoma" w:cs="Tahoma"/>
      <w:color w:val="000000"/>
      <w:sz w:val="24"/>
      <w:szCs w:val="24"/>
      <w:lang w:eastAsia="da-DK"/>
    </w:rPr>
  </w:style>
  <w:style w:type="paragraph" w:customStyle="1" w:styleId="titel2">
    <w:name w:val="titel2"/>
    <w:basedOn w:val="Normal"/>
    <w:rsid w:val="0005581E"/>
    <w:pPr>
      <w:spacing w:before="200" w:line="240" w:lineRule="auto"/>
      <w:jc w:val="center"/>
    </w:pPr>
    <w:rPr>
      <w:rFonts w:ascii="Tahoma" w:eastAsia="Times New Roman" w:hAnsi="Tahoma" w:cs="Tahoma"/>
      <w:color w:val="000000"/>
      <w:sz w:val="40"/>
      <w:szCs w:val="40"/>
      <w:lang w:eastAsia="da-DK"/>
    </w:rPr>
  </w:style>
  <w:style w:type="character" w:customStyle="1" w:styleId="paragrafnr1">
    <w:name w:val="paragrafnr1"/>
    <w:basedOn w:val="DefaultParagraphFont"/>
    <w:rsid w:val="0005581E"/>
    <w:rPr>
      <w:rFonts w:ascii="Tahoma" w:hAnsi="Tahoma" w:cs="Tahoma" w:hint="default"/>
      <w:b/>
      <w:bCs/>
      <w:color w:val="000000"/>
      <w:sz w:val="24"/>
      <w:szCs w:val="24"/>
      <w:shd w:val="clear" w:color="auto" w:fill="auto"/>
    </w:rPr>
  </w:style>
  <w:style w:type="character" w:customStyle="1" w:styleId="stknr1">
    <w:name w:val="stknr1"/>
    <w:basedOn w:val="DefaultParagraphFont"/>
    <w:rsid w:val="0005581E"/>
    <w:rPr>
      <w:rFonts w:ascii="Tahoma" w:hAnsi="Tahoma" w:cs="Tahoma" w:hint="default"/>
      <w:i/>
      <w:iCs/>
      <w:color w:val="000000"/>
      <w:sz w:val="24"/>
      <w:szCs w:val="24"/>
      <w:shd w:val="clear" w:color="auto" w:fill="auto"/>
    </w:rPr>
  </w:style>
  <w:style w:type="character" w:customStyle="1" w:styleId="paragrafnr2">
    <w:name w:val="paragrafnr2"/>
    <w:basedOn w:val="DefaultParagraphFont"/>
    <w:rsid w:val="0005581E"/>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05581E"/>
    <w:rPr>
      <w:rFonts w:ascii="Tahoma" w:hAnsi="Tahoma" w:cs="Tahoma" w:hint="default"/>
      <w:color w:val="000000"/>
      <w:sz w:val="24"/>
      <w:szCs w:val="24"/>
      <w:shd w:val="clear" w:color="auto" w:fill="auto"/>
    </w:rPr>
  </w:style>
  <w:style w:type="character" w:customStyle="1" w:styleId="paragrafnr3">
    <w:name w:val="paragrafnr3"/>
    <w:basedOn w:val="DefaultParagraphFont"/>
    <w:rsid w:val="0005581E"/>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05581E"/>
    <w:rPr>
      <w:rFonts w:ascii="Tahoma" w:hAnsi="Tahoma" w:cs="Tahoma" w:hint="default"/>
      <w:b/>
      <w:bCs/>
      <w:color w:val="000000"/>
      <w:sz w:val="24"/>
      <w:szCs w:val="24"/>
      <w:shd w:val="clear" w:color="auto" w:fill="auto"/>
    </w:rPr>
  </w:style>
  <w:style w:type="character" w:customStyle="1" w:styleId="paragrafnr5">
    <w:name w:val="paragrafnr5"/>
    <w:basedOn w:val="DefaultParagraphFont"/>
    <w:rsid w:val="0005581E"/>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05581E"/>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05581E"/>
    <w:rPr>
      <w:rFonts w:ascii="Tahoma" w:hAnsi="Tahoma" w:cs="Tahoma" w:hint="default"/>
      <w:b/>
      <w:bCs/>
      <w:color w:val="000000"/>
      <w:sz w:val="24"/>
      <w:szCs w:val="24"/>
      <w:shd w:val="clear" w:color="auto" w:fill="auto"/>
    </w:rPr>
  </w:style>
  <w:style w:type="paragraph" w:styleId="BalloonText">
    <w:name w:val="Balloon Text"/>
    <w:basedOn w:val="Normal"/>
    <w:link w:val="BalloonTextChar"/>
    <w:uiPriority w:val="99"/>
    <w:semiHidden/>
    <w:unhideWhenUsed/>
    <w:rsid w:val="00055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81E"/>
    <w:rPr>
      <w:rFonts w:ascii="Tahoma" w:hAnsi="Tahoma" w:cs="Tahoma"/>
      <w:sz w:val="16"/>
      <w:szCs w:val="16"/>
    </w:rPr>
  </w:style>
  <w:style w:type="character" w:styleId="CommentReference">
    <w:name w:val="annotation reference"/>
    <w:basedOn w:val="DefaultParagraphFont"/>
    <w:uiPriority w:val="99"/>
    <w:semiHidden/>
    <w:unhideWhenUsed/>
    <w:rsid w:val="00217B4C"/>
    <w:rPr>
      <w:sz w:val="16"/>
      <w:szCs w:val="16"/>
    </w:rPr>
  </w:style>
  <w:style w:type="paragraph" w:styleId="CommentText">
    <w:name w:val="annotation text"/>
    <w:basedOn w:val="Normal"/>
    <w:link w:val="CommentTextChar"/>
    <w:uiPriority w:val="99"/>
    <w:semiHidden/>
    <w:unhideWhenUsed/>
    <w:rsid w:val="00217B4C"/>
    <w:pPr>
      <w:spacing w:line="240" w:lineRule="auto"/>
    </w:pPr>
    <w:rPr>
      <w:sz w:val="20"/>
      <w:szCs w:val="20"/>
    </w:rPr>
  </w:style>
  <w:style w:type="character" w:customStyle="1" w:styleId="CommentTextChar">
    <w:name w:val="Comment Text Char"/>
    <w:basedOn w:val="DefaultParagraphFont"/>
    <w:link w:val="CommentText"/>
    <w:uiPriority w:val="99"/>
    <w:semiHidden/>
    <w:rsid w:val="00217B4C"/>
    <w:rPr>
      <w:sz w:val="20"/>
      <w:szCs w:val="20"/>
    </w:rPr>
  </w:style>
  <w:style w:type="paragraph" w:styleId="CommentSubject">
    <w:name w:val="annotation subject"/>
    <w:basedOn w:val="CommentText"/>
    <w:next w:val="CommentText"/>
    <w:link w:val="CommentSubjectChar"/>
    <w:uiPriority w:val="99"/>
    <w:semiHidden/>
    <w:unhideWhenUsed/>
    <w:rsid w:val="00217B4C"/>
    <w:rPr>
      <w:b/>
      <w:bCs/>
    </w:rPr>
  </w:style>
  <w:style w:type="character" w:customStyle="1" w:styleId="CommentSubjectChar">
    <w:name w:val="Comment Subject Char"/>
    <w:basedOn w:val="CommentTextChar"/>
    <w:link w:val="CommentSubject"/>
    <w:uiPriority w:val="99"/>
    <w:semiHidden/>
    <w:rsid w:val="00217B4C"/>
    <w:rPr>
      <w:b/>
      <w:bCs/>
      <w:sz w:val="20"/>
      <w:szCs w:val="20"/>
    </w:rPr>
  </w:style>
  <w:style w:type="paragraph" w:customStyle="1" w:styleId="Normal1">
    <w:name w:val="Normal1"/>
    <w:basedOn w:val="Normal"/>
    <w:rsid w:val="0045683F"/>
    <w:pPr>
      <w:spacing w:before="120" w:after="0" w:line="240" w:lineRule="auto"/>
      <w:jc w:val="both"/>
    </w:pPr>
    <w:rPr>
      <w:rFonts w:ascii="Times New Roman" w:eastAsia="Times New Roman" w:hAnsi="Times New Roman" w:cs="Times New Roman"/>
      <w:sz w:val="24"/>
      <w:szCs w:val="24"/>
      <w:lang w:eastAsia="da-DK"/>
    </w:rPr>
  </w:style>
  <w:style w:type="paragraph" w:styleId="ListParagraph">
    <w:name w:val="List Paragraph"/>
    <w:basedOn w:val="Normal"/>
    <w:uiPriority w:val="34"/>
    <w:qFormat/>
    <w:rsid w:val="0056752A"/>
    <w:pPr>
      <w:ind w:left="720"/>
      <w:contextualSpacing/>
    </w:pPr>
  </w:style>
  <w:style w:type="table" w:customStyle="1" w:styleId="Tabel-Gitter1">
    <w:name w:val="Tabel - Gitter1"/>
    <w:basedOn w:val="TableNormal"/>
    <w:next w:val="TableGrid"/>
    <w:uiPriority w:val="59"/>
    <w:rsid w:val="00FB4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5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451D"/>
  </w:style>
  <w:style w:type="paragraph" w:styleId="Footer">
    <w:name w:val="footer"/>
    <w:basedOn w:val="Normal"/>
    <w:link w:val="FooterChar"/>
    <w:uiPriority w:val="99"/>
    <w:unhideWhenUsed/>
    <w:rsid w:val="004345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7669">
      <w:bodyDiv w:val="1"/>
      <w:marLeft w:val="0"/>
      <w:marRight w:val="0"/>
      <w:marTop w:val="0"/>
      <w:marBottom w:val="0"/>
      <w:divBdr>
        <w:top w:val="none" w:sz="0" w:space="0" w:color="auto"/>
        <w:left w:val="none" w:sz="0" w:space="0" w:color="auto"/>
        <w:bottom w:val="none" w:sz="0" w:space="0" w:color="auto"/>
        <w:right w:val="none" w:sz="0" w:space="0" w:color="auto"/>
      </w:divBdr>
      <w:divsChild>
        <w:div w:id="894463264">
          <w:marLeft w:val="0"/>
          <w:marRight w:val="0"/>
          <w:marTop w:val="0"/>
          <w:marBottom w:val="300"/>
          <w:divBdr>
            <w:top w:val="none" w:sz="0" w:space="0" w:color="auto"/>
            <w:left w:val="none" w:sz="0" w:space="0" w:color="auto"/>
            <w:bottom w:val="none" w:sz="0" w:space="0" w:color="auto"/>
            <w:right w:val="none" w:sz="0" w:space="0" w:color="auto"/>
          </w:divBdr>
          <w:divsChild>
            <w:div w:id="1256791630">
              <w:marLeft w:val="0"/>
              <w:marRight w:val="0"/>
              <w:marTop w:val="0"/>
              <w:marBottom w:val="0"/>
              <w:divBdr>
                <w:top w:val="none" w:sz="0" w:space="0" w:color="auto"/>
                <w:left w:val="single" w:sz="6" w:space="1" w:color="FFFFFF"/>
                <w:bottom w:val="none" w:sz="0" w:space="0" w:color="auto"/>
                <w:right w:val="single" w:sz="6" w:space="1" w:color="FFFFFF"/>
              </w:divBdr>
              <w:divsChild>
                <w:div w:id="924221064">
                  <w:marLeft w:val="0"/>
                  <w:marRight w:val="0"/>
                  <w:marTop w:val="0"/>
                  <w:marBottom w:val="0"/>
                  <w:divBdr>
                    <w:top w:val="none" w:sz="0" w:space="0" w:color="auto"/>
                    <w:left w:val="none" w:sz="0" w:space="0" w:color="auto"/>
                    <w:bottom w:val="none" w:sz="0" w:space="0" w:color="auto"/>
                    <w:right w:val="none" w:sz="0" w:space="0" w:color="auto"/>
                  </w:divBdr>
                  <w:divsChild>
                    <w:div w:id="1166626579">
                      <w:marLeft w:val="0"/>
                      <w:marRight w:val="0"/>
                      <w:marTop w:val="0"/>
                      <w:marBottom w:val="0"/>
                      <w:divBdr>
                        <w:top w:val="none" w:sz="0" w:space="0" w:color="auto"/>
                        <w:left w:val="none" w:sz="0" w:space="0" w:color="auto"/>
                        <w:bottom w:val="none" w:sz="0" w:space="0" w:color="auto"/>
                        <w:right w:val="none" w:sz="0" w:space="0" w:color="auto"/>
                      </w:divBdr>
                      <w:divsChild>
                        <w:div w:id="1846743803">
                          <w:marLeft w:val="0"/>
                          <w:marRight w:val="0"/>
                          <w:marTop w:val="0"/>
                          <w:marBottom w:val="0"/>
                          <w:divBdr>
                            <w:top w:val="none" w:sz="0" w:space="0" w:color="auto"/>
                            <w:left w:val="none" w:sz="0" w:space="0" w:color="auto"/>
                            <w:bottom w:val="none" w:sz="0" w:space="0" w:color="auto"/>
                            <w:right w:val="none" w:sz="0" w:space="0" w:color="auto"/>
                          </w:divBdr>
                          <w:divsChild>
                            <w:div w:id="1299140656">
                              <w:marLeft w:val="0"/>
                              <w:marRight w:val="0"/>
                              <w:marTop w:val="0"/>
                              <w:marBottom w:val="0"/>
                              <w:divBdr>
                                <w:top w:val="none" w:sz="0" w:space="0" w:color="auto"/>
                                <w:left w:val="none" w:sz="0" w:space="0" w:color="auto"/>
                                <w:bottom w:val="none" w:sz="0" w:space="0" w:color="auto"/>
                                <w:right w:val="none" w:sz="0" w:space="0" w:color="auto"/>
                              </w:divBdr>
                              <w:divsChild>
                                <w:div w:id="1755469151">
                                  <w:marLeft w:val="0"/>
                                  <w:marRight w:val="0"/>
                                  <w:marTop w:val="0"/>
                                  <w:marBottom w:val="0"/>
                                  <w:divBdr>
                                    <w:top w:val="none" w:sz="0" w:space="0" w:color="auto"/>
                                    <w:left w:val="none" w:sz="0" w:space="0" w:color="auto"/>
                                    <w:bottom w:val="none" w:sz="0" w:space="0" w:color="auto"/>
                                    <w:right w:val="none" w:sz="0" w:space="0" w:color="auto"/>
                                  </w:divBdr>
                                  <w:divsChild>
                                    <w:div w:id="13161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5001">
      <w:bodyDiv w:val="1"/>
      <w:marLeft w:val="390"/>
      <w:marRight w:val="390"/>
      <w:marTop w:val="0"/>
      <w:marBottom w:val="0"/>
      <w:divBdr>
        <w:top w:val="none" w:sz="0" w:space="0" w:color="auto"/>
        <w:left w:val="none" w:sz="0" w:space="0" w:color="auto"/>
        <w:bottom w:val="none" w:sz="0" w:space="0" w:color="auto"/>
        <w:right w:val="none" w:sz="0" w:space="0" w:color="auto"/>
      </w:divBdr>
    </w:div>
    <w:div w:id="1800486652">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CD51-6024-469F-A165-CCF09F9E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2231</Words>
  <Characters>12718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Nissen</dc:creator>
  <cp:lastModifiedBy>Liu, Lei</cp:lastModifiedBy>
  <cp:revision>5</cp:revision>
  <cp:lastPrinted>2018-02-12T11:17:00Z</cp:lastPrinted>
  <dcterms:created xsi:type="dcterms:W3CDTF">2018-05-31T11:57:00Z</dcterms:created>
  <dcterms:modified xsi:type="dcterms:W3CDTF">2018-06-22T11:55:00Z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