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18" w:rsidRDefault="00000018" w:rsidP="00000018">
      <w:pPr>
        <w:jc w:val="center"/>
        <w:rPr>
          <w:rFonts w:ascii="Courier New" w:hAnsi="Courier New"/>
          <w:sz w:val="20"/>
        </w:rPr>
      </w:pPr>
      <w:r>
        <w:rPr>
          <w:rFonts w:ascii="Courier New" w:hAnsi="Courier New"/>
          <w:sz w:val="20"/>
        </w:rPr>
        <w:t>1. ------IND- 2020 0469 F-- ES- ------ 20210228 --- --- FINAL</w:t>
      </w:r>
    </w:p>
    <w:p w:rsidR="00E53DB4" w:rsidRPr="00970505" w:rsidRDefault="00E53DB4" w:rsidP="00ED3F8B">
      <w:pPr>
        <w:spacing w:after="0" w:line="240" w:lineRule="auto"/>
      </w:pPr>
    </w:p>
    <w:p w:rsidR="004C4E44" w:rsidRDefault="004C4E44" w:rsidP="00ED3F8B">
      <w:pPr>
        <w:spacing w:after="0" w:line="240" w:lineRule="auto"/>
        <w:outlineLvl w:val="1"/>
        <w:rPr>
          <w:rFonts w:ascii="Times New Roman" w:eastAsia="Times New Roman" w:hAnsi="Times New Roman" w:cs="Times New Roman"/>
          <w:b/>
          <w:bCs/>
          <w:sz w:val="36"/>
          <w:szCs w:val="36"/>
        </w:rPr>
      </w:pPr>
      <w:r>
        <w:rPr>
          <w:rFonts w:ascii="Times New Roman" w:hAnsi="Times New Roman"/>
          <w:b/>
          <w:sz w:val="36"/>
        </w:rPr>
        <w:t>Orden, de 29 de diciembre de 2020, relativa a los métodos de exposición, la señalización y los parámetros generales de cálculo del índice de reparabilidad</w:t>
      </w:r>
    </w:p>
    <w:p w:rsidR="00ED3F8B" w:rsidRPr="00970505" w:rsidRDefault="00ED3F8B" w:rsidP="00ED3F8B">
      <w:pPr>
        <w:spacing w:after="0" w:line="240" w:lineRule="auto"/>
        <w:outlineLvl w:val="1"/>
        <w:rPr>
          <w:rFonts w:ascii="Times New Roman" w:eastAsia="Times New Roman" w:hAnsi="Times New Roman" w:cs="Times New Roman"/>
          <w:b/>
          <w:bCs/>
          <w:sz w:val="36"/>
          <w:szCs w:val="36"/>
          <w:lang w:eastAsia="fr-FR"/>
        </w:rPr>
      </w:pPr>
    </w:p>
    <w:p w:rsidR="004C4E44" w:rsidRPr="00970505" w:rsidRDefault="004C4E44" w:rsidP="00ED3F8B">
      <w:pPr>
        <w:spacing w:after="0"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Versión inicial </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Personas a las que afecta: Productores, importadores, distribuidores u otras personas que comercializan aparatos eléctricos y electrónicos y vendedores de estos aparatos, así como aquellos que usan un sitio web, plataforma o cualquier otro canal de distribución en línea como parte de su actividad comercial en Francia. </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Objeto: Métodos de exposición, señalización y parámetros generales de cálculo del índice de reparabilidad. </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Entrada en vigor: El texto entrará en vigor el 1 de enero de 2021. </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Nota explicativa: La presente Orden establece los métodos de exposición, la señalización y los parámetros generales de cálculo del índice de reparabilidad. </w:t>
      </w: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xml:space="preserve">Referencias: la presente Orden podrá consultarse en el sitio web de Légifrance (https://www.legifrance.gouv.fr). </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La Ministra de la Transición Ecológica y el Ministro de Economía, Hacienda y Recuperación,</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Visto el Reglamento (UE) n.º 2019/2021 de la Comisión, de 1 de octubre de 2019, por el que se establecen requisitos de diseño ecológico aplicables a las pantallas electrónicas con arreglo a la Directiva 2009/125/CE del Parlamento Europeo y del Consejo, se modifica el Reglamento (CE) n.º 1275/2008 de la Comisión y se deroga el Reglamento (CE) n.º 642/2009 de la Comisión;</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Visto el Código de Medio Ambiente, en particular el artículo L. 541-9-2;</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Visto el Decreto n.º 2020-1757, de 29 de diciembre de 2020, relativo al índice de reparabilidad de los aparatos eléctricos y electrónicos,</w:t>
      </w:r>
    </w:p>
    <w:p w:rsidR="004C4E44" w:rsidRDefault="004C4E44" w:rsidP="00ED3F8B">
      <w:pPr>
        <w:keepNext/>
        <w:spacing w:after="0" w:line="240" w:lineRule="auto"/>
        <w:rPr>
          <w:rFonts w:ascii="Times New Roman" w:eastAsia="Times New Roman" w:hAnsi="Times New Roman" w:cs="Times New Roman"/>
          <w:sz w:val="24"/>
          <w:szCs w:val="24"/>
        </w:rPr>
      </w:pPr>
      <w:r>
        <w:rPr>
          <w:rFonts w:ascii="Times New Roman" w:hAnsi="Times New Roman"/>
          <w:sz w:val="24"/>
        </w:rPr>
        <w:t>Disponen:</w:t>
      </w:r>
    </w:p>
    <w:p w:rsidR="00ED3F8B" w:rsidRPr="00970505" w:rsidRDefault="00ED3F8B" w:rsidP="00ED3F8B">
      <w:pPr>
        <w:keepNext/>
        <w:spacing w:after="0" w:line="240" w:lineRule="auto"/>
        <w:rPr>
          <w:rFonts w:ascii="Times New Roman" w:eastAsia="Times New Roman" w:hAnsi="Times New Roman" w:cs="Times New Roman"/>
          <w:sz w:val="24"/>
          <w:szCs w:val="24"/>
          <w:lang w:eastAsia="fr-FR"/>
        </w:rPr>
      </w:pPr>
    </w:p>
    <w:p w:rsidR="004C4E44" w:rsidRDefault="004C4E44" w:rsidP="00ED3F8B">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Artículo 1</w:t>
      </w:r>
    </w:p>
    <w:p w:rsidR="00ED3F8B" w:rsidRPr="00970505" w:rsidRDefault="00ED3F8B" w:rsidP="00ED3F8B">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FB0990" w:rsidP="00ED3F8B">
      <w:pPr>
        <w:keepNext/>
        <w:spacing w:after="0" w:line="240" w:lineRule="auto"/>
        <w:ind w:left="450"/>
        <w:rPr>
          <w:rFonts w:ascii="Times New Roman" w:eastAsia="Times New Roman" w:hAnsi="Times New Roman" w:cs="Times New Roman"/>
          <w:sz w:val="24"/>
          <w:szCs w:val="24"/>
          <w:lang w:eastAsia="fr-FR"/>
        </w:rPr>
      </w:pPr>
    </w:p>
    <w:p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La presente Orden se aplicará a todos los aparatos eléctricos y electrónicos respecto de los cuales se vaya a calcular y presentar el índice de reparabilidad según las disposiciones de los artículos R. 541-210 a R. 541-214 del Código de Medio Ambiente.</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Artículo 2</w:t>
      </w:r>
    </w:p>
    <w:p w:rsidR="00FB0990" w:rsidRDefault="00FB0990" w:rsidP="00ED3F8B">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ED3F8B">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Para todos los productos eléctricos y electrónicos mencionados en el artículo 1, el índice de reparabilidad se presentará como una puntuación sobre 10 que podrá incluir un decimal después de la coma.</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Si el número después del primer decimal es inferior a 5, la puntuación se redondeará al decimal más bajo.</w:t>
      </w:r>
    </w:p>
    <w:p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lastRenderedPageBreak/>
        <w:t>Si el número después del primer decimal es mayor o igual a 5, la puntuación se redondeará al siguiente decimal.</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Artículo 3</w:t>
      </w:r>
    </w:p>
    <w:p w:rsidR="00FB0990" w:rsidRDefault="00FB0990" w:rsidP="00ED3F8B">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ED3F8B">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En función de la puntuación así obtenida, se utilizarán los siguientes códigos de color para la presentación del índice:</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1) puntuación mayor o igual a 0 e inferior o igual a 1,9: rojo, referencia Pantone 186 C;</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2) puntuación mayor o igual a 2 e inferior o igual a 3,9: naranja, referencia Pantone 1585 C;</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3) puntuación mayor o igual a 4 e inferior o igual a 5,9: amarillo, referencia Pantone 7548 C;</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4) puntuación mayor o igual a 6 e inferior o igual a 7,9: verde claro, referencia Pantone 2291 C;</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5) puntuación mayor o igual a 8 e inferior o igual a 10: verde oscuro, referencia Pantone 347 C.</w:t>
      </w:r>
    </w:p>
    <w:p w:rsidR="004C4E44"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La señalización obligatoria para la presentación del índice de reparabilidad será la representación gráfica compuesta por las palabras «índice de reparabilidad» y el pictograma que indica la puntuación del índice que se muestra a continuación.</w:t>
      </w: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Puede consultar la totalidad del texto con sus imágenes en el extracto del Boletín Oficial electrónico autentificado accesible a partir de la parte inferior de la página,</w:t>
      </w:r>
    </w:p>
    <w:p w:rsidR="00FB0990" w:rsidRDefault="00FB0990" w:rsidP="00ED3F8B">
      <w:pPr>
        <w:spacing w:after="0" w:line="240" w:lineRule="auto"/>
        <w:ind w:left="450"/>
        <w:rPr>
          <w:rFonts w:ascii="Times New Roman" w:eastAsia="Times New Roman" w:hAnsi="Times New Roman" w:cs="Times New Roman"/>
          <w:sz w:val="24"/>
          <w:szCs w:val="24"/>
          <w:lang w:eastAsia="fr-FR"/>
        </w:rPr>
      </w:pPr>
    </w:p>
    <w:p w:rsidR="003D645A" w:rsidRPr="00970505" w:rsidRDefault="003D645A" w:rsidP="00ED3F8B">
      <w:pPr>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El tamaño de fuente de los dígitos de la puntuación sobre 10 deberá ser al menos igual al tamaño de fuente de los dígitos en el precio de venta. Cualquier ajuste del tamaño de esta señalización deberá hacerse de manera uniforme.</w:t>
      </w:r>
    </w:p>
    <w:p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En caso de que el índice también se adhiera directamente a cada unidad de modelo o al envase mediante etiquetado o marcado, el tamaño de la representación gráfica deberá ser visible y legible.</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Artículo 4</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Cada subcriterio del índice se puntuará sobre diez y se le asignará un coeficiente que permita obtener una puntuación sobre 20 por criterio, como se indica en la tabla a continuación. La suma, a igual ponderación, de las puntuaciones para cada criterio dará como resultado un total sobre cien, reducido a una puntuación sobre diez del índice.</w:t>
      </w:r>
    </w:p>
    <w:p w:rsidR="004C4E44"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La comunicación y la puesta a disposición de los parámetros utilizados para establecer el índice de reparabilidad de cada aparato se presentarán de acuerdo con la siguiente tabla, en formato digital no modificable, con dimensiones de 21 × 29,7 cm.</w:t>
      </w: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24"/>
        <w:gridCol w:w="1878"/>
        <w:gridCol w:w="1313"/>
        <w:gridCol w:w="1286"/>
        <w:gridCol w:w="1301"/>
        <w:gridCol w:w="1554"/>
      </w:tblGrid>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Subcriterio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Puntuación del subcriterio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Coeficiente del subcriterio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Puntuación del criterio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Total de las puntuaciones de los criterios</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1. Documentación</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1.1. Período de disponibilidad de la documentación técnica y relacionada con los consejos de utilización y mantenimiento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▀▀/100</w:t>
            </w: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2. Desmontaje y acceso, herramientas, fijaciones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2.1. Facilidad de desmontaje de las piezas de la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2.2. Herramientas necesarias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2.3. Características de las fijaciones entre las piezas de la lista 1(**) y de la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 Disponibilidad de piezas de repuesto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3.1. Período de disponibilidad de las piezas de la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3.2. Período de disponibilidad de las piezas de la lista 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3.3. Tiempo de entrega de las piezas de la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3.4. Tiempo de entrega de las piezas de la lista 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4. Precio de las piezas de repuesto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4.1. Relación de precios de las piezas de la lista 2 con los precios de los aparatos nuevos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5. Criterio específico</w:t>
            </w: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(ejemplo con 3 subcriterios)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right"/>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right"/>
              <w:rPr>
                <w:rFonts w:ascii="Times New Roman" w:eastAsia="Times New Roman" w:hAnsi="Times New Roman" w:cs="Times New Roman"/>
                <w:sz w:val="24"/>
                <w:szCs w:val="24"/>
              </w:rPr>
            </w:pPr>
            <w:r>
              <w:rPr>
                <w:rFonts w:ascii="Times New Roman" w:hAnsi="Times New Roman"/>
                <w:sz w:val="24"/>
              </w:rPr>
              <w:t>Puntuación del índice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rFonts w:ascii="Times New Roman" w:eastAsia="Times New Roman" w:hAnsi="Times New Roman" w:cs="Times New Roman"/>
                <w:sz w:val="24"/>
                <w:szCs w:val="24"/>
              </w:rPr>
            </w:pPr>
            <w:r>
              <w:rPr>
                <w:rFonts w:ascii="Times New Roman" w:hAnsi="Times New Roman"/>
                <w:sz w:val="24"/>
              </w:rPr>
              <w:t>▀▀/10</w:t>
            </w:r>
          </w:p>
        </w:tc>
      </w:tr>
      <w:tr w:rsidR="004C4E44" w:rsidRPr="00970505" w:rsidTr="004C4E44">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Lista 2: lista de un máximo de 3 a 5 piezas de repuesto (según la categoría del aparato en cuestión) cuyas roturas o averías son las más frecuentes.</w:t>
            </w: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 Lista 1: lista de un máximo de otras 10 piezas de repuesto (según la categoría del aparato en cuestión) cuyo buen estado es necesario para el funcionamiento del aparato.</w:t>
            </w:r>
          </w:p>
        </w:tc>
      </w:tr>
    </w:tbl>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Para un criterio, la suma de los coeficientes de los subcriterios debe ser igual a 2.</w:t>
      </w:r>
    </w:p>
    <w:p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Las cuadrículas de puntuación detalladas específicas para cada categoría de aparato, que indican las listas de piezas y los detalles de cada subcriterio, se definirán mediante orden.</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Artículo 5</w:t>
      </w:r>
    </w:p>
    <w:p w:rsidR="00FB0990" w:rsidRDefault="00FB0990" w:rsidP="00A74E8F">
      <w:pPr>
        <w:keepNext/>
        <w:spacing w:after="0" w:line="240" w:lineRule="auto"/>
        <w:ind w:left="446"/>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46"/>
        <w:rPr>
          <w:rFonts w:ascii="Times New Roman" w:eastAsia="Times New Roman" w:hAnsi="Times New Roman" w:cs="Times New Roman"/>
          <w:sz w:val="24"/>
          <w:szCs w:val="24"/>
          <w:lang w:eastAsia="fr-FR"/>
        </w:rPr>
      </w:pP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Criterio n.º 1 - Documentación:</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Subcriterio 1.1. - Período de disponibilidad de la documentación técnica y relacionada con los consejos de utilización y mantenimiento:</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Determinado por el compromiso del productor de poner a disposición de los talleres de reparación autorizados e independientes y de los consumidores, de forma gratuita, los documentos técnicos, así como los documentos relativos a los consejos de utilización y mantenimiento para los consumidores, durante varios años a partir de la comercialización de la última unidad.</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Criterio n.º 2 - Desmontaje y acceso, herramientas, fijaciones:</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Subcriterio 2.1. - Facilidad de desmontaje de las piezas de la lista 2:</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Determinado por el número de pasos de desmontaje que permiten acceder individualmente a cada pieza de la lista 2 y separarla del aparato, con miras a su sustitución. Se establece un vínculo entre la puntuación de este subcriterio y la del subcriterio 3.1, en caso de que una pieza no pueda desmontarse: la puntuación cero repercute entonces de un subcriterio a otro.</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Subcriterio 2.2. - Herramientas necesarias:</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Determinado por el tipo de herramientas necesarias para desmontar cada pieza de la lista 2, de acuerdo con la tipología que distingue entre herramientas «comunes», «específicas» o «propietarias».</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lastRenderedPageBreak/>
        <w:t>Subcriterio 2.3. - Características de las fijaciones:</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Determinado, para cada pieza de las listas 1 y 2, por el tipo de fijaciones que aseguran su ensamblaje a otras piezas del aparato, de acuerdo con la tipología que distingue entre fijaciones «extraíbles y reutilizables», «extraíbles y no reutilizables» o «no extraíbles ni reutilizables».</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Criterio n.º 3 - Disponibilidad de las piezas de repuesto:</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Subcriterio 3.1. - Período de disponibilidad de las piezas de la lista 2:</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Determinado por el compromiso del productor de poner a disposición de los distribuidores de piezas de repuesto, de los talleres de reparación autorizados e independientes y de los consumidores, las piezas de la lista 2, durante varios años a partir de la comercialización de la última unidad.</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Subcriterio 3.2. - Período de disponibilidad de las piezas de la lista 1:</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Determinado por el compromiso del productor de poner a disposición de los distribuidores de piezas de repuesto, de los talleres de reparación autorizados e independientes y de los consumidores, las piezas de la lista 1, durante varios años a partir de la comercialización de la última unidad.</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Subcriterio 3.3. - Tiempo de entrega de las piezas de la lista 2:</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Determinado por el compromiso del productor de cumplir con un plazo de entrega, en número de días hábiles a partir del día del pedido de las piezas de la lista 2, a distribuidores de piezas de repuesto, talleres de reparación autorizados e independientes y a los consumidores.</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Subcriterio 3.4. - Tiempo de entrega de las piezas de la lista 1:</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Determinado por el compromiso del productor de cumplir con un plazo de entrega, en número de días hábiles a partir del día del pedido de las piezas de la lista 1, a distribuidores de piezas de repuesto, talleres de reparación autorizados e independientes y a los consumidores.</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Criterio n.º 4 - Precio de las piezas de repuesto:</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 xml:space="preserve">Subcriterio 4.1. - Relación entre el precio de venta del productor o importador para las piezas y para los aparatos: </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El criterio se establece al determinar la relación:</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entre</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el precio sin impuestos de la pieza más cara de la lista 2 + (promedio de los precios sin impuestos de las otras piezas de la lista 2)/2</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y</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el precio sin impuestos del modelo del aparato en cuestión,</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donde cada precio se entiende como el precio impuestos excluidos de la lista de precios vigente en el momento del cálculo del índice y que figura en las condiciones generales de venta del productor o del importador o, en su defecto, en cualquier documento contractual relevante.</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En caso de que un productor o importador tenga, para las piezas o aparatos considerados, varias listas de precios según las diferentes categorías de clientes distribuidores o vendedores, los precios utilizados para el cálculo del índice serán los de la lista que haya representado la mayor parte de la facturación del productor o del importador por las piezas o el aparato en cuestión, durante el último ejercicio económico cerrado. Para los aparatos y las piezas de nueva comercialización, cuando exista más de una lista de precios, se utilizarán los de la lista en la que sean más bajos.</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En caso de que algunas de estas piezas sean inseparables o en el caso de que la pieza en cuestión esté integrada en un módulo, que sea el único disponible, el precio que se tendrá en cuenta será el precio acumulativo de las piezas o el precio del módulo.</w:t>
      </w: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lastRenderedPageBreak/>
        <w:t>Criterio n.º 5 - Criterio específico de la categoría de aparato en cuestión:</w:t>
      </w:r>
    </w:p>
    <w:p w:rsidR="004C4E44"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Este criterio está compuesto por uno o más subcriterios, específicos de la categoría del aparato en cuestión. Cuando esto es relevante para la categoría de aparato en cuestión, el criterio específico n.º 5 de la categoría incluirá un subcriterio relacionado con la presencia de un medidor de uso visible para el consumidor, cuyo coeficiente será al menos 1.</w:t>
      </w:r>
    </w:p>
    <w:p w:rsidR="00ED3F8B" w:rsidRPr="00970505" w:rsidRDefault="00ED3F8B" w:rsidP="00ED3F8B">
      <w:pPr>
        <w:spacing w:after="0" w:line="240" w:lineRule="auto"/>
        <w:ind w:left="446"/>
        <w:rPr>
          <w:rFonts w:ascii="Times New Roman" w:eastAsia="Times New Roman" w:hAnsi="Times New Roman" w:cs="Times New Roman"/>
          <w:sz w:val="24"/>
          <w:szCs w:val="24"/>
          <w:lang w:eastAsia="fr-FR"/>
        </w:rPr>
      </w:pPr>
    </w:p>
    <w:p w:rsidR="004C4E44"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Artículo 6</w:t>
      </w:r>
    </w:p>
    <w:p w:rsidR="00234310" w:rsidRDefault="00234310"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ED3F8B" w:rsidRPr="0097050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4C4E44" w:rsidP="00A74E8F">
      <w:pPr>
        <w:keepNext/>
        <w:spacing w:after="0" w:line="240" w:lineRule="auto"/>
        <w:ind w:left="446"/>
        <w:rPr>
          <w:rFonts w:ascii="Times New Roman" w:eastAsia="Times New Roman" w:hAnsi="Times New Roman" w:cs="Times New Roman"/>
          <w:sz w:val="24"/>
          <w:szCs w:val="24"/>
        </w:rPr>
      </w:pPr>
      <w:r>
        <w:rPr>
          <w:rFonts w:ascii="Times New Roman" w:hAnsi="Times New Roman"/>
          <w:sz w:val="24"/>
        </w:rPr>
        <w:t>I. - Listas de piezas</w:t>
      </w:r>
    </w:p>
    <w:p w:rsidR="004C4E44"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Se definen dos listas de piezas para cada categoría de aparatos:</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 lista 2: lista de un máximo de tres a cinco piezas de repuesto (según la categoría del aparato en cuestión) cuya rotura o avería es la más frecuente,</w:t>
      </w:r>
    </w:p>
    <w:p w:rsidR="004C4E44"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 lista 1: lista de un máximo de otras diez piezas de repuesto (según la categoría del aparato en cuestión) cuyo buen estado es necesario para el funcionamiento del aparato.</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Estas listas no cubren necesariamente todas las partes que componen el aparato.</w:t>
      </w:r>
    </w:p>
    <w:p w:rsidR="00FB0990"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II. - Definición de «paso»</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Un «paso» es una operación que se traduce en el desmontaje de un componente o de una pieza o en un cambio de herramienta. Un componente puede incluir una o más piezas.</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Esta definición general podrá permitir excepciones justificadas por consideraciones prácticas o de seguridad. Estas excepciones se especificarán mediante orden del Ministro de Medio Ambiente y del Ministro de Economía y Hacienda para cada categoría de aparato.</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Las fijaciones o uniones se definen como técnicas de montaje, fijación o sellado. Los elementos de fijación o conexión no se considerarán piezas.</w:t>
      </w:r>
    </w:p>
    <w:p w:rsidR="00FB0990"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III. - Tipos de fijaciones</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Extraíble y reutilizable: un sistema de fijación original que puede quitarse por completo sin dañar el aparato ni dejar residuos y que puede reutilizarse.</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Extraíble y no reutilizable: un sistema de fijación original que puede quitarse por completo sin causar daños ni dejar residuos, pero que no puede reutilizarse.</w:t>
      </w:r>
    </w:p>
    <w:p w:rsidR="00FB0990"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Ni extraíble ni reutilizable: un sistema de fijación original que no puede quitarse por completo sin dañar el aparato o dejar residuos y que no puede reutilizarse.</w:t>
      </w:r>
    </w:p>
    <w:p w:rsidR="00FB0990"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IV. - Tipos de herramientas</w:t>
      </w:r>
    </w:p>
    <w:p w:rsidR="004C4E44" w:rsidRPr="00970505" w:rsidRDefault="004C4E44" w:rsidP="00A74E8F">
      <w:pPr>
        <w:keepNext/>
        <w:spacing w:after="0" w:line="240" w:lineRule="auto"/>
        <w:ind w:left="450"/>
        <w:rPr>
          <w:rFonts w:ascii="Times New Roman" w:eastAsia="Times New Roman" w:hAnsi="Times New Roman" w:cs="Times New Roman"/>
          <w:sz w:val="24"/>
          <w:szCs w:val="24"/>
        </w:rPr>
      </w:pPr>
      <w:r>
        <w:rPr>
          <w:rFonts w:ascii="Times New Roman" w:hAnsi="Times New Roman"/>
          <w:sz w:val="24"/>
        </w:rPr>
        <w:t>La lista de herramientas comunes está compuesta por la siguiente lista correspondiente a las normas de referencia:</w:t>
      </w:r>
    </w:p>
    <w:p w:rsidR="004C4E44" w:rsidRDefault="004C4E44" w:rsidP="00A74E8F">
      <w:pPr>
        <w:keepNext/>
        <w:spacing w:after="0" w:line="240" w:lineRule="auto"/>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70"/>
        <w:gridCol w:w="2386"/>
      </w:tblGrid>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Herramientas comunes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Referencia</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Destornilladores para tornillos de cabeza ranurada, con muesca cruciforme y de hueco hexalobular interno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2380, ISO 8764, ISO 10664</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Llave para tornillos de cabeza hueca hexagonal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2936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Llave combinada</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7738</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Alicates universales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5746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Alicates de punta redonda</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5745</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Alicates de corte diagonal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5749</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Tenazas de abertura múltiple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8976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Alicates de bloqueo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Alicates universales para decapar y engastar terminales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Palanca</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Tenazas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Martillo (cabeza metálica)</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ISO 15601</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Cuchillo universal (cortador) con hoja retráctil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Multímetro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Voltímetro (probador de voltaje)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Soldador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Pistola de pegamento</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Lupa</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w:t>
            </w:r>
          </w:p>
        </w:tc>
      </w:tr>
    </w:tbl>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Las «herramientas específicas» son herramientas que no figuran en la lista de herramientas comunes, sin ser herramientas propietarias.</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Las «herramientas propietarias» son herramientas cuya propiedad intelectual es propiedad del productor o de un agente específico.</w:t>
      </w:r>
    </w:p>
    <w:p w:rsidR="00FB0990" w:rsidRPr="00970505"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V. - Medidor de uso</w:t>
      </w:r>
    </w:p>
    <w:p w:rsidR="004C4E44" w:rsidRDefault="004C4E44" w:rsidP="00ED3F8B">
      <w:pPr>
        <w:spacing w:after="0" w:line="240" w:lineRule="auto"/>
        <w:ind w:left="446"/>
        <w:rPr>
          <w:rFonts w:ascii="Times New Roman" w:eastAsia="Times New Roman" w:hAnsi="Times New Roman" w:cs="Times New Roman"/>
          <w:sz w:val="24"/>
          <w:szCs w:val="24"/>
        </w:rPr>
      </w:pPr>
      <w:r>
        <w:rPr>
          <w:rFonts w:ascii="Times New Roman" w:hAnsi="Times New Roman"/>
          <w:sz w:val="24"/>
        </w:rPr>
        <w:t>Dispositivo que registra de manera acumulativa el uso del aparato en número de unidades. El medidor de uso podrá estar directamente a la vista del consumidor cada vez que se inicie el dispositivo o bien será necesaria una operación voluntaria por parte del usuario para conocer el valor que muestra.</w:t>
      </w:r>
    </w:p>
    <w:p w:rsidR="00ED3F8B" w:rsidRPr="00970505" w:rsidRDefault="00ED3F8B" w:rsidP="00ED3F8B">
      <w:pPr>
        <w:spacing w:after="0" w:line="240" w:lineRule="auto"/>
        <w:ind w:left="446"/>
        <w:rPr>
          <w:rFonts w:ascii="Times New Roman" w:eastAsia="Times New Roman" w:hAnsi="Times New Roman" w:cs="Times New Roman"/>
          <w:sz w:val="24"/>
          <w:szCs w:val="24"/>
          <w:lang w:eastAsia="fr-FR"/>
        </w:rPr>
      </w:pPr>
    </w:p>
    <w:p w:rsidR="004C4E44"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lastRenderedPageBreak/>
        <w:t>Artículo 7</w:t>
      </w:r>
    </w:p>
    <w:p w:rsidR="00ED3F8B" w:rsidRPr="0097050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FB0990" w:rsidP="00A74E8F">
      <w:pPr>
        <w:keepNext/>
        <w:spacing w:after="0" w:line="240" w:lineRule="auto"/>
        <w:ind w:left="450"/>
        <w:rPr>
          <w:rFonts w:ascii="Times New Roman" w:eastAsia="Times New Roman" w:hAnsi="Times New Roman" w:cs="Times New Roman"/>
          <w:sz w:val="24"/>
          <w:szCs w:val="24"/>
          <w:lang w:eastAsia="fr-FR"/>
        </w:rPr>
      </w:pPr>
    </w:p>
    <w:p w:rsidR="004C4E44"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Las disposiciones de la presente Orden entrarán en vigor el 1 de enero de 2021.</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rFonts w:ascii="Times New Roman" w:eastAsia="Times New Roman" w:hAnsi="Times New Roman" w:cs="Times New Roman"/>
          <w:b/>
          <w:bCs/>
          <w:sz w:val="24"/>
          <w:szCs w:val="24"/>
        </w:rPr>
      </w:pPr>
      <w:r>
        <w:rPr>
          <w:rFonts w:ascii="Times New Roman" w:hAnsi="Times New Roman"/>
          <w:b/>
          <w:sz w:val="24"/>
        </w:rPr>
        <w:t>Artículo 8</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spacing w:after="0" w:line="240" w:lineRule="auto"/>
        <w:ind w:left="450"/>
        <w:rPr>
          <w:rFonts w:ascii="Times New Roman" w:eastAsia="Times New Roman" w:hAnsi="Times New Roman" w:cs="Times New Roman"/>
          <w:sz w:val="24"/>
          <w:szCs w:val="24"/>
        </w:rPr>
      </w:pPr>
      <w:r>
        <w:rPr>
          <w:rFonts w:ascii="Times New Roman" w:hAnsi="Times New Roman"/>
          <w:sz w:val="24"/>
        </w:rPr>
        <w:t>La presente Orden se publicará en el Boletín Oficial de la República Francesa.</w:t>
      </w:r>
    </w:p>
    <w:p w:rsidR="00FB0990" w:rsidRDefault="00FB0990" w:rsidP="00ED3F8B">
      <w:pPr>
        <w:spacing w:after="0" w:line="240" w:lineRule="auto"/>
        <w:rPr>
          <w:rFonts w:ascii="Times New Roman" w:eastAsia="Times New Roman" w:hAnsi="Times New Roman" w:cs="Times New Roman"/>
          <w:sz w:val="24"/>
          <w:szCs w:val="24"/>
          <w:lang w:eastAsia="fr-FR"/>
        </w:rPr>
      </w:pPr>
    </w:p>
    <w:p w:rsidR="00F23DB7" w:rsidRPr="00970505" w:rsidRDefault="00F23DB7"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A 29 de diciembre de 2020.</w:t>
      </w: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La Ministra de la Transición Ecológica,</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En nombre de la Ministra y por delegación:</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El Comisionado General para el Desarrollo Sostenible,</w:t>
      </w: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T. Lesueur</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El Ministro de Economía, Hacienda y Recuperación,</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En nombre del Ministro y por delegación:</w:t>
      </w:r>
    </w:p>
    <w:p w:rsidR="00FB0990"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La Directora General de Competencia, Consumo y Represión del Fraude,</w:t>
      </w:r>
    </w:p>
    <w:p w:rsidR="004C4E44" w:rsidRPr="00970505" w:rsidRDefault="004C4E44" w:rsidP="00ED3F8B">
      <w:pPr>
        <w:spacing w:after="0" w:line="240" w:lineRule="auto"/>
        <w:rPr>
          <w:rFonts w:ascii="Times New Roman" w:eastAsia="Times New Roman" w:hAnsi="Times New Roman" w:cs="Times New Roman"/>
          <w:sz w:val="24"/>
          <w:szCs w:val="24"/>
        </w:rPr>
      </w:pPr>
      <w:r>
        <w:rPr>
          <w:rFonts w:ascii="Times New Roman" w:hAnsi="Times New Roman"/>
          <w:sz w:val="24"/>
        </w:rPr>
        <w:t>V. Beaumeunier</w:t>
      </w:r>
      <w:bookmarkStart w:id="0" w:name="_GoBack"/>
      <w:bookmarkEnd w:id="0"/>
    </w:p>
    <w:sectPr w:rsidR="004C4E44" w:rsidRPr="009705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395" w:rsidRDefault="00AD2395" w:rsidP="00573A33">
      <w:pPr>
        <w:spacing w:after="0" w:line="240" w:lineRule="auto"/>
      </w:pPr>
      <w:r>
        <w:separator/>
      </w:r>
    </w:p>
  </w:endnote>
  <w:endnote w:type="continuationSeparator" w:id="0">
    <w:p w:rsidR="00AD2395" w:rsidRDefault="00AD2395" w:rsidP="0057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395" w:rsidRDefault="00AD2395" w:rsidP="00573A33">
      <w:pPr>
        <w:spacing w:after="0" w:line="240" w:lineRule="auto"/>
      </w:pPr>
      <w:r>
        <w:separator/>
      </w:r>
    </w:p>
  </w:footnote>
  <w:footnote w:type="continuationSeparator" w:id="0">
    <w:p w:rsidR="00AD2395" w:rsidRDefault="00AD2395" w:rsidP="00573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44"/>
    <w:rsid w:val="00000018"/>
    <w:rsid w:val="000B7DA7"/>
    <w:rsid w:val="000F132F"/>
    <w:rsid w:val="00192BA8"/>
    <w:rsid w:val="00234310"/>
    <w:rsid w:val="003D645A"/>
    <w:rsid w:val="004C4E44"/>
    <w:rsid w:val="004D0FF9"/>
    <w:rsid w:val="00573A33"/>
    <w:rsid w:val="008A0823"/>
    <w:rsid w:val="009318CB"/>
    <w:rsid w:val="00970505"/>
    <w:rsid w:val="00A74E8F"/>
    <w:rsid w:val="00AD2395"/>
    <w:rsid w:val="00E53DB4"/>
    <w:rsid w:val="00ED3F8B"/>
    <w:rsid w:val="00F23DB7"/>
    <w:rsid w:val="00FB099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A3F75DC-D5BD-40CC-AF8C-05B6F9D8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A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3A33"/>
  </w:style>
  <w:style w:type="paragraph" w:styleId="Footer">
    <w:name w:val="footer"/>
    <w:basedOn w:val="Normal"/>
    <w:link w:val="FooterChar"/>
    <w:uiPriority w:val="99"/>
    <w:unhideWhenUsed/>
    <w:rsid w:val="00573A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181901">
      <w:bodyDiv w:val="1"/>
      <w:marLeft w:val="0"/>
      <w:marRight w:val="0"/>
      <w:marTop w:val="0"/>
      <w:marBottom w:val="0"/>
      <w:divBdr>
        <w:top w:val="none" w:sz="0" w:space="0" w:color="auto"/>
        <w:left w:val="none" w:sz="0" w:space="0" w:color="auto"/>
        <w:bottom w:val="none" w:sz="0" w:space="0" w:color="auto"/>
        <w:right w:val="none" w:sz="0" w:space="0" w:color="auto"/>
      </w:divBdr>
    </w:div>
    <w:div w:id="1511601776">
      <w:bodyDiv w:val="1"/>
      <w:marLeft w:val="0"/>
      <w:marRight w:val="0"/>
      <w:marTop w:val="0"/>
      <w:marBottom w:val="0"/>
      <w:divBdr>
        <w:top w:val="none" w:sz="0" w:space="0" w:color="auto"/>
        <w:left w:val="none" w:sz="0" w:space="0" w:color="auto"/>
        <w:bottom w:val="none" w:sz="0" w:space="0" w:color="auto"/>
        <w:right w:val="none" w:sz="0" w:space="0" w:color="auto"/>
      </w:divBdr>
      <w:divsChild>
        <w:div w:id="451559851">
          <w:marLeft w:val="0"/>
          <w:marRight w:val="0"/>
          <w:marTop w:val="0"/>
          <w:marBottom w:val="0"/>
          <w:divBdr>
            <w:top w:val="none" w:sz="0" w:space="0" w:color="auto"/>
            <w:left w:val="none" w:sz="0" w:space="0" w:color="auto"/>
            <w:bottom w:val="none" w:sz="0" w:space="0" w:color="auto"/>
            <w:right w:val="none" w:sz="0" w:space="0" w:color="auto"/>
          </w:divBdr>
          <w:divsChild>
            <w:div w:id="1274484901">
              <w:marLeft w:val="0"/>
              <w:marRight w:val="0"/>
              <w:marTop w:val="0"/>
              <w:marBottom w:val="0"/>
              <w:divBdr>
                <w:top w:val="none" w:sz="0" w:space="0" w:color="auto"/>
                <w:left w:val="none" w:sz="0" w:space="0" w:color="auto"/>
                <w:bottom w:val="none" w:sz="0" w:space="0" w:color="auto"/>
                <w:right w:val="none" w:sz="0" w:space="0" w:color="auto"/>
              </w:divBdr>
            </w:div>
            <w:div w:id="5002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48440-920E-419E-BB95-26E6CD8A2035}">
  <ds:schemaRefs>
    <ds:schemaRef ds:uri="http://schemas.microsoft.com/sharepoint/v3/contenttype/forms"/>
  </ds:schemaRefs>
</ds:datastoreItem>
</file>

<file path=customXml/itemProps2.xml><?xml version="1.0" encoding="utf-8"?>
<ds:datastoreItem xmlns:ds="http://schemas.openxmlformats.org/officeDocument/2006/customXml" ds:itemID="{38D68643-B4E1-4B98-94AC-E3F669A9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8163B9-A96E-47B1-A99C-A07EEA6B7E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2239</Words>
  <Characters>12767</Characters>
  <Application>Microsoft Office Word</Application>
  <DocSecurity>0</DocSecurity>
  <Lines>106</Lines>
  <Paragraphs>29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UGARTE, Esther</cp:lastModifiedBy>
  <cp:revision>11</cp:revision>
  <dcterms:created xsi:type="dcterms:W3CDTF">2021-01-04T15:30:00Z</dcterms:created>
  <dcterms:modified xsi:type="dcterms:W3CDTF">2021-02-15T15:31:00Z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