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szCs w:val="20"/>
        </w:rPr>
        <w:t>1. ------IND- 2020 0581 E-- RO-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C70938" w:rsidRDefault="009C4D64" w:rsidP="00B503A1">
      <w:pPr>
        <w:jc w:val="both"/>
        <w:rPr>
          <w:rFonts w:ascii="Arial" w:hAnsi="Arial" w:cs="Arial"/>
          <w:spacing w:val="-4"/>
        </w:rPr>
      </w:pPr>
      <w:r w:rsidRPr="00C70938">
        <w:rPr>
          <w:rFonts w:ascii="Arial" w:hAnsi="Arial"/>
          <w:bCs/>
          <w:caps/>
          <w:spacing w:val="-4"/>
        </w:rPr>
        <w:t xml:space="preserve">PROIECT DE </w:t>
      </w:r>
      <w:r w:rsidRPr="00C70938">
        <w:rPr>
          <w:rFonts w:ascii="Arial" w:hAnsi="Arial"/>
          <w:iCs/>
          <w:caps/>
          <w:spacing w:val="-4"/>
        </w:rPr>
        <w:t xml:space="preserve">DECRET REGAL …/2020, din ..., de </w:t>
      </w:r>
      <w:r w:rsidRPr="00C70938">
        <w:rPr>
          <w:rFonts w:ascii="Arial" w:hAnsi="Arial"/>
          <w:spacing w:val="-4"/>
        </w:rPr>
        <w:t>APROBARE A STANDARDULUI DE CALITATE PENTRU ULEIUL DE MĂSLINE ȘI ULEIUL DIN RESTURI DE MĂSLINE</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 xml:space="preserve">Spania este principalul producător și exportator mondial de ulei de măsline. Plantația de măslini și uleiul de măsline alcătuiesc un sector cu o mare relevanță economică, socială și comercială în țara noastră și pe piețele internaționale, cu o cerere în continuă creștere. Obiectivul prezentului decret regal este de a actualiza legislația </w:t>
      </w:r>
      <w:r>
        <w:rPr>
          <w:rFonts w:ascii="Arial" w:hAnsi="Arial"/>
          <w:iCs/>
        </w:rPr>
        <w:t>pentru a o adapta la situația actuală a sectorului și la progresele tehnologice,</w:t>
      </w:r>
      <w:r>
        <w:rPr>
          <w:rFonts w:ascii="Arial" w:hAnsi="Arial"/>
        </w:rPr>
        <w:t xml:space="preserve"> promovând calitatea uleiului de măsline ca unul dintre pilonii de bază pentru dezvoltarea acestui sector.</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În Spania,</w:t>
      </w:r>
      <w:r>
        <w:rPr>
          <w:rStyle w:val="Strong"/>
        </w:rPr>
        <w:t xml:space="preserve"> </w:t>
      </w:r>
      <w:r>
        <w:t>Decretul 2484/1967 din 21 septembrie 1967 de aprobare a textului Codului alimentar spaniol, face referire la uleiurile de măsline în capitolul XVI secțiunea 2. Această chestiune a fost elaborată și reglementată în mod specific în Decretul regal 308/1983 din 25 ianuarie 1983 de aprobare a Reglementării tehnico-sanitare a uleiurilor vegetale comestibile.</w:t>
      </w:r>
    </w:p>
    <w:p w14:paraId="11F5D3F9" w14:textId="1E67EC52" w:rsidR="00090536" w:rsidRPr="00DE35E8" w:rsidRDefault="00090536" w:rsidP="00B503A1">
      <w:pPr>
        <w:spacing w:after="240"/>
        <w:jc w:val="both"/>
        <w:rPr>
          <w:rFonts w:ascii="Arial" w:hAnsi="Arial" w:cs="Arial"/>
        </w:rPr>
      </w:pPr>
      <w:r>
        <w:rPr>
          <w:rFonts w:ascii="Arial" w:hAnsi="Arial"/>
        </w:rPr>
        <w:t xml:space="preserve">În Uniunea Europeană, reglementările privind uleiul de măsline și uleiul din resturi de măsline sunt armonizate prin Regulamentul (CEE) nr. 2568/1991 al Comisiei din 11 iulie 1991 privind caracteristicile uleiurilor de măsline și ale uleiurilor din resturi de măsline, precum și metodele de analiză a acestora și </w:t>
      </w:r>
      <w:r>
        <w:rPr>
          <w:rFonts w:ascii="Arial" w:hAnsi="Arial"/>
          <w:bCs/>
        </w:rPr>
        <w:t>Regulamentul (UE) nr. 1308/2013 al Parlamentului European și al Consiliului din 17 decembrie 2013 de instituire a unei organizări comune a piețelor produselor agricole și de abrogare a Regulamentelor (CEE) nr. 922/72, (CEE) nr. 234/79, (CE) nr. 1037/2001 și (CE) nr. 1234/2007 ale Consiliului.</w:t>
      </w:r>
      <w:r>
        <w:rPr>
          <w:rFonts w:ascii="Arial" w:hAnsi="Arial"/>
        </w:rPr>
        <w:t xml:space="preserve"> Acestea stabilesc denumirile, definițiile, caracteristicile fizico-chimice și organoleptice și metodele de prelevare și analiză a produselor menționate.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De asemenea, prin Regulamentul de punere în aplicare (UE) nr. 29/2012 al Comisiei din 13 ianuarie 2012 privind standardele de comercializare a uleiului de măsline, sunt elaborate standardele de comercializare și procedura de colaborare administrativă între Comisie și statele membre cu privire la standardele de control aplicabile acestor produse. Prezentul regulament abrogă Regulamentul (CE) nr. 1019/2002, care a fost elaborat în țara noastră cu măsuri complementare prin Decretul regal 1431/2003 </w:t>
      </w:r>
      <w:r>
        <w:rPr>
          <w:rStyle w:val="Strong"/>
          <w:rFonts w:ascii="Arial" w:hAnsi="Arial"/>
          <w:b w:val="0"/>
        </w:rPr>
        <w:t>din 21 noiembrie 2003 de stabilire a anumitor măsuri de comercializare în sectorul alimentar a uleiurilor de măsline și a uleiului din resturi de măsline.</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Decretul regal 308/1983 din 25 ianuarie 1983 a fost modificat în mod repetat și, de asemenea, evoluția condițiilor de producție și consum în aceste aproape patru decenii face necesară înlocuirea acestuia cu o măsură nouă și specifică pentru uleiurile de măsline și din resturi de măsline, având în vedere unicitatea lor și relevanța pe care această producție o are în țara noastră. Deținerea propriului standard, separat de cel dedicat altor uleiuri vegetale, va contribui la o mai bună adaptare a sistemelor de producție și autocontrol, precum și a standardelor de ambalare și etichetare la reglementările europene și la evoluția criteriilor și a progreselor tehnologice. Pe lângă actualizarea conținutului său, standardul este restructurat și simplificat, eliminând aspectele igienico-sanitare care sunt elaborate și armonizate în reglementările comunitare orizontale aplicabile în domeniu.</w:t>
      </w:r>
    </w:p>
    <w:p w14:paraId="7A8064F9" w14:textId="1DD88362" w:rsidR="00090536" w:rsidRPr="00DE35E8" w:rsidRDefault="00090536" w:rsidP="00B503A1">
      <w:pPr>
        <w:pStyle w:val="Default"/>
        <w:jc w:val="both"/>
        <w:rPr>
          <w:color w:val="auto"/>
        </w:rPr>
      </w:pPr>
      <w:r>
        <w:rPr>
          <w:color w:val="auto"/>
        </w:rPr>
        <w:lastRenderedPageBreak/>
        <w:t>În consecință, conținutul secțiunii 2 din capitolul XVI al Codului alimentar spaniol, aprobat prin Decretul 2484/1967 din 21 septembrie 1967, precum și prin Decretul regal 308/1983 din 25 ianuarie 1983, menționat anterior în ceea ce privește uleiurile de măsline și din resturi de măsline se abrogă. Pe de altă parte, reglementarea acestei chestiuni era afectată de o problemă de dispersie reglementară care a fost abordată prin combinarea dispozițiilor aplicabile uleiurilor de măsline și din resturi de măsline, de aceea este necesară abrogarea acestor standarde, care va avea un efect favorabil în ceea ce privește securitatea juridică.</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Prezentul standard este aplicabil tuturor uleiurilor de măsline și din resturi de măsline produse și comercializate în Spania, fără a se aduce atingere conformității cu clauza de recunoaștere reciprocă a Uniunii Europene. </w:t>
      </w:r>
    </w:p>
    <w:p w14:paraId="0A7F473E" w14:textId="77777777" w:rsidR="00090536" w:rsidRPr="00DE35E8" w:rsidRDefault="00090536" w:rsidP="00B503A1">
      <w:pPr>
        <w:pStyle w:val="Default"/>
        <w:jc w:val="both"/>
        <w:rPr>
          <w:color w:val="auto"/>
        </w:rPr>
      </w:pPr>
    </w:p>
    <w:p w14:paraId="55AE692A" w14:textId="6D3F8A27" w:rsidR="003A288D" w:rsidRPr="00C70938" w:rsidRDefault="00090536" w:rsidP="00B503A1">
      <w:pPr>
        <w:pStyle w:val="Default"/>
        <w:spacing w:after="240"/>
        <w:jc w:val="both"/>
        <w:rPr>
          <w:color w:val="auto"/>
          <w:spacing w:val="-4"/>
        </w:rPr>
      </w:pPr>
      <w:r w:rsidRPr="00C70938">
        <w:rPr>
          <w:color w:val="auto"/>
          <w:spacing w:val="-4"/>
        </w:rPr>
        <w:t xml:space="preserve">Pentru a păstra și a valorifica uleiurile de măsline și din resturi de măsline, precum și pentru a evita posibilele practici frauduloase, este necesar ca în prezentul standard să se stabilească anumite obligații ale operatorilor din sector în ceea ce privește instalațiile, practicile neautorizate, documentele însoțitoare și trasabilitatea produselor. </w:t>
      </w:r>
      <w:r w:rsidRPr="00C70938">
        <w:rPr>
          <w:color w:val="auto"/>
          <w:spacing w:val="-4"/>
          <w:shd w:val="clear" w:color="auto" w:fill="FFFFFF"/>
        </w:rPr>
        <w:t xml:space="preserve">Aceste obligații și interdicții trebuie să se aplice tuturor operatorilor, înțelegând ca atare persoanele fizice sau juridice care participă la oricare dintre etapele de producție și de comercializare a uleiurilor de măsline și din resturi de măsline, incluzând, prin urmare, centrele de cumpărare de măsline, cooperativele sau presele de ulei mobile, printre altele. </w:t>
      </w:r>
    </w:p>
    <w:p w14:paraId="6681DADD" w14:textId="6743B4E5" w:rsidR="00090536" w:rsidRPr="00DE35E8" w:rsidRDefault="00936DB3" w:rsidP="00B503A1">
      <w:pPr>
        <w:pStyle w:val="Default"/>
        <w:spacing w:after="240"/>
        <w:jc w:val="both"/>
        <w:rPr>
          <w:color w:val="auto"/>
        </w:rPr>
      </w:pPr>
      <w:r>
        <w:rPr>
          <w:color w:val="auto"/>
        </w:rPr>
        <w:t>La punerea în aplicare a articolului 7a din Regulamentul (CEE) nr. 2568/91 și fără a se aduce atingere dispozițiilor Regulamentului (CE) nr. 178/2002, este obligatorie menținerea unui sistem de trasabilitate standardizat care să permită localizarea cu ușurință a produselor și să insiste asupra identificării corecte a acestora în toate etapele de producție, transport și comercializare a uleiurilor care fac obiectul standardului.</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Sistemul de trasabilitate va contribui la promovarea calității alimentelor, la îmbunătățirea încrederii consumatorilor, la diferențierea produselor de alte produse similare, la recuperarea și consolidarea pieței și la garantarea, după caz, a retragerii selective a produselor.</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Pentru a facilita îndeplinirea de către operatori a obligațiilor conform standardului și pentru ca autoritățile competente să le controleze, este necesar să se pună în aplicare un sistem computerizat care să armonizeze datele privind circulația uleiului de măsline și a uleiului din resturi de măsline.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În ceea ce privește informațiile alimentare, precum și toleranțele privind controlul conținutului efectiv al unui recipient, dispozițiile Regulamentului (UE) nr. 1169/2011 al Parlamentului European și al Consiliului din 25 octombrie 2011 privind informarea consumatorilor cu privire la produsele alimentare, precum și Decretul regal 1801/2008 din 3 noiembrie 2008 de stabilire a normelor privind cantitățile nominale pentru produsele ambalate și controlul conținutului efectiv al acestora.</w:t>
      </w:r>
    </w:p>
    <w:p w14:paraId="0C057730" w14:textId="6B25078C" w:rsidR="005C2C0C" w:rsidRPr="00C70938" w:rsidRDefault="005C2C0C" w:rsidP="00C70938">
      <w:pPr>
        <w:keepNext/>
        <w:keepLines/>
        <w:autoSpaceDE w:val="0"/>
        <w:autoSpaceDN w:val="0"/>
        <w:adjustRightInd w:val="0"/>
        <w:spacing w:before="100" w:beforeAutospacing="1" w:after="100" w:afterAutospacing="1"/>
        <w:jc w:val="both"/>
        <w:rPr>
          <w:rFonts w:ascii="Arial" w:hAnsi="Arial" w:cs="Arial"/>
          <w:spacing w:val="-4"/>
        </w:rPr>
      </w:pPr>
      <w:r w:rsidRPr="00C70938">
        <w:rPr>
          <w:rFonts w:ascii="Arial" w:hAnsi="Arial"/>
          <w:spacing w:val="-4"/>
        </w:rPr>
        <w:lastRenderedPageBreak/>
        <w:t>În conformitate cu politicile Uniunii Europene în domeniul dezvoltării durabile și în special cu cele referitoare la reducerea utilizării materialelor plastice, utilizarea acestui material este limitată în prezentul standard pentru unele produse a căror imagine poate fi, de asemenea, afectată în anumite forme de prezentare precum recipientele din plastic.</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Având în vedere importanța cooperării și colaborării dintre administrațiile publice, este oportun să se stabilească un plan de control specific pentru verificarea trasabilității sectorului uleiului de măsline și al uleiului din resturi de măsline, care poate fi pus în aplicare de către autoritățile competente de control al calității și de apărare împotriva fraudei și care va fi adoptat de Comisia de coordonare a calității produselor alimentare. </w:t>
      </w:r>
    </w:p>
    <w:p w14:paraId="1AAAE751" w14:textId="1C165D2B" w:rsidR="00661336" w:rsidRPr="00DE35E8" w:rsidRDefault="00661336" w:rsidP="00B503A1">
      <w:pPr>
        <w:pStyle w:val="Default"/>
        <w:jc w:val="both"/>
        <w:rPr>
          <w:color w:val="auto"/>
        </w:rPr>
      </w:pPr>
      <w:r>
        <w:rPr>
          <w:color w:val="auto"/>
        </w:rPr>
        <w:t xml:space="preserve">Pe de altă parte, pentru a îmbunătăți transparența informațiilor referitoare la controalele de conformitate ale uleiurilor de măsline efectuate de autoritățile competente, Ministerul Agriculturii, Pescuitului și Alimentației elaborează și publică un raport care include rezultatele acțiunilor întreprinse.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Prezentul decret regal a fost supus procedurii prevăzute în Directiva (UE) 2015/1535 a Parlamentului European și a Consiliului din 9 septembrie 2015 referitoare la procedura de furnizare de informații în domeniul reglementărilor tehnice și al normelor privind serviciile societății informaționale și în Decretul regal 1337/1999 din 31 iulie 1999 de reglementare a procedurii de furnizare de informații în domeniul normelor și reglementărilor tehnice și al regulamentelor privind serviciile societății informaționale.</w:t>
      </w:r>
    </w:p>
    <w:p w14:paraId="438C14E9" w14:textId="1E6F66D7" w:rsidR="001B6D0C" w:rsidRPr="00C70938" w:rsidRDefault="001B6D0C" w:rsidP="00B503A1">
      <w:pPr>
        <w:pStyle w:val="Default"/>
        <w:spacing w:after="240"/>
        <w:jc w:val="both"/>
        <w:rPr>
          <w:color w:val="auto"/>
          <w:spacing w:val="-4"/>
        </w:rPr>
      </w:pPr>
      <w:r w:rsidRPr="00C70938">
        <w:rPr>
          <w:color w:val="auto"/>
          <w:spacing w:val="-4"/>
        </w:rPr>
        <w:t>Conținutul prezentului decret regal este în conformitate cu principiile bunei reglementări prevăzute la articolul 129 din Legea nr. 39/2015 din 1 octombrie 2015 privind procedura administrativă comună a administrațiilor publice. Astfel, în temeiul principiilor necesității și eficacității, prezentul standard se justifică prin necesitatea de a stabili o clasificare adecvată a sectorului uleiului de măsline și din resturi de măsline, abrogarea Decretului regal 308/1983 din 25 ianuarie 1983 de aprobare a Reglementării tehnico-sanitare a uleiurilor vegetale comestibile, în secțiunea referitoare la uleiurile de măsline și din resturi de măsline și aprobarea unui nou standard de calitate care reglementează în mod specific uleiul de măsline și din resturi măsline, fiind modalitatea cea mai potrivită de a realiza acest lucru. De asemenea, la stabilirea reglementărilor și limitarea sarcinilor administrative la cele absolut necesare pentru realizarea scopurilor prevăzute, au fost luate în considerare principiile eficienței și proporționalității. În aplicarea principiului transparenței, pe lângă procesul de consultare publică, cum ar cel de informare publică, pe durata elaborării acestei prevederi au fost consultate comunitățile autonome, precum și entitățile reprezentative din sectoarele afectate și consumatorii, și Comisia interministerială pentru gestionarea produselor alimentare a emis un raport obligatoriu. În cele din urmă, decretul regal aderă la principiul securității juridice, menținând coerența cu restul sistemului juridic aplicabil și lăsând operatorilor perioadele tranzitorii necesare pentru a se adapta la standard.</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Prezentul decret regal este emis în temeiul dispozițiilor articolului 149 alineatul (1) punctul 13 din Constituția Spaniei, care atribuie statului competența exclusivă în ceea ce privește condițiile și coordonarea planificării generale a activității economice. </w:t>
      </w:r>
    </w:p>
    <w:p w14:paraId="2B5EAD10" w14:textId="77777777" w:rsidR="00B776A3" w:rsidRPr="00DE35E8" w:rsidRDefault="00B776A3" w:rsidP="00B503A1">
      <w:pPr>
        <w:pStyle w:val="Default"/>
        <w:spacing w:after="240"/>
        <w:jc w:val="both"/>
        <w:rPr>
          <w:color w:val="auto"/>
        </w:rPr>
      </w:pPr>
      <w:r>
        <w:rPr>
          <w:color w:val="auto"/>
        </w:rPr>
        <w:lastRenderedPageBreak/>
        <w:t>De asemenea, Legea 28/2015 din 30 iulie 2015 privind apărarea calității produselor alimentare stabilește temeiul juridic în materie de apărare a calității produselor alimentare, stabilind reglementările sale de bază. În cea de-a patra dispoziție finală, aceasta autorizează guvernul să aprobe standardele de calitate pentru produsele alimentare. Aceste standarde permit asigurarea și menținerea calității produselor oferite pe piață, întrucât o caracterizare și clasificare a acestora facilitează procesul de alegere al consumatorilor prin faptul că li se oferă posibilitatea de a compara și a alege ceea ce se potrivește cel mai bine gusturilor sau nevoilor lor.</w:t>
      </w:r>
    </w:p>
    <w:p w14:paraId="641893D6" w14:textId="010C894B" w:rsidR="00090536" w:rsidRPr="00DE35E8" w:rsidRDefault="00090536" w:rsidP="00B503A1">
      <w:pPr>
        <w:pStyle w:val="Default"/>
        <w:jc w:val="both"/>
        <w:rPr>
          <w:color w:val="auto"/>
        </w:rPr>
      </w:pPr>
      <w:r>
        <w:rPr>
          <w:color w:val="auto"/>
        </w:rPr>
        <w:t xml:space="preserve">În temeiul acestora, la propunerea ministrului agriculturii, pescuitului și alimentației, a ministrului consumului și a ministrului industriei, comerțului și turismului, în acord cu Consiliul de Stat și după deliberarea Consiliului de miniștri în cadrul reuniunii sale din……….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DISPUN:</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Articolul 1. </w:t>
      </w:r>
      <w:r>
        <w:rPr>
          <w:rFonts w:ascii="Arial" w:hAnsi="Arial"/>
          <w:i/>
        </w:rPr>
        <w:t>Obiectul.</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Obiectul prezentului decret regal este de a stabili standardul de calitate pentru uleiurile de măsline și uleiurile din resturi de măsline. </w:t>
      </w:r>
    </w:p>
    <w:p w14:paraId="72CC39D6" w14:textId="77777777" w:rsidR="009C4D64" w:rsidRPr="00DE35E8" w:rsidRDefault="009C4D64" w:rsidP="00B503A1">
      <w:pPr>
        <w:spacing w:before="360" w:after="360"/>
        <w:jc w:val="both"/>
        <w:rPr>
          <w:rFonts w:ascii="Arial" w:hAnsi="Arial" w:cs="Arial"/>
          <w:i/>
        </w:rPr>
      </w:pPr>
      <w:r>
        <w:rPr>
          <w:rFonts w:ascii="Arial" w:hAnsi="Arial"/>
          <w:b/>
        </w:rPr>
        <w:t>Articolul 2.</w:t>
      </w:r>
      <w:r>
        <w:rPr>
          <w:rFonts w:ascii="Arial" w:hAnsi="Arial"/>
          <w:b/>
          <w:i/>
        </w:rPr>
        <w:t xml:space="preserve"> </w:t>
      </w:r>
      <w:r>
        <w:rPr>
          <w:rFonts w:ascii="Arial" w:hAnsi="Arial"/>
          <w:i/>
        </w:rPr>
        <w:t>Domeniul de aplicare</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Prezentul standard se aplică tuturor uleiurilor de măsline și uleiurilor din resturi de măsline fabricate și comercializate în Spania, fără a se aduce atingere dispozițiilor clauzei de recunoaștere reciprocă.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De asemenea, se aplică operatorilor care produc sau comercializează uleiuri de măsline și ulei din resturi de măsline în Spania. </w:t>
      </w:r>
    </w:p>
    <w:p w14:paraId="7A10942A" w14:textId="4AD932FE" w:rsidR="00AB71F9" w:rsidRPr="00DE35E8" w:rsidRDefault="00AB71F9" w:rsidP="00B503A1">
      <w:pPr>
        <w:spacing w:before="360" w:after="360"/>
        <w:jc w:val="both"/>
        <w:rPr>
          <w:rFonts w:ascii="Arial" w:hAnsi="Arial" w:cs="Arial"/>
          <w:b/>
          <w:i/>
        </w:rPr>
      </w:pPr>
      <w:r>
        <w:rPr>
          <w:rFonts w:ascii="Arial" w:hAnsi="Arial"/>
          <w:b/>
        </w:rPr>
        <w:t>Articolul 3.</w:t>
      </w:r>
      <w:r>
        <w:rPr>
          <w:rFonts w:ascii="Arial" w:hAnsi="Arial"/>
          <w:b/>
          <w:i/>
        </w:rPr>
        <w:t xml:space="preserve"> </w:t>
      </w:r>
      <w:r>
        <w:rPr>
          <w:rFonts w:ascii="Arial" w:hAnsi="Arial"/>
          <w:i/>
        </w:rPr>
        <w:t>Denumirile și definițiile produselor.</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Definițiile și denumirile diferitelor categorii de produse în care sunt clasificate uleiurile de măsline și uleiurile de resturi de măsline sunt cele stabilite în partea VIII din anexa VII la Regulamentul (UE) nr. 1308/2013 al Parlamentului European și al Consiliului din 17 decembrie 2013 de instituire a unei organizări comune a piețelor produselor agricole și de abrogare a Regulamentelor (CEE) nr. 922/72, (CEE) nr. 234/79, (CE) nr. 1037/2001 și (CE) nr. 1234/2007 ale Consiliului și în reglementările europene prin care este pus în aplicare sau îl înlocuiesc.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lastRenderedPageBreak/>
        <w:t>(2) În sensul prezentului decret regal, se consideră următoarele definiții:</w:t>
      </w:r>
    </w:p>
    <w:p w14:paraId="367FE3EC" w14:textId="28BA55D0" w:rsidR="00B56228" w:rsidRPr="00DE35E8" w:rsidRDefault="009F53DF" w:rsidP="00B503A1">
      <w:pPr>
        <w:spacing w:after="160"/>
        <w:jc w:val="both"/>
        <w:rPr>
          <w:rFonts w:ascii="Arial" w:hAnsi="Arial" w:cs="Arial"/>
        </w:rPr>
      </w:pPr>
      <w:r>
        <w:rPr>
          <w:rFonts w:ascii="Arial" w:hAnsi="Arial"/>
        </w:rPr>
        <w:t xml:space="preserve">(a) „centru de cumpărare și/sau recepție a măslinelor” înseamnă instalația dedicată cumpărării și/sau recepției măslinelor de la diferiți fermieri pentru a le livra unei prese de ulei sau unei fabrici de prelucrare, fără a efectua nicio prelucrare a fructelor;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„presă de ulei” înseamnă presa sau instalația în care </w:t>
      </w:r>
      <w:hyperlink r:id="rId8" w:tooltip="Ulei de măsline" w:history="1">
        <w:r>
          <w:rPr>
            <w:rFonts w:ascii="Arial" w:hAnsi="Arial"/>
          </w:rPr>
          <w:t>uleiul</w:t>
        </w:r>
      </w:hyperlink>
      <w:r>
        <w:rPr>
          <w:rFonts w:ascii="Arial" w:hAnsi="Arial"/>
        </w:rPr>
        <w:t xml:space="preserve"> de măsline virgin este obținut prin mijloace mecanice sau fizice prin măcinarea </w:t>
      </w:r>
      <w:hyperlink r:id="rId9" w:tooltip="Măslină" w:history="1">
        <w:r>
          <w:rPr>
            <w:rFonts w:ascii="Arial" w:hAnsi="Arial"/>
          </w:rPr>
          <w:t>măslinelor</w:t>
        </w:r>
      </w:hyperlink>
      <w:r>
        <w:rPr>
          <w:rFonts w:ascii="Arial" w:hAnsi="Arial"/>
        </w:rPr>
        <w:t xml:space="preserve">, a fructelor întregi și brute de </w:t>
      </w:r>
      <w:r>
        <w:rPr>
          <w:rFonts w:ascii="Arial" w:hAnsi="Arial"/>
          <w:i/>
        </w:rPr>
        <w:t xml:space="preserve">Olea europaea </w:t>
      </w:r>
      <w:r>
        <w:rPr>
          <w:rFonts w:ascii="Arial" w:hAnsi="Arial"/>
        </w:rPr>
        <w:t xml:space="preserve">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„presă de ulei mobilă” înseamnă o presă care poate fi deplasată pentru a măcina măsline, fructe întregi și brute de </w:t>
      </w:r>
      <w:r>
        <w:rPr>
          <w:rFonts w:ascii="Arial" w:hAnsi="Arial"/>
          <w:i/>
        </w:rPr>
        <w:t>Olea europaea</w:t>
      </w:r>
      <w:r>
        <w:rPr>
          <w:rFonts w:ascii="Arial" w:hAnsi="Arial"/>
        </w:rPr>
        <w:t xml:space="preserve"> L., in situ pentru a obține ulei de măsline virgin și care nu are un amplasament fizic specific sau fix;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„linie de îmbuteliere a uleiului” înseamnă fabrica sau instalația în care uleiurile de măsline și din resturi de măsline sunt îmbuteliate pentru consumul uman;</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„rafinărie” înseamnă fabrica sau instalația în care se realizează rafinarea uleiurilor de măsline și din resturi de măsline pentru consumul uman;</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(f) „extractor din resturi” înseamnă fabrica sau instalația dedicată activității de obținere a uleiurilor din resturi de măsline brut din resturi de măsline prin proceduri fizice sau chimice. Acestea includ instalațiile care realizează doar activitatea de uscare a resturilor grase umede provenite în urma măcinării măslinelor brute și întregi; </w:t>
      </w:r>
    </w:p>
    <w:p w14:paraId="60ACFDD6" w14:textId="4E7B9285" w:rsidR="009F100F" w:rsidRPr="00DE35E8" w:rsidRDefault="000B53F1" w:rsidP="00B503A1">
      <w:pPr>
        <w:spacing w:after="160"/>
        <w:jc w:val="both"/>
        <w:rPr>
          <w:rFonts w:ascii="Arial" w:hAnsi="Arial" w:cs="Arial"/>
        </w:rPr>
      </w:pPr>
      <w:r>
        <w:rPr>
          <w:rFonts w:ascii="Arial" w:hAnsi="Arial"/>
        </w:rPr>
        <w:t xml:space="preserve">(g) „depozit” înseamnă un amplasament în care nu se efectuează nicio prelucrare a produsului și acesta este stocat doar temporar până la preluarea de către alți operatori din sector;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„operator” înseamnă persoana fizică sau juridică care își desfășoară activitatea în sector și pe piața uleiurilor de măsline și din resturi de măsline, inclusiv recoltatorii care obțin ulei vrac din presa de ulei și orice persoană care cumpără sau obține ulei de măsline virgin vrac din presa de ulei. De asemenea, se consideră operatori fabricile de conservare și de ambalare a măslinelor atunci când utilizează fructe întregi și brute de </w:t>
      </w:r>
      <w:r>
        <w:rPr>
          <w:rFonts w:ascii="Arial" w:hAnsi="Arial"/>
          <w:i/>
        </w:rPr>
        <w:t>Olea europaea</w:t>
      </w:r>
      <w:r>
        <w:rPr>
          <w:rFonts w:ascii="Arial" w:hAnsi="Arial"/>
        </w:rPr>
        <w:t xml:space="preserve"> L. fără a fi tratate pentru transformarea lor ulterioară în ulei;</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„operator fără instalații” înseamnă o persoană fizică sau juridică fără instalații proprii care își desfășoară activitatea în sector și pe piața uleiurilor de măsline și din resturi de măsline;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(j) „recoltator” înseamnă o persoană fizică sau juridică ce deține o exploatație de măsline care produce măsline (</w:t>
      </w:r>
      <w:r>
        <w:rPr>
          <w:rFonts w:ascii="Arial" w:hAnsi="Arial"/>
          <w:i/>
        </w:rPr>
        <w:t>Olea europaea</w:t>
      </w:r>
      <w:r>
        <w:rPr>
          <w:rFonts w:ascii="Arial" w:hAnsi="Arial"/>
        </w:rPr>
        <w:t xml:space="preserve"> L.) pentru a fi transformate în ulei de măsline prin măcinarea măslinelor într-o presă de ulei aflată pe proprietatea sa care asigură activitatea de măcinare;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„proces de rafinare” înseamnă orice proces la care sunt supuse uleiurile de măsline și uleiul de măsline brut, altele decât obținerea prin proceduri fizice și decantarea prin spălare, sedimentare, centrifugare sau filtrare; </w:t>
      </w:r>
    </w:p>
    <w:p w14:paraId="112B1E4D" w14:textId="0B647C76" w:rsidR="007F72E8" w:rsidRPr="00DE35E8" w:rsidRDefault="000B53F1" w:rsidP="00C70938">
      <w:pPr>
        <w:keepNext/>
        <w:keepLines/>
        <w:spacing w:before="100" w:beforeAutospacing="1" w:after="100" w:afterAutospacing="1"/>
        <w:jc w:val="both"/>
        <w:rPr>
          <w:rFonts w:ascii="Arial" w:hAnsi="Arial" w:cs="Arial"/>
        </w:rPr>
      </w:pPr>
      <w:r>
        <w:rPr>
          <w:rFonts w:ascii="Arial" w:hAnsi="Arial"/>
        </w:rPr>
        <w:lastRenderedPageBreak/>
        <w:t xml:space="preserve">(l) „proces continuu” înseamnă procesul care se realizează fără nicio pauză și fără tranziție între operațiuni, permițându-se totuși existența unui buncăr sau a unui buncăr de alimentare intermediar care să permită o legătură între ele, timpul maxim permis pentru ca masa să rămână în buncărul de alimentare sau în rezervorul intermediar fiind de 12 ore, întotdeauna în aceeași fabrică;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 xml:space="preserve">(m) „consumator final” </w:t>
      </w:r>
      <w:r>
        <w:rPr>
          <w:rFonts w:ascii="Arial" w:hAnsi="Arial"/>
          <w:bCs/>
        </w:rPr>
        <w:t>înseamnă consumatorul final al unui produs alimentar care nu va utiliza respectivul produs alimentar ca parte a niciunei operațiuni sau activități comerciale din sectorul alimentar;</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„comunități” </w:t>
      </w:r>
      <w:r>
        <w:rPr>
          <w:rFonts w:ascii="Arial" w:hAnsi="Arial"/>
          <w:bCs/>
        </w:rPr>
        <w:t>înseamnă orice unitate (inclusiv un vehicul sau un stand fix sau mobil), cum ar fi restaurante, cantine, centre de învățământ, spitale și companii care furnizează mese pregătite</w:t>
      </w:r>
      <w:r>
        <w:t xml:space="preserve"> </w:t>
      </w:r>
      <w:r>
        <w:rPr>
          <w:rFonts w:ascii="Arial" w:hAnsi="Arial"/>
          <w:bCs/>
        </w:rPr>
        <w:t xml:space="preserve"> și alte centre sociale, în care, ca activitate de afaceri, se prepară mâncarea gata pentru consum destinată consumatorului final.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Articolul 4. </w:t>
      </w:r>
      <w:r>
        <w:rPr>
          <w:rFonts w:ascii="Arial" w:hAnsi="Arial"/>
          <w:i/>
        </w:rPr>
        <w:t>Obligațiile de trasabilitate.</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Operatorii și, în special, cei care dețin instalații, au obligația să dispună la locul unde se află produsele de un sistem de înregistrare a trasabilității, astfel cum este prevăzut în anexa I.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Însemnările din acest registru trebuie făcute în timp real.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t xml:space="preserve">Fără a se aduce atingere dispozițiilor paragrafelor precedente și respectării dispozițiilor </w:t>
      </w:r>
      <w:r>
        <w:rPr>
          <w:rFonts w:ascii="Arial" w:hAnsi="Arial"/>
          <w:bCs/>
        </w:rPr>
        <w:t>Regulamentului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r>
        <w:rPr>
          <w:rFonts w:ascii="Arial" w:hAnsi="Arial"/>
        </w:rPr>
        <w:t xml:space="preserve"> pentru depozitele dedicate exclusiv depozitării și distribuției uleiurilor de măsline și din resturi de măsline ambalate și pregătite pentru vânzare către consumatorul final și comercianții cu amănuntul nu este obligatoriu să se țină evidența circulației interne stabilite în prezentul standard.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La transportarea uleiurilor de măsline și din resturi de măsline, este obligatoriu ca mărfurile să fie însoțite, în toate cazurile și în orice moment, de un document care să includă cel puțin datele menționate în anexa II la prezentul decret regal și care identifică în mod clar denumirea corespunzătoare a produsului conform reglementărilor aplicabile.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La transportarea uleiurilor de măsline și din resturi de măsline, este obligatoriu ca operatorii să notifice sistemul informatizat activat în acest scop de Ministerul Agriculturii, Pescuitului și Alimentației, datele menționate în secțiunea 2, înainte ca deplasarea să aibă loc.</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Este obligatoriu ca operatorii menționați la articolul 5 alineatul (3) să notifice în sistemul computerizat menționat la alineatul anterior, circulația uleiului de măsline și a uleiului din resturi de măsline care are loc între presele, rafinăriile și extractorii aflați în unitatea ta.</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lastRenderedPageBreak/>
        <w:t>În mod similar, aceștia trebuie să notifice anual autorității de control competente un raport al înregistrărilor de trasabilitate menționate la alineatul (1) în care sunt specificate clar intrările, ieșirile și circulația internă a fiecărei categorii de ulei pe care o produc, depozitează sau comercializează.</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Articolul 5. </w:t>
      </w:r>
      <w:r>
        <w:rPr>
          <w:rFonts w:ascii="Arial" w:hAnsi="Arial"/>
          <w:i/>
        </w:rPr>
        <w:t xml:space="preserve">Obligațiile specifice ale instalațiilor.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Presele, rafinăriile și extractorii de ulei din resturi de măsline nou-creați trebuie amplasați separat. În niciun caz nu pot fi conectați prin conducte. </w:t>
      </w:r>
    </w:p>
    <w:p w14:paraId="46CEEEF6" w14:textId="76D68949" w:rsidR="000E44EE" w:rsidRPr="00DE35E8" w:rsidRDefault="00846C60" w:rsidP="00B503A1">
      <w:pPr>
        <w:spacing w:before="360" w:after="360"/>
        <w:jc w:val="both"/>
        <w:rPr>
          <w:rFonts w:ascii="Arial" w:hAnsi="Arial" w:cs="Arial"/>
        </w:rPr>
      </w:pPr>
      <w:r>
        <w:rPr>
          <w:rFonts w:ascii="Arial" w:hAnsi="Arial"/>
        </w:rPr>
        <w:t>(2) Presele, rafinăriile și extractorii de ulei din resturi nou creați trebuie izolați sau separați în mod corespunzător de orice altă fabrică sau spațiu care nu are legătură cu sarcinile lor specifice și, în special, cu cele dedicate producției, transformării, depozitării vrac și ambalării grăsimilor animale sau vegetale și a grăsimilor și uleiurilor industriale sau minerale.</w:t>
      </w:r>
    </w:p>
    <w:p w14:paraId="6A54E281" w14:textId="0A6B0DE1" w:rsidR="00240127" w:rsidRPr="00DE35E8" w:rsidRDefault="000E44EE" w:rsidP="00B503A1">
      <w:pPr>
        <w:spacing w:after="240"/>
        <w:jc w:val="both"/>
        <w:rPr>
          <w:rFonts w:ascii="Arial" w:hAnsi="Arial" w:cs="Arial"/>
        </w:rPr>
      </w:pPr>
      <w:r>
        <w:rPr>
          <w:rFonts w:ascii="Arial" w:hAnsi="Arial"/>
        </w:rPr>
        <w:t>(3) Presele, rafinăriile și extractorii de ulei din resturi care erau deja în funcțiune la intrarea în vigoare a prezentului standard vor fi scutiți de obligațiile prevăzute la alineatele (1) și (2) de la prezentul articol.</w:t>
      </w:r>
    </w:p>
    <w:p w14:paraId="5D720B27" w14:textId="1F5DACCF" w:rsidR="00B53FC3" w:rsidRPr="00DE35E8" w:rsidRDefault="00240127" w:rsidP="00B503A1">
      <w:pPr>
        <w:spacing w:after="240"/>
        <w:jc w:val="both"/>
        <w:rPr>
          <w:rFonts w:ascii="Arial" w:hAnsi="Arial" w:cs="Arial"/>
        </w:rPr>
      </w:pPr>
      <w:r>
        <w:rPr>
          <w:rFonts w:ascii="Arial" w:hAnsi="Arial"/>
        </w:rPr>
        <w:t>(4) Presele sau orice altă unitate a unui operator din sector trebuie să clasifice tot uleiul pe care îl livrează conform denumirilor prevăzute de legislația europeană.</w:t>
      </w:r>
    </w:p>
    <w:p w14:paraId="1DFBB585" w14:textId="67BB3B44" w:rsidR="00C211C4" w:rsidRPr="00DE35E8" w:rsidRDefault="00240127" w:rsidP="00B503A1">
      <w:pPr>
        <w:spacing w:after="240"/>
        <w:jc w:val="both"/>
        <w:rPr>
          <w:rFonts w:ascii="Arial" w:hAnsi="Arial" w:cs="Arial"/>
        </w:rPr>
      </w:pPr>
      <w:r>
        <w:rPr>
          <w:rFonts w:ascii="Arial" w:hAnsi="Arial"/>
        </w:rPr>
        <w:t>(5) La instalațiile de îmbuteliere a uleiului, conductele și rezervoarele suplimentare de uleiuri reglementate în prezentul standard trebuie să fie condiționate corespunzător pentru a se evita contaminarea încrucișată.</w:t>
      </w:r>
    </w:p>
    <w:p w14:paraId="7BAD271D" w14:textId="34E0E7A0" w:rsidR="00B73E9D" w:rsidRPr="00DE35E8" w:rsidRDefault="00B73E9D" w:rsidP="00B503A1">
      <w:pPr>
        <w:spacing w:before="360" w:after="360"/>
        <w:jc w:val="both"/>
        <w:rPr>
          <w:rFonts w:ascii="Arial" w:hAnsi="Arial" w:cs="Arial"/>
          <w:i/>
        </w:rPr>
      </w:pPr>
      <w:r>
        <w:rPr>
          <w:rFonts w:ascii="Arial" w:hAnsi="Arial"/>
          <w:b/>
        </w:rPr>
        <w:t>Articolul 6</w:t>
      </w:r>
      <w:r>
        <w:rPr>
          <w:rFonts w:ascii="Arial" w:hAnsi="Arial"/>
          <w:i/>
        </w:rPr>
        <w:t>. Obligațiile specifice uleiurilor.</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Uleiurile de măsline și din resturi de măsline care fac obiectul prezentei dispoziții trebuie să respecte, pe lângă caracteristicile fizico-chimice și organoleptice stabilite în standardele Uniunii Europene care reglementează această chestiune, caracteristicile enumerate în anexa III.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Produsele menționate pot proveni numai din fructul întreg al măslinului</w:t>
      </w:r>
      <w:r>
        <w:rPr>
          <w:rFonts w:ascii="Arial" w:hAnsi="Arial"/>
          <w:i/>
        </w:rPr>
        <w:t xml:space="preserve"> </w:t>
      </w:r>
      <w:r>
        <w:rPr>
          <w:rFonts w:ascii="Arial" w:hAnsi="Arial"/>
        </w:rPr>
        <w:t>(</w:t>
      </w:r>
      <w:r>
        <w:rPr>
          <w:rFonts w:ascii="Arial" w:hAnsi="Arial"/>
          <w:i/>
        </w:rPr>
        <w:t xml:space="preserve">Olea europaea </w:t>
      </w:r>
      <w:r>
        <w:rPr>
          <w:rFonts w:ascii="Arial" w:hAnsi="Arial"/>
        </w:rPr>
        <w:t>L.</w:t>
      </w:r>
      <w:r>
        <w:rPr>
          <w:rFonts w:ascii="Arial" w:hAnsi="Arial"/>
          <w:i/>
        </w:rPr>
        <w:t xml:space="preserve">), </w:t>
      </w:r>
      <w:r>
        <w:rPr>
          <w:rFonts w:ascii="Arial" w:hAnsi="Arial"/>
          <w:iCs/>
        </w:rPr>
        <w:t xml:space="preserve">și fără niciun tratament, cu excepția curățării sau spălării nealcaline a măslinei.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Uleiul de măsline lampant trebuie supus unei rafinări prealabile pentru a fi destinat utilizării alimentare. </w:t>
      </w:r>
    </w:p>
    <w:p w14:paraId="097A7FE6" w14:textId="088927FF" w:rsidR="003335F1" w:rsidRPr="00DE35E8" w:rsidRDefault="008C2F75" w:rsidP="00B503A1">
      <w:pPr>
        <w:jc w:val="both"/>
        <w:rPr>
          <w:rFonts w:ascii="Arial" w:hAnsi="Arial" w:cs="Arial"/>
        </w:rPr>
      </w:pPr>
      <w:r>
        <w:rPr>
          <w:rFonts w:ascii="Arial" w:hAnsi="Arial"/>
        </w:rPr>
        <w:t xml:space="preserve">(3) Uleiurile de măsline și din resturi de măsline trebuie să fie protejate întotdeauna împotriva condițiilor de mediu nefavorabile care le pot modifica caracteristicile fizico-chimice și organoleptice și, prin urmare, trebuie să se garanteze că vor fi depozitate, transportate și comercializate fiind ferite de lumină și căldură. </w:t>
      </w:r>
    </w:p>
    <w:p w14:paraId="2782ECB5" w14:textId="77F209DE" w:rsidR="003335F1" w:rsidRPr="00DE35E8" w:rsidRDefault="003335F1" w:rsidP="00C70938">
      <w:pPr>
        <w:keepNext/>
        <w:keepLines/>
        <w:spacing w:before="360" w:after="360"/>
        <w:jc w:val="both"/>
        <w:rPr>
          <w:rFonts w:ascii="Arial" w:hAnsi="Arial" w:cs="Arial"/>
          <w:i/>
        </w:rPr>
      </w:pPr>
      <w:r>
        <w:rPr>
          <w:rFonts w:ascii="Arial" w:hAnsi="Arial"/>
          <w:b/>
        </w:rPr>
        <w:lastRenderedPageBreak/>
        <w:t>Articolul 7</w:t>
      </w:r>
      <w:r>
        <w:rPr>
          <w:rFonts w:ascii="Arial" w:hAnsi="Arial"/>
          <w:i/>
        </w:rPr>
        <w:t>. Obligațiile specifice recipientelor.</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Recipientele în care sunt îmbuteliate uleiurile trebuie să fie curate, fabricate din materiale adecvate utilizării în scop alimentar și să protejeze uleiurile împotriva proceselor de oxidare, conform reglementărilor igienico-sanitare actuale. Aceste recipiente nu trebuie să modifice în niciun caz caracteristicile conținutului sau să transmită arome sau mirosuri ciudate sau să provoace modificări produsului și trebuie să fie protejate întotdeauna în conformitate cu dispozițiile articolului 6 alineatul (3).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Recipientele uleiurilor de măsline și ale uleiurilor din resturi de măsline destinate vânzării sau livrării către consumatorul final, inclusiv cele livrate de fabrici producătorilor lor pentru consum, precum și cele furnizate comunităților, trebuie să fie prevăzute cu un dispozitiv de închidere irecuperabil și să fie etichetate în conformitate cu dispozițiile legislației în vigoare. </w:t>
      </w:r>
    </w:p>
    <w:p w14:paraId="0A2AD994" w14:textId="02AC4A07" w:rsidR="0035653C" w:rsidRPr="00DE35E8" w:rsidRDefault="00BA5254" w:rsidP="00B503A1">
      <w:pPr>
        <w:spacing w:after="240"/>
        <w:jc w:val="both"/>
        <w:rPr>
          <w:rFonts w:ascii="Arial" w:hAnsi="Arial" w:cs="Arial"/>
        </w:rPr>
      </w:pPr>
      <w:r>
        <w:rPr>
          <w:rFonts w:ascii="Arial" w:hAnsi="Arial"/>
        </w:rPr>
        <w:t>(3) Recipientele destinate vânzării către consumatorul final, inclusiv cele furnizate de fabricile de ulei producătorilor pentru consum, trebuie să aibă o capacitate maximă de cinci litri. Uleiurile furnizate comunităților pot fi comercializate și în recipiente cu o capacitate de 10, 20, 25 și 50 de litri.</w:t>
      </w:r>
    </w:p>
    <w:p w14:paraId="55C9795C" w14:textId="20FCBB59" w:rsidR="00B56228" w:rsidRPr="00DE35E8" w:rsidRDefault="00BA5254" w:rsidP="00B503A1">
      <w:pPr>
        <w:pStyle w:val="Default"/>
        <w:spacing w:before="160"/>
        <w:jc w:val="both"/>
        <w:rPr>
          <w:color w:val="auto"/>
        </w:rPr>
      </w:pPr>
      <w:r>
        <w:rPr>
          <w:color w:val="auto"/>
        </w:rPr>
        <w:t>(4) Recipientele puse la dispoziția consumatorilor finali în unitățile comunităților trebuie să fie prevăzute cu un sistem de protecție care împiedică reutilizarea lor după ce conținutul original al acestora a fost epuizat.</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iCs/>
          <w:color w:val="auto"/>
        </w:rPr>
        <w:t>Articolul 8.</w:t>
      </w:r>
      <w:r>
        <w:rPr>
          <w:b/>
          <w:i/>
          <w:color w:val="auto"/>
        </w:rPr>
        <w:t xml:space="preserve"> </w:t>
      </w:r>
      <w:r>
        <w:rPr>
          <w:i/>
          <w:color w:val="auto"/>
        </w:rPr>
        <w:t>Practici interzise.</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Se interzice:</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producția pentru comercializarea pe piața națională a amestecurilor de uleiuri de măsline și din resturi de măsline cu alte uleiuri sau grăsimi de origine vegetală. Amestecurile menționate nu pot fi comercializate sub nici o denumire alimentară menționată în Regulamentul (UE) nr. 1169/2011 al Parlamentului European și al Consiliului din 25 octombrie 2011 privind informarea consumatorilor cu privire la produsele alimentare; </w:t>
      </w:r>
    </w:p>
    <w:p w14:paraId="24AAF4C2" w14:textId="695BA2C5" w:rsidR="00AF1F55" w:rsidRPr="00DE35E8" w:rsidRDefault="008C2F75" w:rsidP="00B503A1">
      <w:pPr>
        <w:jc w:val="both"/>
        <w:rPr>
          <w:rFonts w:ascii="Arial" w:hAnsi="Arial" w:cs="Arial"/>
        </w:rPr>
      </w:pPr>
      <w:r>
        <w:rPr>
          <w:rFonts w:ascii="Arial" w:hAnsi="Arial"/>
        </w:rPr>
        <w:t>(b) utilizarea termenului „virgin” sau „extra virgin” la etichetarea produselor alimentare cu aspect gras care pot fi confundate cu uleiurile de măsline din prezentul standard, precum uleiuri, condimente, dressinguri, produse similare. Această interdicție nu afectează lista ingredientelor produsului în cauză;</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comercializarea uleiurilor de măsline extravirgine în recipiente de plastic pe piața vânzării cu amănuntul;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transferul sau umplerea recipientelor sau a ambalajelor destinate consumatorului final, cu ulei de măsline sau din resturi de măsline în comunități; </w:t>
      </w:r>
    </w:p>
    <w:p w14:paraId="31ED4097" w14:textId="3B96FFF4" w:rsidR="00BF4307" w:rsidRPr="00DE35E8" w:rsidRDefault="008C2F75" w:rsidP="00B503A1">
      <w:pPr>
        <w:spacing w:after="240"/>
        <w:jc w:val="both"/>
        <w:rPr>
          <w:rFonts w:ascii="Arial" w:hAnsi="Arial" w:cs="Arial"/>
        </w:rPr>
      </w:pPr>
      <w:r>
        <w:rPr>
          <w:rFonts w:ascii="Arial" w:hAnsi="Arial"/>
        </w:rPr>
        <w:t xml:space="preserve">(e) ca amestecurile de uleiuri de măsline virgine clasificate anterior să fie clasificate într-o categorie superioară decât uleiul din categoria inferioară utilizată;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lastRenderedPageBreak/>
        <w:t>(f) ca presele, depozitele și ambalatoarele de ulei de măsline virgin să dispună de facilități și mijloace tehnice specifice pentru dezodorizare și/sau orice altă etapă sau formă de rafinare a uleiurilor;</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ca presele de ulei să primească sau să prelucreze resturi de măsline de la alte prese, sau măsline sau rămășițele acestora de la fabrici de preparare care au fost supuse unor tratamente nepermise pentru obținerea uleiurilor de măsline virgine sau a uleiurilor din acestea, sau orice altă materie primă pentru obținerea uleiului decât fructul întreg și brut al măslinului;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 xml:space="preserve">(h) înmagazinarea, depozitarea și transportul uleiurilor de măsline și din resturi de măsline care nu sunt identificate în mod corespunzător conform categoriei de produse aferente, cu excepția preselor de ulei </w:t>
      </w:r>
      <w:r>
        <w:rPr>
          <w:rFonts w:ascii="Arial" w:hAnsi="Arial"/>
          <w:bCs/>
        </w:rPr>
        <w:t>a căror clasificare în acest caz este furnizată înainte de expedierea lor.</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În instalațiile definite la articolul 3 destinate obținerii de ulei de măsline și din resturi de măsline, sunt interzise următoarele:</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spălarea alcalină a uleiurilor din presele de ulei;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extragerea sau rafinarea uleiurilor de măsline și din resturi de măsline, prin alte procedee, solvenți sau adjuvanți, decât cele autorizate, precum și adăugarea de uleiuri industriale, minerale, esterificate sau sintetice;</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realizarea proceselor de esterificare sau a oricărei practici care poate modifica structura gliceridică a uleiului;</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tratarea uleiurilor cu aer, oxigen, ozon sau alte substanțe chimice oxidante, cu excepția celor necesare pompării pe durata transferului, inertizarea recipientelor și rezervoarelor și omogenizarea cu azot sau alte gaze inerte, fără a se aduce atingere legislației Uniunii Europene;</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deținerea sau manipularea în instalațiile dedicate extracției, rafinării, ambalării sau depozitării vrac a uleiurilor de măsline și din resturi de măsline, a glicerinei, a grăsimilor sau a uleiurilor animale, vegetale, industriale sau sintetice și a oricărei substanțe neacceptate a cărei utilizare nu este autorizată sau justificată;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la presele de ulei, recentrifugarea într-un proces discontinuu a maselor din sistemele de obținere a uleiului de măsline virgin, pentru a se evita fermentarea acestora. Recentrifugarea maselor din sistemele de producție a uleiului de măsline virgin poate fi efectuată doar după presarea termică a acestora, într-un proces continuu și, în niciun caz nu este permisă recentrifugarea maselor sau a resturilor provenite din alte depozite sau buncăre de depozitare decât cele menționate la articolul 3 alineatul (2) litera (l). </w:t>
      </w:r>
    </w:p>
    <w:p w14:paraId="11933B30" w14:textId="3F3F5A51" w:rsidR="00B573B8" w:rsidRPr="00DE35E8" w:rsidRDefault="00B573B8" w:rsidP="00C70938">
      <w:pPr>
        <w:keepNext/>
        <w:keepLines/>
        <w:spacing w:before="360" w:after="360"/>
        <w:jc w:val="both"/>
        <w:rPr>
          <w:rFonts w:ascii="Arial" w:hAnsi="Arial" w:cs="Arial"/>
          <w:i/>
        </w:rPr>
      </w:pPr>
      <w:r>
        <w:rPr>
          <w:rFonts w:ascii="Arial" w:hAnsi="Arial"/>
          <w:b/>
          <w:iCs/>
        </w:rPr>
        <w:lastRenderedPageBreak/>
        <w:t>Articolul 9.</w:t>
      </w:r>
      <w:r>
        <w:rPr>
          <w:rFonts w:ascii="Arial" w:hAnsi="Arial"/>
          <w:b/>
          <w:i/>
        </w:rPr>
        <w:t xml:space="preserve"> </w:t>
      </w:r>
      <w:r>
        <w:rPr>
          <w:rFonts w:ascii="Arial" w:hAnsi="Arial"/>
          <w:i/>
        </w:rPr>
        <w:t>Regimul oficial de control, coordonare și sancționare.</w:t>
      </w:r>
    </w:p>
    <w:p w14:paraId="413DF876" w14:textId="7EC39A9F" w:rsidR="004F4E66" w:rsidRPr="00DE35E8" w:rsidRDefault="00A27CF4" w:rsidP="00C70938">
      <w:pPr>
        <w:keepNext/>
        <w:keepLines/>
        <w:spacing w:before="100" w:beforeAutospacing="1" w:after="100" w:afterAutospacing="1"/>
        <w:jc w:val="both"/>
        <w:rPr>
          <w:rFonts w:ascii="Arial" w:hAnsi="Arial" w:cs="Arial"/>
        </w:rPr>
      </w:pPr>
      <w:r>
        <w:rPr>
          <w:rFonts w:ascii="Arial" w:hAnsi="Arial"/>
        </w:rPr>
        <w:t xml:space="preserve">(1) Autoritățile competente de control oficial efectuează cel puțin o verificare a conformității la fiecare o mie de tone de ulei de măsline și din resturi de măsline comercializate pentru a analiza caracteristicile de calitate ale acestora, astfel cum sunt stabilite în Regulamentul (CEE) nr. 2568/91 al Comisiei din 11 iulie 1991 privind caracteristicile uleiurilor de măsline și ale uleiurilor din resturi de măsline, precum și metodele de analiză a acestora.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Metodele de prelevare a probelor și analizele sunt cele stabilite pentru fiecare produs în legislația Uniunii Europene sau, în lipsa acestora, în dispozițiile naționale sau regionale.</w:t>
      </w:r>
    </w:p>
    <w:p w14:paraId="374757DA" w14:textId="2ACBCB79" w:rsidR="00A27CF4" w:rsidRPr="00C70938" w:rsidRDefault="00A27CF4" w:rsidP="00B503A1">
      <w:pPr>
        <w:spacing w:before="100" w:beforeAutospacing="1" w:after="100" w:afterAutospacing="1"/>
        <w:jc w:val="both"/>
        <w:rPr>
          <w:rFonts w:ascii="Arial" w:hAnsi="Arial" w:cs="Arial"/>
          <w:spacing w:val="-4"/>
        </w:rPr>
      </w:pPr>
      <w:r w:rsidRPr="00C70938">
        <w:rPr>
          <w:rFonts w:ascii="Arial" w:hAnsi="Arial"/>
          <w:spacing w:val="-4"/>
        </w:rPr>
        <w:t xml:space="preserve">(3) Verificarea conformității cu categoria declarată pe eticheta uleiurilor de măsline virgine va fi efectuată de laboratoare oficiale recunoscute în acest scop în ceea ce privește caracteristicile fizico-chimice ale acestora și în ceea ce privește caracteristicile lor organoleptice, de grupul de experți degustători autorizați pentru controlul oficial în conformitate cu dispozițiile Decretului regal 227/2008 din 15 februarie 2008 de stabilire a reglementărilor de bază privind grupurile de experți degustători de ulei de măsline virgin.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Fără a se aduce atingere controalelor prevăzute de legislația Uniunii Europene menționate la alineatul (1), Ministerul Agriculturii, Pescuitului și Alimentației coordonează un plan de control specific pentru a verifica trasabilitatea sectorului uleiului de măsline și al uleiului de măsline din resturi de măsline, descrisă la articolul 4. Acest plan trebuie să includă controalele specifice pentru instalațiile menționate la articolul 5 alineatul (3). </w:t>
      </w:r>
    </w:p>
    <w:p w14:paraId="0CEE0216" w14:textId="0046C74F" w:rsidR="00991F21" w:rsidRPr="00DE35E8" w:rsidRDefault="00F14BA3" w:rsidP="00B503A1">
      <w:pPr>
        <w:pStyle w:val="Default"/>
        <w:spacing w:after="240"/>
        <w:jc w:val="both"/>
        <w:rPr>
          <w:color w:val="auto"/>
        </w:rPr>
      </w:pPr>
      <w:r>
        <w:rPr>
          <w:color w:val="auto"/>
        </w:rPr>
        <w:t>(5) Informațiile privind rezultatele verificărilor de conformitate efectuate în conformitate cu dispozițiile alineatului (1) sunt comunicate în formatul stabilit Ministerului Agriculturii, Pescuitului și Alimentației înainte de data de 1 mai a fiecărui an.</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Toate informațiile adăugate sunt colectate într-un raport anual privind controalele oficiale care va fi publicat de Administrația Generală de Stat la cererea Ministerului Agriculturii, Pescuitului și Alimentației. </w:t>
      </w:r>
    </w:p>
    <w:p w14:paraId="29C3D5B3" w14:textId="04798B97" w:rsidR="00F14BA3" w:rsidRPr="00DE35E8" w:rsidRDefault="00F14BA3" w:rsidP="00B503A1">
      <w:pPr>
        <w:pStyle w:val="Default"/>
        <w:spacing w:after="240"/>
        <w:jc w:val="both"/>
        <w:rPr>
          <w:color w:val="auto"/>
        </w:rPr>
      </w:pPr>
      <w:r>
        <w:rPr>
          <w:color w:val="auto"/>
        </w:rPr>
        <w:t>(7) Planul de control specific este prezentat spre dezbatere Comisiei de coordonare a calității produselor alimentare și include cel puțin programarea acțiunilor de control, precum și protocolul pentru organizarea campaniilor de inspecție, luând în considerare rezultatele verificărilor de conformitate efectuate de comunitățile autonome, precum și datele conținute de Sistemul de informații privind piața măslinelor, atașat Ministerului Agriculturii, Pescuitului și Alimentației. Acest plan este revizuit anual în cadrul Biroului de coordonare a calității produselor alimentare.</w:t>
      </w:r>
    </w:p>
    <w:p w14:paraId="2DAC617D" w14:textId="78604F4C" w:rsidR="00A31337" w:rsidRPr="00DE35E8" w:rsidRDefault="000E44EE" w:rsidP="00B503A1">
      <w:pPr>
        <w:jc w:val="both"/>
        <w:rPr>
          <w:rFonts w:ascii="Arial" w:hAnsi="Arial" w:cs="Arial"/>
        </w:rPr>
      </w:pPr>
      <w:r>
        <w:rPr>
          <w:rFonts w:ascii="Arial" w:hAnsi="Arial"/>
        </w:rPr>
        <w:t>(8) Sancțiunile impuse ca urmare a controalelor efectuate sunt eficiente, proporționale și disuasive.</w:t>
      </w:r>
    </w:p>
    <w:p w14:paraId="0B018C2C" w14:textId="1B7A0391" w:rsidR="00CA039D" w:rsidRPr="00DE35E8" w:rsidRDefault="00033181" w:rsidP="00C70938">
      <w:pPr>
        <w:pStyle w:val="sangrado"/>
        <w:keepNext/>
        <w:keepLines/>
        <w:jc w:val="both"/>
        <w:rPr>
          <w:rFonts w:ascii="Arial" w:hAnsi="Arial" w:cs="Arial"/>
        </w:rPr>
      </w:pPr>
      <w:r>
        <w:rPr>
          <w:rFonts w:ascii="Arial" w:hAnsi="Arial"/>
          <w:b/>
        </w:rPr>
        <w:lastRenderedPageBreak/>
        <w:t xml:space="preserve">Prima dispoziție suplimentară. </w:t>
      </w:r>
      <w:r>
        <w:rPr>
          <w:rFonts w:ascii="Arial" w:hAnsi="Arial"/>
          <w:i/>
          <w:iCs/>
        </w:rPr>
        <w:t>Clauza de recunoaștere reciprocă.</w:t>
      </w:r>
      <w:r>
        <w:rPr>
          <w:rFonts w:ascii="Arial" w:hAnsi="Arial"/>
        </w:rPr>
        <w:t xml:space="preserve"> </w:t>
      </w:r>
    </w:p>
    <w:p w14:paraId="72CD943F" w14:textId="00DA64AE" w:rsidR="00331B68" w:rsidRPr="00DE35E8" w:rsidRDefault="00331B68" w:rsidP="00C70938">
      <w:pPr>
        <w:keepNext/>
        <w:keepLines/>
        <w:spacing w:before="360" w:after="360"/>
        <w:jc w:val="both"/>
        <w:rPr>
          <w:rFonts w:ascii="Arial" w:hAnsi="Arial" w:cs="Arial"/>
        </w:rPr>
      </w:pPr>
      <w:r>
        <w:rPr>
          <w:rFonts w:ascii="Arial" w:hAnsi="Arial"/>
        </w:rPr>
        <w:t>Mărfurile comercializate legal într-un alt stat membru al Uniunii Europene sau în Turcia sau originare dintr-un stat al Asociației Europene a Liberului Schimb care este semnatar al Acordului privind Spațiul Economic European, sunt considerate a fi în conformitate cu prezentul decret regal. Aplicarea prezentului decret regal intră sub incidența Regulamentului (UE) 2019/515 al Parlamentului European și al Consiliului din 19 martie 2019 privind recunoașterea reciprocă a mărfurilor comercializate în mod legal în alt stat membru și de abrogare a Regulamentului (CE) nr.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A doua dispoziție suplimentară </w:t>
      </w:r>
      <w:r>
        <w:rPr>
          <w:rFonts w:ascii="Arial" w:hAnsi="Arial"/>
          <w:bCs/>
          <w:i/>
          <w:iCs/>
        </w:rPr>
        <w:t>Sistemul computerizat.</w:t>
      </w:r>
    </w:p>
    <w:p w14:paraId="1C1C6B38" w14:textId="29BDE441" w:rsidR="003011C3" w:rsidRPr="00DE35E8" w:rsidRDefault="00D734B4" w:rsidP="00B503A1">
      <w:pPr>
        <w:spacing w:before="360" w:after="360"/>
        <w:jc w:val="both"/>
        <w:rPr>
          <w:rFonts w:ascii="Arial" w:hAnsi="Arial" w:cs="Arial"/>
          <w:bCs/>
        </w:rPr>
      </w:pPr>
      <w:r>
        <w:rPr>
          <w:rFonts w:ascii="Arial" w:hAnsi="Arial"/>
          <w:bCs/>
        </w:rPr>
        <w:t xml:space="preserve">Pentru a facilita respectarea obligației de notificare prevăzute la articolul 4 alineatul (3), precum și accesul la informații și controlul uleiurilor de măsline și din resturi de măsline atât de către operatori, cât și de către autoritățile competente, Ministerul Agriculturii, Pescuitului și Alimentației dezvoltă un sistem computerizat. </w:t>
      </w:r>
    </w:p>
    <w:p w14:paraId="7BC1536B" w14:textId="47607053" w:rsidR="00D734B4" w:rsidRPr="00DE35E8" w:rsidRDefault="00190979" w:rsidP="00B503A1">
      <w:pPr>
        <w:spacing w:before="360" w:after="360"/>
        <w:jc w:val="both"/>
        <w:rPr>
          <w:rFonts w:ascii="Arial" w:hAnsi="Arial" w:cs="Arial"/>
          <w:b/>
        </w:rPr>
      </w:pPr>
      <w:r>
        <w:rPr>
          <w:rFonts w:ascii="Arial" w:hAnsi="Arial"/>
        </w:rPr>
        <w:t>Acest sistem este accesibil operatorilor responsabili cu notificarea făcută, autorităților competente în scopuri de control, precum și Corpurilor și Forțelor de Securitate ale Statului.</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Dispoziție tranzitorie unică. </w:t>
      </w:r>
      <w:r>
        <w:rPr>
          <w:rFonts w:ascii="Arial" w:hAnsi="Arial"/>
          <w:i/>
        </w:rPr>
        <w:t>Perioada de tranziție.</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Dispozițiile articolului 4 alineatul (3) nu sunt obligatorii până când sistemul computerizat menționat nu este implementat.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Dispozițiile articolului 8 alineatul (1) litera (c) sunt aplicabile de la 1 ianuarie 2024 pentru recipientele de până la un litru și de la 1 ianuarie 2025 pentru restul recipientelor.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Dispoziție unică de abrogare.</w:t>
      </w:r>
      <w:r>
        <w:t xml:space="preserve"> </w:t>
      </w:r>
      <w:r>
        <w:rPr>
          <w:i/>
          <w:iCs/>
        </w:rPr>
        <w:t>Abrogare normativă</w:t>
      </w:r>
      <w:r>
        <w:rPr>
          <w:b/>
          <w:i/>
          <w:iCs/>
        </w:rPr>
        <w:t>.</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Dispozițiile de rang egal sau inferior care se opun dispozițiilor prezentului decret regal se abrogă și, în special:</w:t>
      </w:r>
    </w:p>
    <w:p w14:paraId="420C7E36" w14:textId="637B8EBE" w:rsidR="00BD3ECA" w:rsidRPr="00DE35E8" w:rsidRDefault="00F07691" w:rsidP="00B503A1">
      <w:pPr>
        <w:spacing w:before="120" w:after="120"/>
        <w:jc w:val="both"/>
        <w:rPr>
          <w:rFonts w:ascii="Arial" w:hAnsi="Arial" w:cs="Arial"/>
        </w:rPr>
      </w:pPr>
      <w:r>
        <w:rPr>
          <w:rFonts w:ascii="Arial" w:hAnsi="Arial"/>
        </w:rPr>
        <w:t>(a) Decretul regal 3000/1979 din 7 decembrie 1979 privind reglementarea proceselor industriale în sectorul uleiului de măsline;</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Decretul regal 308/1983 din 25 ianuarie 1983, de aprobare a Reglementării tehnico-sanitare a uleiurilor vegetale comestibile, în partea referitoare la uleiurile de măsline și uleiul din resturi de măsline; </w:t>
      </w:r>
    </w:p>
    <w:p w14:paraId="7452C311" w14:textId="55A1BD1C" w:rsidR="00BD3ECA" w:rsidRPr="00DE35E8" w:rsidRDefault="00F07691" w:rsidP="00B503A1">
      <w:pPr>
        <w:spacing w:before="120" w:after="120"/>
        <w:jc w:val="both"/>
        <w:rPr>
          <w:rFonts w:ascii="Arial" w:hAnsi="Arial" w:cs="Arial"/>
        </w:rPr>
      </w:pPr>
      <w:r>
        <w:rPr>
          <w:rFonts w:ascii="Arial" w:hAnsi="Arial"/>
        </w:rPr>
        <w:t>(c) Decretul regal 259/1985 din 20 februarie 1985 de completare a Reglementării tehnico-sanitare a uleiurilor vegetale comestibile, cu aplicarea eritrodiolului determinat la uleiurile de măsline;</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Decretul regal 2551/1986 din 21 noiembrie 1986 de reglementare a producției și comercializării uleiului din resturi rafinate și a uleiului de măsline;</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lastRenderedPageBreak/>
        <w:t>(e) Decretul regal 538/1993 din 12 aprilie 1993 de modificare a anumitor dispoziții referitoare la cerințele industriale pentru producția, circulația și comerțul cu uleiuri vegetale comestibile;</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Decretul regal 1431/2003 din 21 noiembrie 2003 de stabilire a anumitor măsuri de comercializare în sectorul uleiului de măsline și al uleiului din resturi de măsline;</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Ordinul din 12 decembrie 1984 privind furnizarea de ulei de măsline virgin de către prese către cultivatorii lor pentru consum propriu;</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Ordinul APA/1343/2004 din 7 mai 2004 de reglementare a registrului general al anumitor industrii autorizate pentru comercializarea uleiului de măsline.</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Prima dispoziție finală.</w:t>
      </w:r>
      <w:r>
        <w:rPr>
          <w:b/>
          <w:bCs/>
        </w:rPr>
        <w:t xml:space="preserve"> </w:t>
      </w:r>
      <w:r>
        <w:rPr>
          <w:i/>
          <w:iCs/>
        </w:rPr>
        <w:t>Nivelurile de competență.</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Prezentul decret regal este emis în temeiul dispozițiilor articolului 149 alineatul (1) punctul 13 din Constituția Spaniei, care atribuie statului competența exclusivă în ceea ce privește condițiile și coordonarea planificării generale a activității economice.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bCs/>
        </w:rPr>
        <w:t xml:space="preserve">A doua dispoziție finală. </w:t>
      </w:r>
      <w:r>
        <w:rPr>
          <w:bCs/>
          <w:i/>
        </w:rPr>
        <w:t xml:space="preserve">Modificarea </w:t>
      </w:r>
      <w:r>
        <w:rPr>
          <w:i/>
        </w:rPr>
        <w:t>Decretului 2484/1967 din 21 septembrie 1967 de aprobare a textului Codului alimentar spaniol.</w:t>
      </w:r>
    </w:p>
    <w:p w14:paraId="4F4C7805" w14:textId="77777777" w:rsidR="009F52EF" w:rsidRPr="00DE35E8" w:rsidRDefault="00107E79" w:rsidP="00B503A1">
      <w:pPr>
        <w:pStyle w:val="Default"/>
        <w:jc w:val="both"/>
        <w:rPr>
          <w:color w:val="auto"/>
        </w:rPr>
      </w:pPr>
      <w:r>
        <w:rPr>
          <w:color w:val="auto"/>
        </w:rPr>
        <w:t>Capitolul XVI secțiunea 2 din Decretul 2484/1967 din 21 septembrie 1967 de aprobare a textului Codului alimentar spaniol, are formularea următoare:</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„Uleiurile de măsline și din resturi de măsline sunt reglementate de dispozițiile Decretului regal xxxx/2020 din ... de aprobare a standardului de calitate pentru uleiurile de măsline și uleiurile din resturi de măsline.”</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bCs/>
        </w:rPr>
        <w:t xml:space="preserve">A treia dispoziție finală. </w:t>
      </w:r>
      <w:r>
        <w:rPr>
          <w:i/>
          <w:iCs/>
        </w:rPr>
        <w:t>Intrare în vigoare</w:t>
      </w:r>
      <w:r>
        <w:t>.</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Prezentul decret regal intră în vigoare la 2 ianuarie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Redactat în Madrid, la …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ANEXA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Registrele de trasabilitate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Partea A. Condițiile generale privind registrele.</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În registrul de trasabilitate intern trebuie menționate cel puțin următoarele operațiuni: obținerea uleiurilor, extracția, rafinarea, clasificarea, schimbarea rezervorului, amestecurile de uleiuri, ambalarea uleiului.</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Fiecare produs trebuie identificat în registrul de intrare cu identificarea atribuită anterior de furnizor; în cazul centrelor de cumpărare și/sau de recepție, al preselor de ulei și al fabricilor de conservare se identifică parcela și zona cadastrală de origine a măslinelor și proprietarul acestora.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În registrele de intrare și de ieșire trebuie să fie indicată destinația internă sau utilizarea produsului (antrepozit, depozit, buncăr de alimentare, linie de prelucrare etc.) sau originea acestuia. De asemenea, trebuie indicat soldul de intrare sau de ieșire din depozit/depozite.</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În registrele de intrare și de ieșire, trebuie să fie clar identificate documentele însoțitoare care acoperă orice mișcare a mărfurilor.</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Registrele de intrare și de ieșire trebuie completate atunci când există o schimbare în ceea ce privește proprietatea asupra mărfii (chiar dacă nu există o deplasare fizică) sau când are loc o deplasare fizică a mărfii.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Mențiunile care urmează să fie incluse ulterior pe eticheta produselor, cum ar fi: lotul, prima presare la rece, extracția la rece, anul de recoltare, soiul etc. sunt înregistrate în mod corespunzător, astfel încât să poată fi verificate în întreaga documentație a produsului în cauză.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La identificarea oricărui produs, trebuie să existe o corelație între identificarea depozitului în care este depozitat și informațiile înscrise în registre. O astfel de obligație trebuie înțeleasă fără a se aduce atingere variației caracteristicilor derivate din evoluția naturală a produselor. Variația menționată trebuie să se regăsească în registru ori de câte ori este cunoscută de operator.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Partea B. Categoria produselor care trebuie incluse în registre.</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Măsline.</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măsline pentru producția de ulei.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Uleiuri de măsline.</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ulei neclasificat;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ulei de măsline extra virgin;</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ulei de măsline virgin;</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ulei de măsline lampant;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ulei de măsline rafinat;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lastRenderedPageBreak/>
        <w:t>ulei de măsline – conține exclusiv uleiuri de măsline rafinate și uleiuri de măsline virgine.</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Uleiuri de resturi de măsline.</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ulei brut din resturi de măsline;</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ulei rafinat din resturi de măsline;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ulei din resturi de măsline.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Subprodusele tuturor instalațiilor, din care se poate obține ulei.</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Alte uleiuri vegetale comestibile.</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În cazul fabricilor și operatorilor care, pe lângă faptul că lucrează cu uleiuri de măsline și resturi de măsline, produc, rafinează, depozitează sau ambalează alte uleiuri vegetale comestibile. </w:t>
      </w:r>
    </w:p>
    <w:p w14:paraId="5FA18D30" w14:textId="3C3D1D64" w:rsidR="00484361" w:rsidRPr="00C70938" w:rsidRDefault="009F27E3" w:rsidP="00B503A1">
      <w:pPr>
        <w:keepNext/>
        <w:spacing w:before="100" w:beforeAutospacing="1" w:after="100" w:afterAutospacing="1"/>
        <w:jc w:val="both"/>
        <w:rPr>
          <w:rFonts w:ascii="Arial" w:eastAsia="Calibri" w:hAnsi="Arial" w:cs="Arial"/>
          <w:b/>
          <w:spacing w:val="-4"/>
        </w:rPr>
      </w:pPr>
      <w:r w:rsidRPr="00C70938">
        <w:rPr>
          <w:rFonts w:ascii="Arial" w:hAnsi="Arial"/>
          <w:b/>
          <w:spacing w:val="-4"/>
        </w:rPr>
        <w:t>Partea C. Informațiile pe care trebuie să le conțină registrele de intrare și de ieșire.</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Identificarea documentului de însoțire, atunci când este cazul.</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Identificarea vânzătorului sau a furnizorului: numele, adresa, numărul de identificare fiscală și adresa unității de origine. Se va indica și numele acestuia din urmă și numărul de identificare fiscală atunci când este diferit de vânzător sau furnizor.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Identificarea cumpărătorului sau a destinatarului, inclusiv ultimul comerciant cu amănuntul care a recepționat uleiul îmbuteliat: numele, adresa, numărul de identificare fiscală și adresa unității de destinație. Se va indica și numele acestuia din urmă și numărul de identificare fiscală atunci când este diferit de cumpărător sau de destinatar.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Identificarea produsului: denumirea, lotul, cantitatea și caracteristicile considerate relevante pentru identificarea acestuia, cum ar fi vrac, îmbuteliat, etichetat, umed sau uscat.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Indicarea originii produsului: țara de origine. În scopul respectării, după caz, a dispozițiilor articolului 4 din Regulamentul de punere în aplicare (UE) nr. 29/2012 al Comisiei din 13 ianuarie 2012, Spania, statul membru, Uniunea Europeană sau numele unei țări terțe, astfel cum este stabilit în prezentul regulament.</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Caracteristicile produsului care trebuie indicate pe etichetă.</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Data operațiunii.</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Identificarea transportatorului: compania (numele, adresa, numărul de identificare fiscală), tipul vehiculului și numărul de înmatriculare al acestuia sau altă formă, după caz, de identificare legală a mijlocului de transport.</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lastRenderedPageBreak/>
        <w:t>Partea D. Informațiile pe care trebuie să le conțină registrul intern de trasabilitate.</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Sistemul intern de trasabilitate trebuie să conțină, cel puțin, următoarele informații:</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operațiunea sau practica efectuată;</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identificarea produselor-sursă: denumire, lot (atunci când este cazul), cantitate;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identificarea produselor obținute: denumire, lot (atunci când este cazul), cantitatea;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data operațiunii și, după caz, ora;</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originea internă a produselor-sursă (antrepozit, depozit, buncăr de alimentare, linie de prelucrare etc.). Soldul din depozitul sau depozitele de origine.</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Destinația internă sau utilizarea produselor obținute (antrepozit, depozit, buncăr de alimentare, linie de prelucrare etc.). Soldul din depozitul sau depozitele de destinație.</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ANEXA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Informațiile minime ale documentului de însoțire pe durata transportului</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Identificarea produsului: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identificarea produsului: denumirea stabilită în legislația aplicabilă, lotul, cantitatea și caracteristicile care sunt considerate relevante pentru identificarea acestuia, cum ar fi vrac, îmbuteliat, etichetat, umed sau uscat;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indicarea originii produsului: țara de origine.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la produsele vrac: Alte mențiuni voluntare care pot fi indicate a posteriori pe etichetă, cum ar fi soiul, sezonul recoltării, extracția la rece, prima presare la rece, producția ecologică etc.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cantitatea de produs.</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Datele de origine ale mărfii: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Identificarea vânzătorului sau a furnizorului: numele, adresa, numărul de identificare fiscală și adresa unității de origine.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Se va indica și numele acestuia din urmă și numărul de identificare fiscală atunci când este diferit de vânzător sau furnizor.</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Datele privind transportul: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Identificarea societății de transport și a mijloacelor de transport utilizate, precum și data acestuia.</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lastRenderedPageBreak/>
        <w:t xml:space="preserve">D. Datele privind destinația mărfii: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Identificarea cumpărătorului sau a destinatarului, inclusiv a ultimului comerciant cu amănuntul care a recepționat uleiul îmbuteliat: numele, adresa, numărul de identificare fiscală și adresa unității de destinație. Se va indica și numele acestuia din urmă și numărul de identificare fiscală atunci când este diferit de cumpărător sau de destinatar.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ANEXA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Aspectul și caracteristicile specifice uleiurilor</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Uleiuri de măsline extra virgine și uleiuri de măsline virgine filtrate.</w:t>
      </w:r>
    </w:p>
    <w:p w14:paraId="095783EF" w14:textId="77777777" w:rsidR="00F44FDF" w:rsidRPr="00DE35E8" w:rsidRDefault="00F44FDF" w:rsidP="00B503A1">
      <w:pPr>
        <w:pStyle w:val="Default"/>
        <w:ind w:left="142"/>
        <w:rPr>
          <w:color w:val="auto"/>
        </w:rPr>
      </w:pPr>
      <w:r>
        <w:rPr>
          <w:color w:val="auto"/>
        </w:rPr>
        <w:t>Umiditate și substanțe volatile: ≤ 0,2 la 100.</w:t>
      </w:r>
    </w:p>
    <w:p w14:paraId="7D6D2C01" w14:textId="5C332848" w:rsidR="00F44FDF" w:rsidRPr="00DE35E8" w:rsidRDefault="00F44FDF" w:rsidP="00B503A1">
      <w:pPr>
        <w:pStyle w:val="Default"/>
        <w:ind w:left="142"/>
        <w:rPr>
          <w:color w:val="auto"/>
        </w:rPr>
      </w:pPr>
      <w:r>
        <w:rPr>
          <w:color w:val="auto"/>
        </w:rPr>
        <w:t xml:space="preserve">Impurități insolubile în eter de petrol: ≤ 0,10 la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Uleiuri de măsline – conține exclusiv uleiuri de măsline rafinate și uleiuri de măsline virgine.</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Aspect: limpede, menținut la 20º ± 2 ºC timp de 24 de ore.</w:t>
      </w:r>
    </w:p>
    <w:p w14:paraId="0296A932" w14:textId="77777777" w:rsidR="00F44FDF" w:rsidRPr="00DE35E8" w:rsidRDefault="00F44FDF" w:rsidP="00B503A1">
      <w:pPr>
        <w:ind w:left="142"/>
        <w:jc w:val="both"/>
        <w:rPr>
          <w:rFonts w:ascii="Arial" w:hAnsi="Arial" w:cs="Arial"/>
        </w:rPr>
      </w:pPr>
      <w:r>
        <w:rPr>
          <w:rFonts w:ascii="Arial" w:hAnsi="Arial"/>
        </w:rPr>
        <w:t>Miros și aromă: cu aromele proprii și caracteristice ale uleiului de măsline virgin utilizat în amestec. Acestea nu trebuie să prezinte alterări sau contaminări sau defecte care le depășesc pe cele proprii uleiului de măsline virgin utilizat.</w:t>
      </w:r>
    </w:p>
    <w:p w14:paraId="68E598BC" w14:textId="77777777" w:rsidR="00F44FDF" w:rsidRPr="00DE35E8" w:rsidRDefault="00F44FDF" w:rsidP="00B503A1">
      <w:pPr>
        <w:pStyle w:val="Default"/>
        <w:ind w:left="142"/>
        <w:rPr>
          <w:color w:val="auto"/>
        </w:rPr>
      </w:pPr>
      <w:r>
        <w:rPr>
          <w:color w:val="auto"/>
        </w:rPr>
        <w:t>Umiditate și substanțe volatile: ≤ 0,1 la 100.</w:t>
      </w:r>
    </w:p>
    <w:p w14:paraId="4B215FA1" w14:textId="77777777" w:rsidR="00F44FDF" w:rsidRPr="00DE35E8" w:rsidRDefault="00F44FDF" w:rsidP="00B503A1">
      <w:pPr>
        <w:pStyle w:val="Default"/>
        <w:ind w:left="142"/>
        <w:rPr>
          <w:color w:val="auto"/>
        </w:rPr>
      </w:pPr>
      <w:r>
        <w:rPr>
          <w:color w:val="auto"/>
        </w:rPr>
        <w:t>Impurități insolubile în eter de petrol: ≤ 0,05 la 100.</w:t>
      </w:r>
    </w:p>
    <w:p w14:paraId="5A5E9394" w14:textId="77777777" w:rsidR="00F44FDF" w:rsidRPr="00DE35E8" w:rsidRDefault="00F44FDF" w:rsidP="00B503A1">
      <w:pPr>
        <w:pStyle w:val="Default"/>
        <w:spacing w:after="240"/>
        <w:ind w:left="142"/>
        <w:rPr>
          <w:color w:val="auto"/>
        </w:rPr>
      </w:pPr>
      <w:r>
        <w:rPr>
          <w:color w:val="auto"/>
        </w:rPr>
        <w:t xml:space="preserve">Reziduuri de săpun: Negativ.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Uleiuri de măsline rafinate:</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Aspect: limpede, menținut la 20º ± 2 ºC timp de 24 de ore.</w:t>
      </w:r>
    </w:p>
    <w:p w14:paraId="7BB45A9C" w14:textId="77777777" w:rsidR="00F44FDF" w:rsidRPr="00DE35E8" w:rsidRDefault="00F44FDF" w:rsidP="00B503A1">
      <w:pPr>
        <w:ind w:left="142"/>
        <w:jc w:val="both"/>
        <w:rPr>
          <w:rFonts w:ascii="Arial" w:hAnsi="Arial" w:cs="Arial"/>
        </w:rPr>
      </w:pPr>
      <w:r>
        <w:rPr>
          <w:rFonts w:ascii="Arial" w:hAnsi="Arial"/>
        </w:rPr>
        <w:t>Miros și aromă: neutre, fără să prezinte simptome de râncezire, alterare sau contaminare.</w:t>
      </w:r>
    </w:p>
    <w:p w14:paraId="5105089C" w14:textId="77777777" w:rsidR="00F44FDF" w:rsidRPr="00DE35E8" w:rsidRDefault="00F44FDF" w:rsidP="00B503A1">
      <w:pPr>
        <w:pStyle w:val="Default"/>
        <w:ind w:left="142"/>
        <w:rPr>
          <w:color w:val="auto"/>
        </w:rPr>
      </w:pPr>
      <w:r>
        <w:rPr>
          <w:color w:val="auto"/>
        </w:rPr>
        <w:t>Umiditate și substanțe volatile: ≤ 0,1 la 100.</w:t>
      </w:r>
    </w:p>
    <w:p w14:paraId="49281EEA" w14:textId="77777777" w:rsidR="00F44FDF" w:rsidRPr="00DE35E8" w:rsidRDefault="00F44FDF" w:rsidP="00B503A1">
      <w:pPr>
        <w:pStyle w:val="Default"/>
        <w:ind w:left="142"/>
        <w:rPr>
          <w:color w:val="auto"/>
        </w:rPr>
      </w:pPr>
      <w:r>
        <w:rPr>
          <w:color w:val="auto"/>
        </w:rPr>
        <w:t>Impurități insolubile în eter de petrol: ≤ 0,05 la 100.</w:t>
      </w:r>
    </w:p>
    <w:p w14:paraId="2336D379" w14:textId="77777777" w:rsidR="00F44FDF" w:rsidRPr="00DE35E8" w:rsidRDefault="00F44FDF" w:rsidP="00B503A1">
      <w:pPr>
        <w:pStyle w:val="Default"/>
        <w:ind w:left="142"/>
        <w:rPr>
          <w:color w:val="auto"/>
        </w:rPr>
      </w:pPr>
      <w:r>
        <w:rPr>
          <w:color w:val="auto"/>
        </w:rPr>
        <w:t>Reziduuri de săpun: Negativ.</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lastRenderedPageBreak/>
        <w:t>(d) Ulei rafinat din resturi de măsline.</w:t>
      </w:r>
    </w:p>
    <w:p w14:paraId="1696366E" w14:textId="77777777" w:rsidR="00F44FDF" w:rsidRPr="00DE35E8" w:rsidRDefault="00F44FDF" w:rsidP="00C70938">
      <w:pPr>
        <w:keepNext/>
        <w:keepLines/>
        <w:spacing w:before="100" w:beforeAutospacing="1"/>
        <w:ind w:left="142"/>
        <w:jc w:val="both"/>
        <w:rPr>
          <w:rFonts w:ascii="Arial" w:hAnsi="Arial" w:cs="Arial"/>
        </w:rPr>
      </w:pPr>
      <w:r>
        <w:rPr>
          <w:rFonts w:ascii="Arial" w:hAnsi="Arial"/>
        </w:rPr>
        <w:t>Aspect: limpede, menținut la 20º ± 2 ºC timp de 24 de ore.</w:t>
      </w:r>
    </w:p>
    <w:p w14:paraId="1BB2CEF0" w14:textId="77777777" w:rsidR="00F44FDF" w:rsidRPr="00DE35E8" w:rsidRDefault="00F44FDF" w:rsidP="00C70938">
      <w:pPr>
        <w:keepNext/>
        <w:keepLines/>
        <w:ind w:left="142"/>
        <w:jc w:val="both"/>
        <w:rPr>
          <w:rFonts w:ascii="Arial" w:hAnsi="Arial" w:cs="Arial"/>
        </w:rPr>
      </w:pPr>
      <w:r>
        <w:rPr>
          <w:rFonts w:ascii="Arial" w:hAnsi="Arial"/>
        </w:rPr>
        <w:t>Miros și aromă: neutre, fără să prezinte simptome de râncezire, alterare sau contaminare.</w:t>
      </w:r>
    </w:p>
    <w:p w14:paraId="35B990C6" w14:textId="77777777" w:rsidR="00F44FDF" w:rsidRPr="00DE35E8" w:rsidRDefault="00F44FDF" w:rsidP="00C70938">
      <w:pPr>
        <w:pStyle w:val="Default"/>
        <w:keepNext/>
        <w:keepLines/>
        <w:ind w:left="142"/>
        <w:rPr>
          <w:color w:val="auto"/>
        </w:rPr>
      </w:pPr>
      <w:r>
        <w:rPr>
          <w:color w:val="auto"/>
        </w:rPr>
        <w:t>Umiditate și substanțe volatile: ≤ 0,1 la 100.</w:t>
      </w:r>
    </w:p>
    <w:p w14:paraId="2AF3CFA0" w14:textId="77777777" w:rsidR="00F44FDF" w:rsidRPr="00DE35E8" w:rsidRDefault="00F44FDF" w:rsidP="00C70938">
      <w:pPr>
        <w:pStyle w:val="Default"/>
        <w:keepNext/>
        <w:keepLines/>
        <w:ind w:left="142"/>
        <w:rPr>
          <w:color w:val="auto"/>
        </w:rPr>
      </w:pPr>
      <w:r>
        <w:rPr>
          <w:color w:val="auto"/>
        </w:rPr>
        <w:t>Impurități insolubile în eter de petrol: ≤ 0,05 la 100.</w:t>
      </w:r>
    </w:p>
    <w:p w14:paraId="667102D7" w14:textId="77777777" w:rsidR="00F44FDF" w:rsidRPr="00DE35E8" w:rsidRDefault="00F44FDF" w:rsidP="00C70938">
      <w:pPr>
        <w:pStyle w:val="Default"/>
        <w:keepNext/>
        <w:keepLines/>
        <w:ind w:left="142"/>
        <w:rPr>
          <w:color w:val="auto"/>
        </w:rPr>
      </w:pPr>
      <w:r>
        <w:rPr>
          <w:color w:val="auto"/>
        </w:rPr>
        <w:t>Reziduuri de săpun: Negativ.</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Ulei din resturi de măsline.</w:t>
      </w:r>
    </w:p>
    <w:p w14:paraId="0ADF9FD3" w14:textId="77777777" w:rsidR="00F44FDF" w:rsidRPr="00DE35E8" w:rsidRDefault="00F44FDF" w:rsidP="00C70938">
      <w:pPr>
        <w:keepNext/>
        <w:keepLines/>
        <w:spacing w:before="100" w:beforeAutospacing="1"/>
        <w:ind w:left="142"/>
        <w:jc w:val="both"/>
        <w:rPr>
          <w:rFonts w:ascii="Arial" w:hAnsi="Arial" w:cs="Arial"/>
        </w:rPr>
      </w:pPr>
      <w:r>
        <w:rPr>
          <w:rFonts w:ascii="Arial" w:hAnsi="Arial"/>
        </w:rPr>
        <w:t>Aspect: limpede, menținut la 20º ± 2 ºC timp de 24 de ore.</w:t>
      </w:r>
    </w:p>
    <w:p w14:paraId="40031B46" w14:textId="77777777" w:rsidR="00F44FDF" w:rsidRPr="00DE35E8" w:rsidRDefault="00F44FDF" w:rsidP="00B503A1">
      <w:pPr>
        <w:pStyle w:val="Default"/>
        <w:ind w:left="142"/>
        <w:jc w:val="both"/>
        <w:rPr>
          <w:color w:val="auto"/>
        </w:rPr>
      </w:pPr>
      <w:r>
        <w:rPr>
          <w:color w:val="auto"/>
        </w:rPr>
        <w:t xml:space="preserve">Miros și aromă: cu aromele proprii și caracteristice ale uleiului de măsline virgin utilizat în amestec. Acestea nu trebuie să prezinte alterări sau contaminări sau defecte care le depășesc pe cele proprii uleiului de măsline virgin utilizat. </w:t>
      </w:r>
    </w:p>
    <w:p w14:paraId="523A1A0E" w14:textId="77777777" w:rsidR="00F44FDF" w:rsidRPr="00DE35E8" w:rsidRDefault="00F44FDF" w:rsidP="00B503A1">
      <w:pPr>
        <w:pStyle w:val="Default"/>
        <w:ind w:left="142"/>
        <w:rPr>
          <w:color w:val="auto"/>
        </w:rPr>
      </w:pPr>
      <w:r>
        <w:rPr>
          <w:color w:val="auto"/>
        </w:rPr>
        <w:t>Umiditate și substanțe volatile: ≤ 0,1 la 100.</w:t>
      </w:r>
    </w:p>
    <w:p w14:paraId="1A066BD2" w14:textId="77777777" w:rsidR="00F44FDF" w:rsidRPr="00DE35E8" w:rsidRDefault="00F44FDF" w:rsidP="00B503A1">
      <w:pPr>
        <w:pStyle w:val="Default"/>
        <w:ind w:left="142"/>
        <w:rPr>
          <w:color w:val="auto"/>
        </w:rPr>
      </w:pPr>
      <w:r>
        <w:rPr>
          <w:color w:val="auto"/>
        </w:rPr>
        <w:t>Impurități insolubile în eter de petrol: ≤ 0,05 la 100.</w:t>
      </w:r>
    </w:p>
    <w:p w14:paraId="03631DE0" w14:textId="77777777" w:rsidR="00F44FDF" w:rsidRPr="00DE35E8" w:rsidRDefault="00F44FDF" w:rsidP="00B503A1">
      <w:pPr>
        <w:pStyle w:val="Default"/>
        <w:ind w:left="142"/>
        <w:rPr>
          <w:color w:val="auto"/>
        </w:rPr>
      </w:pPr>
      <w:r>
        <w:rPr>
          <w:color w:val="auto"/>
        </w:rPr>
        <w:t>Reziduuri de săpun: Negativ.</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Pagina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938"/>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ro-RO"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ro-RO"/>
    </w:rPr>
  </w:style>
  <w:style w:type="character" w:customStyle="1" w:styleId="BodyTextIndent3Char">
    <w:name w:val="Body Text Indent 3 Char"/>
    <w:basedOn w:val="DefaultParagraphFont"/>
    <w:link w:val="BodyTextIndent3"/>
    <w:rsid w:val="00EE7990"/>
    <w:rPr>
      <w:sz w:val="16"/>
      <w:szCs w:val="16"/>
      <w:lang w:val="ro-RO"/>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eite_de_ol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5865</Words>
  <Characters>35311</Characters>
  <Application>Microsoft Office Word</Application>
  <DocSecurity>0</DocSecurity>
  <Lines>294</Lines>
  <Paragraphs>82</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41094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8</cp:revision>
  <cp:lastPrinted>2020-02-12T17:05:00Z</cp:lastPrinted>
  <dcterms:created xsi:type="dcterms:W3CDTF">2020-09-08T10:26:00Z</dcterms:created>
  <dcterms:modified xsi:type="dcterms:W3CDTF">2020-10-02T15:08:00Z</dcterms:modified>
</cp:coreProperties>
</file>