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652" w:rsidRPr="00B00403" w:rsidRDefault="00CC1652" w:rsidP="00CC1652">
      <w:pPr>
        <w:pStyle w:val="PlainText"/>
        <w:rPr>
          <w:sz w:val="20"/>
          <w:szCs w:val="20"/>
          <w:rFonts w:ascii="Courier New" w:hAnsi="Courier New" w:cs="Courier New"/>
        </w:rPr>
      </w:pPr>
      <w:r>
        <w:rPr>
          <w:sz w:val="20"/>
          <w:szCs w:val="20"/>
          <w:rFonts w:ascii="Courier New" w:hAnsi="Courier New"/>
        </w:rPr>
        <w:t xml:space="preserve">1.</w:t>
      </w:r>
      <w:r>
        <w:rPr>
          <w:sz w:val="20"/>
          <w:szCs w:val="20"/>
          <w:rFonts w:ascii="Courier New" w:hAnsi="Courier New"/>
        </w:rPr>
        <w:t xml:space="preserve"> </w:t>
      </w:r>
      <w:r>
        <w:rPr>
          <w:sz w:val="20"/>
          <w:szCs w:val="20"/>
          <w:rFonts w:ascii="Courier New" w:hAnsi="Courier New"/>
        </w:rPr>
        <w:t xml:space="preserve">------IND- 2018 0179 S-- PL- ------ 20181122 --- --- FINAL</w:t>
      </w:r>
    </w:p>
    <w:p w:rsidR="008D301E" w:rsidRPr="00053DD8" w:rsidRDefault="008D301E" w:rsidP="008D301E">
      <w:pPr>
        <w:pStyle w:val="BodyText"/>
        <w:rPr>
          <w:b/>
          <w:w w:val="100"/>
          <w:sz w:val="26"/>
          <w:szCs w:val="26"/>
          <w:rFonts w:ascii="Times New Roman" w:hAnsi="Times New Roman" w:cs="Times New Roman"/>
        </w:rPr>
      </w:pPr>
      <w:r>
        <w:rPr>
          <w:b/>
          <w:sz w:val="26"/>
          <w:szCs w:val="26"/>
          <w:rFonts w:ascii="Times New Roman" w:hAnsi="Times New Roman"/>
        </w:rPr>
        <w:t xml:space="preserve">LIFS 2018:5</w:t>
      </w:r>
    </w:p>
    <w:p w:rsidR="008D301E" w:rsidRPr="00053DD8" w:rsidRDefault="008D301E" w:rsidP="008D301E">
      <w:pPr>
        <w:pStyle w:val="BodyText"/>
        <w:spacing w:after="240"/>
        <w:rPr>
          <w:w w:val="100"/>
          <w:sz w:val="16"/>
          <w:szCs w:val="19"/>
          <w:rFonts w:ascii="Times New Roman" w:hAnsi="Times New Roman" w:cs="Times New Roman"/>
        </w:rPr>
      </w:pPr>
      <w:r>
        <w:rPr>
          <w:sz w:val="16"/>
          <w:szCs w:val="19"/>
          <w:rFonts w:ascii="Times New Roman" w:hAnsi="Times New Roman"/>
        </w:rPr>
        <w:t xml:space="preserve">Opublikowano</w:t>
        <w:br/>
        <w:t xml:space="preserve">8 sierpnia 2018 r.</w:t>
      </w:r>
    </w:p>
    <w:p w:rsidR="00E26F6C" w:rsidRPr="00E04140" w:rsidRDefault="00E26F6C" w:rsidP="008D301E">
      <w:pPr>
        <w:pStyle w:val="Rubrik1"/>
        <w:keepNext/>
        <w:keepLines/>
        <w:widowControl/>
        <w:ind w:right="0"/>
        <w:rPr>
          <w:w w:val="100"/>
          <w:sz w:val="26"/>
          <w:szCs w:val="26"/>
          <w:rFonts w:ascii="Times New Roman" w:hAnsi="Times New Roman" w:cs="Times New Roman"/>
        </w:rPr>
      </w:pPr>
      <w:r>
        <w:rPr>
          <w:sz w:val="26"/>
          <w:szCs w:val="26"/>
          <w:rFonts w:ascii="Times New Roman" w:hAnsi="Times New Roman"/>
        </w:rPr>
        <w:t xml:space="preserve">Przepisy i zalecenia ogólne szwedzkiego Urzędu ds. Gier Losowych w sprawie urządzanych w celach komercyjnych gier hazardowych online i zakładów online;</w:t>
      </w:r>
    </w:p>
    <w:p w:rsidR="00E26F6C" w:rsidRPr="00E04140" w:rsidRDefault="00E26F6C" w:rsidP="008D301E">
      <w:pPr>
        <w:pStyle w:val="Brdtextblank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uchwalono dnia 25 lipca 2018 r.</w:t>
      </w:r>
    </w:p>
    <w:p w:rsidR="00E26F6C" w:rsidRPr="00E04140" w:rsidRDefault="00E26F6C" w:rsidP="008D301E">
      <w:pPr>
        <w:pStyle w:val="Brdtextblank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Na mocy rozdz. 16 § 3, § 5, § 8 ust. 4 oraz § 10 ust. 1 rozporządzenia w sprawie gier hazardowych (2018:1475) szwedzki Urząd ds. Gier Losowych zarządza</w:t>
      </w:r>
      <w:r w:rsidRPr="00E04140">
        <w:rPr>
          <w:rFonts w:ascii="Times New Roman" w:hAnsi="Times New Roman" w:cs="Times New Roman"/>
          <w:w w:val="100"/>
          <w:sz w:val="19"/>
          <w:szCs w:val="19"/>
          <w:vertAlign w:val="superscript"/>
        </w:rPr>
        <w:footnoteReference w:id="1"/>
      </w:r>
      <w:r>
        <w:rPr>
          <w:sz w:val="19"/>
          <w:szCs w:val="19"/>
          <w:rFonts w:ascii="Times New Roman" w:hAnsi="Times New Roman"/>
        </w:rPr>
        <w:t xml:space="preserve">, co następuje, oraz przyjmuje poniższe zalecenia ogólne.</w:t>
      </w:r>
    </w:p>
    <w:p w:rsidR="00E26F6C" w:rsidRPr="00E04140" w:rsidRDefault="00E26F6C" w:rsidP="008D301E">
      <w:pPr>
        <w:pStyle w:val="Rubrik2"/>
        <w:keepLines/>
        <w:rPr>
          <w:w w:val="100"/>
          <w:sz w:val="21"/>
          <w:szCs w:val="21"/>
          <w:rFonts w:ascii="Times New Roman" w:hAnsi="Times New Roman" w:cs="Times New Roman"/>
        </w:rPr>
      </w:pPr>
      <w:r>
        <w:rPr>
          <w:sz w:val="21"/>
          <w:szCs w:val="21"/>
          <w:rFonts w:ascii="Times New Roman" w:hAnsi="Times New Roman"/>
        </w:rPr>
        <w:t xml:space="preserve">Zakres stosowania</w:t>
      </w:r>
    </w:p>
    <w:p w:rsidR="00E26F6C" w:rsidRPr="00E04140" w:rsidRDefault="00E26F6C" w:rsidP="008D301E">
      <w:pPr>
        <w:pStyle w:val="Brdtexthalv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b/>
          <w:bCs/>
          <w:rFonts w:ascii="Times New Roman" w:hAnsi="Times New Roman"/>
        </w:rPr>
        <w:t xml:space="preserve">§ 1</w:t>
      </w:r>
      <w:r>
        <w:rPr>
          <w:sz w:val="19"/>
          <w:szCs w:val="19"/>
          <w:rFonts w:ascii="Times New Roman" w:hAnsi="Times New Roman"/>
        </w:rPr>
        <w:tab/>
        <w:t xml:space="preserve">Niniejsze przepisy i zalecenia ogólne mają zastosowanie do posiadaczy zezwoleń na oferowanie gier hazardowych, o których mowa w rozdz. 7 i 8 ustawy o grach hazardowych (2018:1138).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8D301E">
      <w:pPr>
        <w:pStyle w:val="Rubrik2"/>
        <w:keepLines/>
        <w:rPr>
          <w:w w:val="100"/>
          <w:sz w:val="21"/>
          <w:szCs w:val="21"/>
          <w:rFonts w:ascii="Times New Roman" w:hAnsi="Times New Roman" w:cs="Times New Roman"/>
        </w:rPr>
      </w:pPr>
      <w:r>
        <w:rPr>
          <w:sz w:val="21"/>
          <w:szCs w:val="21"/>
          <w:rFonts w:ascii="Times New Roman" w:hAnsi="Times New Roman"/>
        </w:rPr>
        <w:t xml:space="preserve">Definicje</w:t>
      </w:r>
    </w:p>
    <w:p w:rsidR="00E26F6C" w:rsidRPr="00E04140" w:rsidRDefault="00E26F6C" w:rsidP="008D301E">
      <w:pPr>
        <w:pStyle w:val="Brdtexthalv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b/>
          <w:bCs/>
          <w:rFonts w:ascii="Times New Roman" w:hAnsi="Times New Roman"/>
        </w:rPr>
        <w:t xml:space="preserve">§ 2</w:t>
      </w:r>
      <w:r>
        <w:rPr>
          <w:sz w:val="19"/>
          <w:szCs w:val="19"/>
          <w:rFonts w:ascii="Times New Roman" w:hAnsi="Times New Roman"/>
        </w:rPr>
        <w:t xml:space="preserve"> Terminy i nazwy użyte w niniejszych przepisach mają takie samo znaczenie jak w ustawie o grach hazardowych (2018:1138) i rozporządzeniu w sprawie gier hazardowych (2018:1475).</w:t>
      </w:r>
    </w:p>
    <w:p w:rsidR="00E26F6C" w:rsidRPr="00E04140" w:rsidRDefault="00E26F6C" w:rsidP="008D301E">
      <w:pPr>
        <w:pStyle w:val="Rubrik2"/>
        <w:keepLines/>
        <w:rPr>
          <w:w w:val="100"/>
          <w:sz w:val="21"/>
          <w:szCs w:val="21"/>
          <w:rFonts w:ascii="Times New Roman" w:hAnsi="Times New Roman" w:cs="Times New Roman"/>
        </w:rPr>
      </w:pPr>
      <w:r>
        <w:rPr>
          <w:sz w:val="21"/>
          <w:szCs w:val="21"/>
          <w:rFonts w:ascii="Times New Roman" w:hAnsi="Times New Roman"/>
        </w:rPr>
        <w:t xml:space="preserve">Gry w kasynach</w:t>
      </w:r>
    </w:p>
    <w:p w:rsidR="00E26F6C" w:rsidRPr="00E04140" w:rsidRDefault="00E26F6C" w:rsidP="008D301E">
      <w:pPr>
        <w:pStyle w:val="Brdtexthalv"/>
        <w:keepNext/>
        <w:keepLines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b/>
          <w:bCs/>
          <w:rFonts w:ascii="Times New Roman" w:hAnsi="Times New Roman"/>
        </w:rPr>
        <w:t xml:space="preserve">§ 3</w:t>
      </w:r>
      <w:r>
        <w:rPr>
          <w:sz w:val="19"/>
          <w:szCs w:val="19"/>
          <w:rFonts w:ascii="Times New Roman" w:hAnsi="Times New Roman"/>
        </w:rPr>
        <w:t xml:space="preserve"> W zakres zezwolenia, o którym mowa w rozdz. 7 § 1 ustawy o grach hazardowych (2018:1138), mogą wchodzić następujące gry w kasynach:</w:t>
      </w:r>
    </w:p>
    <w:p w:rsidR="00E26F6C" w:rsidRPr="008D301E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1. ruletka;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8D301E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bakarat;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8D301E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punto banco;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8D301E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blackjack;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poker; oraz</w:t>
      </w:r>
    </w:p>
    <w:p w:rsidR="00E26F6C" w:rsidRPr="00E04140" w:rsidRDefault="00E26F6C" w:rsidP="0098460E">
      <w:pPr>
        <w:pStyle w:val="brdtextfyrkant"/>
        <w:numPr>
          <w:ilvl w:val="0"/>
          <w:numId w:val="1"/>
        </w:numPr>
        <w:tabs>
          <w:tab w:val="clear" w:pos="3060"/>
          <w:tab w:val="left" w:pos="426"/>
        </w:tabs>
        <w:ind w:left="0" w:firstLine="142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gry w kości.</w:t>
      </w:r>
    </w:p>
    <w:p w:rsidR="00E26F6C" w:rsidRPr="00E04140" w:rsidRDefault="00E26F6C" w:rsidP="008D301E">
      <w:pPr>
        <w:pStyle w:val="Rubrik2"/>
        <w:keepLines/>
        <w:rPr>
          <w:w w:val="100"/>
          <w:sz w:val="21"/>
          <w:szCs w:val="21"/>
          <w:rFonts w:ascii="Times New Roman" w:hAnsi="Times New Roman" w:cs="Times New Roman"/>
        </w:rPr>
      </w:pPr>
      <w:r>
        <w:rPr>
          <w:sz w:val="21"/>
          <w:szCs w:val="21"/>
          <w:rFonts w:ascii="Times New Roman" w:hAnsi="Times New Roman"/>
        </w:rPr>
        <w:t xml:space="preserve">Konto gracza</w:t>
      </w:r>
    </w:p>
    <w:p w:rsidR="00E26F6C" w:rsidRPr="00E04140" w:rsidRDefault="00E26F6C" w:rsidP="008D301E">
      <w:pPr>
        <w:pStyle w:val="Brdtexthalv"/>
        <w:keepNext/>
        <w:keepLines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b/>
          <w:bCs/>
          <w:rFonts w:ascii="Times New Roman" w:hAnsi="Times New Roman"/>
        </w:rPr>
        <w:t xml:space="preserve">§ 4</w:t>
      </w:r>
      <w:r>
        <w:rPr>
          <w:sz w:val="19"/>
          <w:szCs w:val="19"/>
          <w:rFonts w:ascii="Times New Roman" w:hAnsi="Times New Roman"/>
        </w:rPr>
        <w:t xml:space="preserve"> Jeden gracz może posiadać tylko jedno konto gracza.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Akapit pierwszy nie ma zastosowania w przypadku, gdy posiadacz zezwolenia oferuje gry hazardowe pod różnymi adresami internetowymi.</w:t>
      </w:r>
      <w:r>
        <w:rPr>
          <w:sz w:val="19"/>
          <w:szCs w:val="19"/>
          <w:rFonts w:ascii="Times New Roman" w:hAnsi="Times New Roman"/>
        </w:rPr>
        <w:t xml:space="preserve"> </w:t>
      </w:r>
      <w:r>
        <w:rPr>
          <w:sz w:val="19"/>
          <w:szCs w:val="19"/>
          <w:rFonts w:ascii="Times New Roman" w:hAnsi="Times New Roman"/>
        </w:rPr>
        <w:t xml:space="preserve">W takim przypadku gracz może posiadać więcej niż jedno konto w systemie posiadacza zezwolenia, pod warunkiem że posiadacz: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1. jest zdolny do zidentyfikowania i zdefiniowania dla gracza osobnych kont;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2. zagwarantuje, że gracz po podjęciu decyzji o wykluczeniu się z gry zgodnie z rozdz. 14 § 11 ustawy (2018:1138) o grach hazardowych zostanie wykluczony ze wszystkich gier oferowanych przez posiadacza zezwolenia, chyba że gracz aktywnie zdecyduje, że wykluczenie dotyczy tylko jednej lub kilku określonych gier; a także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3. jest zdolny do monitorowania zachowań hazardowych i transakcji na wszystkich osobnych kontach odnośnego gracza.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8D301E">
      <w:pPr>
        <w:pStyle w:val="Rubrik2"/>
        <w:keepLines/>
        <w:rPr>
          <w:w w:val="100"/>
          <w:sz w:val="21"/>
          <w:szCs w:val="21"/>
          <w:rFonts w:ascii="Times New Roman" w:hAnsi="Times New Roman" w:cs="Times New Roman"/>
        </w:rPr>
      </w:pPr>
      <w:r>
        <w:rPr>
          <w:sz w:val="21"/>
          <w:szCs w:val="21"/>
          <w:rFonts w:ascii="Times New Roman" w:hAnsi="Times New Roman"/>
        </w:rPr>
        <w:t xml:space="preserve">Tymczasowe konto gracza</w:t>
      </w:r>
    </w:p>
    <w:p w:rsidR="00E26F6C" w:rsidRPr="00E04140" w:rsidRDefault="00E26F6C" w:rsidP="008D301E">
      <w:pPr>
        <w:pStyle w:val="Brdtexthalv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b/>
          <w:bCs/>
          <w:rFonts w:ascii="Times New Roman" w:hAnsi="Times New Roman"/>
        </w:rPr>
        <w:t xml:space="preserve">§ 5</w:t>
      </w:r>
      <w:r>
        <w:rPr>
          <w:sz w:val="19"/>
          <w:szCs w:val="19"/>
          <w:rFonts w:ascii="Times New Roman" w:hAnsi="Times New Roman"/>
        </w:rPr>
        <w:t xml:space="preserve"> Na tymczasowe konto gracz nie może wpłacić więcej niż 1/4 wartości kwoty bazowej wygranej.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8D301E">
      <w:pPr>
        <w:pStyle w:val="Brdtextblank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b/>
          <w:bCs/>
          <w:rFonts w:ascii="Times New Roman" w:hAnsi="Times New Roman"/>
        </w:rPr>
        <w:t xml:space="preserve">§ 6</w:t>
      </w:r>
      <w:r>
        <w:rPr>
          <w:sz w:val="19"/>
          <w:szCs w:val="19"/>
          <w:b/>
          <w:bCs/>
          <w:rFonts w:ascii="Times New Roman" w:hAnsi="Times New Roman"/>
        </w:rPr>
        <w:t xml:space="preserve"> </w:t>
      </w:r>
      <w:r>
        <w:rPr>
          <w:sz w:val="19"/>
          <w:szCs w:val="19"/>
          <w:rFonts w:ascii="Times New Roman" w:hAnsi="Times New Roman"/>
        </w:rPr>
        <w:t xml:space="preserve">Gracza, który posiada tymczasowe konto gracza, należy w ciągu 15 dni od rejestracji wezwać do przedstawienia dokumentów poświadczających prawdziwość danych podanych przy rejestracji.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Maksymalny okres użytkowania tymczasowego konta gracza do grania w gry hazardowe wynosi 30 dni.</w:t>
      </w:r>
    </w:p>
    <w:p w:rsidR="00E26F6C" w:rsidRPr="00E04140" w:rsidRDefault="00E26F6C" w:rsidP="008D301E">
      <w:pPr>
        <w:pStyle w:val="Rubrik2"/>
        <w:keepLines/>
        <w:rPr>
          <w:w w:val="100"/>
          <w:sz w:val="21"/>
          <w:szCs w:val="21"/>
          <w:rFonts w:ascii="Times New Roman" w:hAnsi="Times New Roman" w:cs="Times New Roman"/>
        </w:rPr>
      </w:pPr>
      <w:r>
        <w:rPr>
          <w:sz w:val="21"/>
          <w:szCs w:val="21"/>
          <w:rFonts w:ascii="Times New Roman" w:hAnsi="Times New Roman"/>
        </w:rPr>
        <w:t xml:space="preserve">Informacje udostępniane graczom</w:t>
      </w:r>
    </w:p>
    <w:p w:rsidR="00E26F6C" w:rsidRPr="00E04140" w:rsidRDefault="00E26F6C" w:rsidP="008D301E">
      <w:pPr>
        <w:pStyle w:val="Brdtexthalv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§ 7 Posiadacz zezwolenia, oprócz informacji określonych w rozdz. 14 § 4 ustawy o grach hazardowych (2018:1138), zobowiązany jest w miejscu, w którym oferuje on gry hazardowe, do udostępnienia graczom w łatwy sposób następujących informacji: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1. nazwy, numeru rejestracyjnego przedsiębiorstwa, numeru telefonu i adresu poczty elektronicznej posiadacza zezwolenia;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2. okresu ważności zezwolenia;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3. rodzajów ryzyka, które wiążą się z grami hazardowymi, w których stawką są pieniądze,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4. telefonu zaufania dla osób uzależnionych od hazardu, niezależnego od działalności hazardowej posiadacza zezwolenia, oferującego pomoc adekwatną do szwedzkich warunków hazardowych;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5. informacja o roli Urzędu ds. Gier Losowych: wydawaniu zezwoleń i prowadzeniu nadzoru;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6. stawek bądź ich odpowiedników w odnośnej grze;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7. ewentualnych innych kosztów udziału w odnośnej grze.</w:t>
      </w:r>
    </w:p>
    <w:p w:rsidR="00E26F6C" w:rsidRPr="00E04140" w:rsidRDefault="00E26F6C" w:rsidP="008D301E">
      <w:pPr>
        <w:pStyle w:val="Rubrik4"/>
        <w:keepLines/>
        <w:widowControl/>
        <w:ind w:left="1120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Zalecenie ogólne:</w:t>
      </w:r>
    </w:p>
    <w:p w:rsidR="00E26F6C" w:rsidRPr="00E04140" w:rsidRDefault="00E26F6C" w:rsidP="008D301E">
      <w:pPr>
        <w:pStyle w:val="Brdtexthalv"/>
        <w:ind w:left="1120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Rolę niezależnego telefonu zaufania może pełnić np. linia </w:t>
      </w:r>
      <w:r>
        <w:rPr>
          <w:sz w:val="19"/>
          <w:szCs w:val="19"/>
          <w:i/>
          <w:rFonts w:ascii="Times New Roman" w:hAnsi="Times New Roman"/>
        </w:rPr>
        <w:t xml:space="preserve">Stödlinjen</w:t>
      </w:r>
      <w:r>
        <w:rPr>
          <w:sz w:val="19"/>
          <w:szCs w:val="19"/>
          <w:rFonts w:ascii="Times New Roman" w:hAnsi="Times New Roman"/>
        </w:rPr>
        <w:t xml:space="preserve">.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8D301E">
      <w:pPr>
        <w:pStyle w:val="Brdtextblank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b/>
          <w:bCs/>
          <w:rFonts w:ascii="Times New Roman" w:hAnsi="Times New Roman"/>
        </w:rPr>
        <w:t xml:space="preserve">§ 8</w:t>
      </w:r>
      <w:r>
        <w:rPr>
          <w:sz w:val="19"/>
          <w:szCs w:val="19"/>
          <w:rFonts w:ascii="Times New Roman" w:hAnsi="Times New Roman"/>
        </w:rPr>
        <w:t xml:space="preserve"> Informacje określone w § 7 ust. 1 i 4 umieszcza się w widocznym miejscu na stronie głównej posiadacza zezwolenia, tak samo jak logotyp szwedzkiego Urzędu ds. Gier Hazardowych i odsyłacz do strony internetowej Urzędu oraz warunków uczestnictwa.</w:t>
      </w:r>
    </w:p>
    <w:p w:rsidR="00E26F6C" w:rsidRPr="00E04140" w:rsidRDefault="00E26F6C" w:rsidP="008D301E">
      <w:pPr>
        <w:pStyle w:val="Brdtextblank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b/>
          <w:bCs/>
          <w:rFonts w:ascii="Times New Roman" w:hAnsi="Times New Roman"/>
        </w:rPr>
        <w:t xml:space="preserve">§ 9</w:t>
      </w:r>
      <w:r>
        <w:rPr>
          <w:sz w:val="19"/>
          <w:szCs w:val="19"/>
          <w:rFonts w:ascii="Times New Roman" w:hAnsi="Times New Roman"/>
        </w:rPr>
        <w:t xml:space="preserve"> W przypadku zmiany obowiązujących warunków użytkowania, jeśli zmiany nie są nieznaczące, gracza informuje się o nich przed wprowadzeniem ich w życie.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8D301E">
      <w:pPr>
        <w:pStyle w:val="Rubrik4"/>
        <w:keepLines/>
        <w:widowControl/>
        <w:ind w:left="1120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Zalecenie ogólne: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8D301E">
      <w:pPr>
        <w:pStyle w:val="Brdtexthalv"/>
        <w:ind w:left="1120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Za zmianę, która jest nieznacząca uważa się np. poprawienie błędu ortograficznego.</w:t>
      </w:r>
    </w:p>
    <w:p w:rsidR="00E26F6C" w:rsidRPr="00E04140" w:rsidRDefault="00E26F6C" w:rsidP="008D301E">
      <w:pPr>
        <w:pStyle w:val="brdtextfyrkant"/>
        <w:ind w:left="1120" w:firstLine="200"/>
        <w:rPr>
          <w:b/>
          <w:bCs/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Gracza można poinformować o zmianach w warunkach użytkowania np. poprzez ich pisemne przedstawienie graczowi bądź zażądanie od niego zgody na nowe warunki użytkowania w momencie logowania.</w:t>
      </w:r>
    </w:p>
    <w:p w:rsidR="00E26F6C" w:rsidRPr="00E04140" w:rsidRDefault="00E26F6C" w:rsidP="008D301E">
      <w:pPr>
        <w:pStyle w:val="Rubrik2"/>
        <w:keepLines/>
        <w:rPr>
          <w:w w:val="100"/>
          <w:sz w:val="21"/>
          <w:szCs w:val="21"/>
          <w:rFonts w:ascii="Times New Roman" w:hAnsi="Times New Roman" w:cs="Times New Roman"/>
        </w:rPr>
      </w:pPr>
      <w:r>
        <w:rPr>
          <w:sz w:val="21"/>
          <w:szCs w:val="21"/>
          <w:rFonts w:ascii="Times New Roman" w:hAnsi="Times New Roman"/>
        </w:rPr>
        <w:t xml:space="preserve">Przepisy szczególne dotyczące gry w pokera</w:t>
      </w:r>
    </w:p>
    <w:p w:rsidR="00E26F6C" w:rsidRPr="00E04140" w:rsidRDefault="00E26F6C" w:rsidP="008D301E">
      <w:pPr>
        <w:pStyle w:val="Brdtexthalv"/>
        <w:keepNext/>
        <w:keepLines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b/>
          <w:bCs/>
          <w:rFonts w:ascii="Times New Roman" w:hAnsi="Times New Roman"/>
        </w:rPr>
        <w:t xml:space="preserve">§ 10</w:t>
      </w:r>
      <w:r>
        <w:rPr>
          <w:sz w:val="19"/>
          <w:szCs w:val="19"/>
          <w:rFonts w:ascii="Times New Roman" w:hAnsi="Times New Roman"/>
        </w:rPr>
        <w:t xml:space="preserve"> Gra w pokera będąca w toku musi być widoczna dla wszystkich zalogowanych graczy.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8D301E">
      <w:pPr>
        <w:pStyle w:val="brdtextfyrkant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Akapit pierwszy nie ma zastosowania w przypadku, gdy w ramach gry w pokera wymagana jest osobna rejestracja.</w:t>
      </w:r>
      <w:r>
        <w:rPr>
          <w:sz w:val="19"/>
          <w:szCs w:val="19"/>
          <w:rFonts w:ascii="Times New Roman" w:hAnsi="Times New Roman"/>
        </w:rPr>
        <w:t xml:space="preserve"> </w:t>
      </w:r>
      <w:r>
        <w:rPr>
          <w:sz w:val="19"/>
          <w:szCs w:val="19"/>
          <w:rFonts w:ascii="Times New Roman" w:hAnsi="Times New Roman"/>
        </w:rPr>
        <w:t xml:space="preserve">W takim przypadku gra w pokera w toku musi być widoczna tylko dla zarejestrowanych graczy.</w:t>
      </w:r>
    </w:p>
    <w:p w:rsidR="00E26F6C" w:rsidRPr="00E04140" w:rsidRDefault="00E26F6C" w:rsidP="008D301E">
      <w:pPr>
        <w:pStyle w:val="Brdtextblank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b/>
          <w:bCs/>
          <w:rFonts w:ascii="Times New Roman" w:hAnsi="Times New Roman"/>
        </w:rPr>
        <w:t xml:space="preserve">§ 11</w:t>
      </w:r>
      <w:r>
        <w:rPr>
          <w:sz w:val="19"/>
          <w:szCs w:val="19"/>
          <w:rFonts w:ascii="Times New Roman" w:hAnsi="Times New Roman"/>
        </w:rPr>
        <w:t xml:space="preserve"> Posiadacz zezwolenia zapewnia personel w rozumieniu rozdz. 14 § 13 ustawy o grach hazardowych (2018:1138) co najmniej na czas, w którym gracze mają możliwość uczestniczyć w grze w pokera.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8D301E">
      <w:pPr>
        <w:pStyle w:val="Rubrik2"/>
        <w:keepLines/>
        <w:rPr>
          <w:w w:val="100"/>
          <w:sz w:val="21"/>
          <w:szCs w:val="21"/>
          <w:rFonts w:ascii="Times New Roman" w:hAnsi="Times New Roman" w:cs="Times New Roman"/>
        </w:rPr>
      </w:pPr>
      <w:r>
        <w:rPr>
          <w:sz w:val="21"/>
          <w:szCs w:val="21"/>
          <w:rFonts w:ascii="Times New Roman" w:hAnsi="Times New Roman"/>
        </w:rPr>
        <w:t xml:space="preserve">Informacje przekazywane agentowi</w:t>
      </w:r>
    </w:p>
    <w:p w:rsidR="00E26F6C" w:rsidRPr="00E04140" w:rsidRDefault="00E26F6C" w:rsidP="008D301E">
      <w:pPr>
        <w:pStyle w:val="Brdtexthalv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b/>
          <w:bCs/>
          <w:rFonts w:ascii="Times New Roman" w:hAnsi="Times New Roman"/>
        </w:rPr>
        <w:t xml:space="preserve">§ 12</w:t>
      </w:r>
      <w:r>
        <w:rPr>
          <w:sz w:val="19"/>
          <w:szCs w:val="19"/>
          <w:rFonts w:ascii="Times New Roman" w:hAnsi="Times New Roman"/>
        </w:rPr>
        <w:t xml:space="preserve"> Agent posiadacza zezwolenia musi posiadać wiedzę na temat stosownych fragmentów ustawy (2018:1138) o grach hazardowych, rozporządzenia (2018:1475), przepisów, zaleceń ogólnych i warunków, które mają zastosowanie w odniesieniu do posiadacza zezwolenia, jak również na temat wewnętrznych zasad i wskazówek dotyczących działania agenta, ustalonych przez posiadacza zezwolenia.</w:t>
      </w:r>
    </w:p>
    <w:p w:rsidR="00E26F6C" w:rsidRPr="00E04140" w:rsidRDefault="00E26F6C" w:rsidP="008D301E">
      <w:pPr>
        <w:pStyle w:val="Rubrik4"/>
        <w:keepLines/>
        <w:widowControl/>
        <w:ind w:left="1120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Zalecenie ogólne:</w:t>
      </w:r>
      <w:r>
        <w:rPr>
          <w:sz w:val="19"/>
          <w:szCs w:val="19"/>
          <w:rFonts w:ascii="Times New Roman" w:hAnsi="Times New Roman"/>
        </w:rPr>
        <w:t xml:space="preserve"> </w:t>
      </w:r>
    </w:p>
    <w:p w:rsidR="00E26F6C" w:rsidRPr="00E04140" w:rsidRDefault="00E26F6C" w:rsidP="008D301E">
      <w:pPr>
        <w:pStyle w:val="Brdtexthalv"/>
        <w:ind w:left="1120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Stosowne fragmenty ustawy o grach hazardowych, rozporządzenia i przepisów to np. wymóg ukończenia 18 lat, aby uczestniczyć w grze hazardowej, zakaz grania na kredyt, skąd gracz może uzyskać informację i pomoc w zakresie samooceny, samowykluczenia i w przypadku innych problemów związanych z graniem.</w:t>
      </w:r>
    </w:p>
    <w:p w:rsidR="00E26F6C" w:rsidRPr="00E04140" w:rsidRDefault="00E26F6C" w:rsidP="0098460E">
      <w:pPr>
        <w:pStyle w:val="Brdtextlinje"/>
        <w:numPr>
          <w:ilvl w:val="0"/>
          <w:numId w:val="3"/>
        </w:numPr>
        <w:tabs>
          <w:tab w:val="left" w:pos="426"/>
        </w:tabs>
        <w:ind w:left="0" w:firstLine="180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Niniejsze przepisy wchodzą w życie z dniem 1 stycznia 2019 r.</w:t>
      </w:r>
    </w:p>
    <w:p w:rsidR="00E26F6C" w:rsidRPr="00E04140" w:rsidRDefault="00E26F6C" w:rsidP="0098460E">
      <w:pPr>
        <w:pStyle w:val="brdtextfyrkant"/>
        <w:numPr>
          <w:ilvl w:val="0"/>
          <w:numId w:val="3"/>
        </w:numPr>
        <w:tabs>
          <w:tab w:val="left" w:pos="426"/>
        </w:tabs>
        <w:ind w:left="0" w:firstLine="180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Przepisy stosuje się także w odniesieniu do wniosków o przyznanie licencji złożonych do Urzędu ds. Gier Losowych po dniu 1 sierpnia 2018 r. i dotyczących okresu po dniu 1 stycznia 2019 r.</w:t>
      </w:r>
    </w:p>
    <w:p w:rsidR="00E26F6C" w:rsidRPr="00E04140" w:rsidRDefault="00E26F6C" w:rsidP="008D301E">
      <w:pPr>
        <w:pStyle w:val="Brdtextblank"/>
        <w:rPr>
          <w:rFonts w:ascii="Times New Roman" w:hAnsi="Times New Roman" w:cs="Times New Roman"/>
          <w:w w:val="100"/>
          <w:sz w:val="19"/>
          <w:szCs w:val="19"/>
        </w:rPr>
      </w:pPr>
    </w:p>
    <w:p w:rsidR="00E26F6C" w:rsidRPr="00E04140" w:rsidRDefault="00E26F6C" w:rsidP="008D301E">
      <w:pPr>
        <w:pStyle w:val="Brdtextblank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W imieniu Urzędu ds. Gier Losowych</w:t>
      </w:r>
    </w:p>
    <w:p w:rsidR="00E26F6C" w:rsidRPr="00E04140" w:rsidRDefault="00E26F6C" w:rsidP="008D301E">
      <w:pPr>
        <w:pStyle w:val="Brdtextblank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CAMILLA ROSENBERG</w:t>
      </w:r>
    </w:p>
    <w:p w:rsidR="00E26F6C" w:rsidRDefault="00E26F6C" w:rsidP="008D301E">
      <w:pPr>
        <w:pStyle w:val="BodyText"/>
        <w:jc w:val="center"/>
        <w:rPr>
          <w:w w:val="100"/>
          <w:sz w:val="19"/>
          <w:szCs w:val="19"/>
          <w:rFonts w:ascii="Times New Roman" w:hAnsi="Times New Roman" w:cs="Times New Roman"/>
        </w:rPr>
      </w:pPr>
      <w:r>
        <w:rPr>
          <w:sz w:val="19"/>
          <w:szCs w:val="19"/>
          <w:rFonts w:ascii="Times New Roman" w:hAnsi="Times New Roman"/>
        </w:rPr>
        <w:t xml:space="preserve">Johan Röhr</w:t>
      </w:r>
    </w:p>
    <w:sectPr w:rsidR="00E26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9354" w:h="13720"/>
      <w:pgMar w:top="680" w:right="2306" w:bottom="1302" w:left="115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820" w:rsidRDefault="00BE1820">
      <w:pPr>
        <w:spacing w:after="0" w:line="240" w:lineRule="auto"/>
      </w:pPr>
      <w:r>
        <w:separator/>
      </w:r>
    </w:p>
  </w:endnote>
  <w:endnote w:type="continuationSeparator" w:id="0">
    <w:p w:rsidR="00BE1820" w:rsidRDefault="00BE1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>
    <w:pPr>
      <w:pStyle w:val="Footer"/>
      <w:tabs>
        <w:tab w:val="center" w:pos="12800"/>
        <w:tab w:val="right" w:pos="25600"/>
      </w:tabs>
      <w:jc w:val="left"/>
      <w:rPr>
        <w:rStyle w:val="Pagina"/>
        <w:w w:val="100"/>
        <w:rFonts w:ascii="Times New Roman" w:hAnsi="Times New Roman" w:cs="Times New Roman"/>
      </w:rPr>
    </w:pPr>
    <w:r w:rsidRPr="00053DD8">
      <w:rPr>
        <w:rStyle w:val="Pagina"/>
        <w:rFonts w:ascii="Times New Roman" w:hAnsi="Times New Roman" w:cs="Times New Roman"/>
      </w:rPr>
      <w:fldChar w:fldCharType="begin"/>
    </w:r>
    <w:r w:rsidRPr="00053DD8">
      <w:rPr>
        <w:rStyle w:val="Pagina"/>
        <w:rFonts w:ascii="Times New Roman" w:hAnsi="Times New Roman" w:cs="Times New Roman"/>
      </w:rPr>
      <w:instrText xml:space="preserve"> PAGE </w:instrText>
    </w:r>
    <w:r w:rsidRPr="00053DD8">
      <w:rPr>
        <w:rStyle w:val="Pagina"/>
        <w:rFonts w:ascii="Times New Roman" w:hAnsi="Times New Roman" w:cs="Times New Roman"/>
      </w:rPr>
      <w:fldChar w:fldCharType="separate"/>
    </w:r>
    <w:r w:rsidR="00CC1652">
      <w:rPr>
        <w:rStyle w:val="Pagina"/>
        <w:rFonts w:ascii="Times New Roman" w:hAnsi="Times New Roman" w:cs="Times New Roman"/>
      </w:rPr>
      <w:t>2</w:t>
    </w:r>
    <w:r w:rsidRPr="00053DD8">
      <w:rPr>
        <w:rStyle w:val="Pagina"/>
        <w:rFonts w:ascii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>
    <w:pPr>
      <w:pStyle w:val="Footer"/>
      <w:tabs>
        <w:tab w:val="center" w:pos="12800"/>
        <w:tab w:val="right" w:pos="25600"/>
      </w:tabs>
      <w:rPr>
        <w:rStyle w:val="Pagina"/>
        <w:w w:val="100"/>
        <w:rFonts w:ascii="Times New Roman" w:hAnsi="Times New Roman" w:cs="Times New Roman"/>
      </w:rPr>
    </w:pPr>
    <w:r w:rsidRPr="00053DD8">
      <w:rPr>
        <w:rStyle w:val="Pagina"/>
        <w:rFonts w:ascii="Times New Roman" w:hAnsi="Times New Roman" w:cs="Times New Roman"/>
      </w:rPr>
      <w:fldChar w:fldCharType="begin"/>
    </w:r>
    <w:r w:rsidRPr="00053DD8">
      <w:rPr>
        <w:rStyle w:val="Pagina"/>
        <w:rFonts w:ascii="Times New Roman" w:hAnsi="Times New Roman" w:cs="Times New Roman"/>
      </w:rPr>
      <w:instrText xml:space="preserve"> PAGE </w:instrText>
    </w:r>
    <w:r w:rsidRPr="00053DD8">
      <w:rPr>
        <w:rStyle w:val="Pagina"/>
        <w:rFonts w:ascii="Times New Roman" w:hAnsi="Times New Roman" w:cs="Times New Roman"/>
      </w:rPr>
      <w:fldChar w:fldCharType="separate"/>
    </w:r>
    <w:r w:rsidR="00CC1652">
      <w:rPr>
        <w:rStyle w:val="Pagina"/>
        <w:rFonts w:ascii="Times New Roman" w:hAnsi="Times New Roman" w:cs="Times New Roman"/>
      </w:rPr>
      <w:t>3</w:t>
    </w:r>
    <w:r w:rsidRPr="00053DD8">
      <w:rPr>
        <w:rStyle w:val="Pagina"/>
        <w:rFonts w:ascii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>
    <w:pPr>
      <w:pStyle w:val="Footer"/>
      <w:rPr>
        <w:rStyle w:val="Pagina"/>
        <w:w w:val="100"/>
        <w:rFonts w:ascii="Times New Roman" w:hAnsi="Times New Roman" w:cs="Times New Roman"/>
      </w:rPr>
    </w:pPr>
    <w:r w:rsidRPr="00053DD8">
      <w:rPr>
        <w:rStyle w:val="Pagina"/>
        <w:rFonts w:ascii="Times New Roman" w:hAnsi="Times New Roman" w:cs="Times New Roman"/>
      </w:rPr>
      <w:fldChar w:fldCharType="begin"/>
    </w:r>
    <w:r w:rsidRPr="00053DD8">
      <w:rPr>
        <w:rStyle w:val="Pagina"/>
        <w:rFonts w:ascii="Times New Roman" w:hAnsi="Times New Roman" w:cs="Times New Roman"/>
      </w:rPr>
      <w:instrText xml:space="preserve"> PAGE </w:instrText>
    </w:r>
    <w:r w:rsidRPr="00053DD8">
      <w:rPr>
        <w:rStyle w:val="Pagina"/>
        <w:rFonts w:ascii="Times New Roman" w:hAnsi="Times New Roman" w:cs="Times New Roman"/>
      </w:rPr>
      <w:fldChar w:fldCharType="separate"/>
    </w:r>
    <w:r w:rsidR="00CC1652">
      <w:rPr>
        <w:rStyle w:val="Pagina"/>
        <w:rFonts w:ascii="Times New Roman" w:hAnsi="Times New Roman" w:cs="Times New Roman"/>
      </w:rPr>
      <w:t>1</w:t>
    </w:r>
    <w:r w:rsidRPr="00053DD8">
      <w:rPr>
        <w:rStyle w:val="Pagina"/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820" w:rsidRDefault="00BE1820">
      <w:pPr>
        <w:spacing w:after="0" w:line="240" w:lineRule="auto"/>
      </w:pPr>
      <w:r>
        <w:separator/>
      </w:r>
    </w:p>
  </w:footnote>
  <w:footnote w:type="continuationSeparator" w:id="0">
    <w:p w:rsidR="00BE1820" w:rsidRDefault="00BE1820">
      <w:pPr>
        <w:spacing w:after="0" w:line="240" w:lineRule="auto"/>
      </w:pPr>
      <w:r>
        <w:continuationSeparator/>
      </w:r>
    </w:p>
  </w:footnote>
  <w:footnote w:id="1">
    <w:p w:rsidR="00E26F6C" w:rsidRPr="008D301E" w:rsidRDefault="00E26F6C">
      <w:pPr>
        <w:pStyle w:val="Fotnot"/>
        <w:rPr>
          <w:w w:val="100"/>
          <w:sz w:val="17"/>
          <w:szCs w:val="17"/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footnoteRef/>
      </w:r>
      <w:r>
        <w:t xml:space="preserve"> </w:t>
      </w:r>
      <w:r>
        <w:rPr>
          <w:sz w:val="17"/>
          <w:szCs w:val="17"/>
          <w:rFonts w:ascii="Times New Roman" w:hAnsi="Times New Roman"/>
        </w:rPr>
        <w:t xml:space="preserve">Zob. dyrektywa (UE) 2015/1535 Parlamentu Europejskiego i Rady z dnia 9 września 2015 r. ustanawiająca procedurę udzielania informacji w dziedzinie przepisów technicznych oraz zasad dotyczących usług społeczeństwa informacyjnego.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 w:rsidP="00053DD8">
    <w:pPr>
      <w:pStyle w:val="Header"/>
      <w:tabs>
        <w:tab w:val="clear" w:pos="2680"/>
        <w:tab w:val="clear" w:pos="4860"/>
        <w:tab w:val="center" w:pos="3840"/>
        <w:tab w:val="right" w:pos="7680"/>
        <w:tab w:val="center" w:pos="14920"/>
        <w:tab w:val="right" w:pos="29840"/>
      </w:tabs>
      <w:suppressAutoHyphens/>
      <w:jc w:val="right"/>
      <w:rPr>
        <w:w w:val="100"/>
        <w:sz w:val="21"/>
        <w:szCs w:val="21"/>
        <w:rFonts w:ascii="Times New Roman" w:hAnsi="Times New Roman" w:cs="Times New Roman"/>
      </w:rPr>
    </w:pPr>
    <w:r>
      <w:rPr>
        <w:sz w:val="21"/>
        <w:szCs w:val="21"/>
        <w:rFonts w:ascii="Times New Roman" w:hAnsi="Times New Roman"/>
      </w:rPr>
      <w:t xml:space="preserve">LIFS 2018:5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F6C" w:rsidRPr="00053DD8" w:rsidRDefault="00E26F6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66649F"/>
    <w:multiLevelType w:val="hybridMultilevel"/>
    <w:tmpl w:val="E0E679E8"/>
    <w:lvl w:ilvl="0" w:tplc="19A2DA46">
      <w:start w:val="1"/>
      <w:numFmt w:val="decimal"/>
      <w:lvlText w:val="%1."/>
      <w:lvlJc w:val="left"/>
      <w:pPr>
        <w:ind w:left="90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6934A2F"/>
    <w:multiLevelType w:val="hybridMultilevel"/>
    <w:tmpl w:val="AEF8F8E4"/>
    <w:lvl w:ilvl="0" w:tplc="B67ADE9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78536144"/>
    <w:multiLevelType w:val="hybridMultilevel"/>
    <w:tmpl w:val="5B30D3E0"/>
    <w:lvl w:ilvl="0" w:tplc="19A2DA46">
      <w:start w:val="1"/>
      <w:numFmt w:val="decimal"/>
      <w:lvlText w:val="%1."/>
      <w:lvlJc w:val="left"/>
      <w:pPr>
        <w:ind w:left="90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140"/>
    <w:rsid w:val="00053DD8"/>
    <w:rsid w:val="000960E2"/>
    <w:rsid w:val="002D5004"/>
    <w:rsid w:val="006E526C"/>
    <w:rsid w:val="0072448A"/>
    <w:rsid w:val="008D301E"/>
    <w:rsid w:val="0098460E"/>
    <w:rsid w:val="00A54B11"/>
    <w:rsid w:val="00BE1820"/>
    <w:rsid w:val="00CC1652"/>
    <w:rsid w:val="00E04140"/>
    <w:rsid w:val="00E26F6C"/>
    <w:rsid w:val="00FD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/>
    <o:shapelayout v:ext="edit">
      <o:idmap v:ext="edit" data="1"/>
    </o:shapelayout>
  </w:shapeDefaults>
  <w:decimalSymbol w:val="."/>
  <w:listSeparator w:val=";"/>
  <w14:defaultImageDpi w14:val="0"/>
  <w15:docId w15:val="{3A890AE6-AC3F-4335-B892-22D21E43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l-PL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tgivare">
    <w:name w:val="Utgivare"/>
    <w:pPr>
      <w:widowControl w:val="0"/>
      <w:tabs>
        <w:tab w:val="left" w:pos="100"/>
      </w:tabs>
      <w:autoSpaceDE w:val="0"/>
      <w:autoSpaceDN w:val="0"/>
      <w:adjustRightInd w:val="0"/>
      <w:spacing w:before="180" w:line="160" w:lineRule="atLeast"/>
      <w:jc w:val="both"/>
    </w:pPr>
    <w:rPr>
      <w:rFonts w:ascii="Times" w:hAnsi="Times" w:cs="Times"/>
      <w:color w:val="000000"/>
      <w:w w:val="0"/>
      <w:sz w:val="16"/>
      <w:szCs w:val="16"/>
      <w:lang w:val="pl-PL" w:eastAsia="sv-SE"/>
    </w:rPr>
  </w:style>
  <w:style w:type="paragraph" w:customStyle="1" w:styleId="Fristende7cic">
    <w:name w:val="Fristående 7 cic"/>
    <w:uiPriority w:val="99"/>
    <w:pPr>
      <w:tabs>
        <w:tab w:val="left" w:pos="1980"/>
      </w:tabs>
      <w:autoSpaceDE w:val="0"/>
      <w:autoSpaceDN w:val="0"/>
      <w:adjustRightInd w:val="0"/>
      <w:spacing w:before="100" w:line="220" w:lineRule="atLeast"/>
      <w:ind w:left="1980" w:hanging="1980"/>
      <w:jc w:val="both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Brdtextnytt">
    <w:name w:val="Brödtext nytt"/>
    <w:uiPriority w:val="99"/>
    <w:pPr>
      <w:tabs>
        <w:tab w:val="left" w:pos="3060"/>
      </w:tabs>
      <w:autoSpaceDE w:val="0"/>
      <w:autoSpaceDN w:val="0"/>
      <w:adjustRightInd w:val="0"/>
      <w:spacing w:line="220" w:lineRule="atLeast"/>
      <w:ind w:firstLine="180"/>
      <w:jc w:val="both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styleId="BodyText">
    <w:name w:val="Body Text"/>
    <w:basedOn w:val="Normal"/>
    <w:link w:val="BodyTextChar"/>
    <w:uiPriority w:val="99"/>
    <w:pPr>
      <w:tabs>
        <w:tab w:val="left" w:pos="2940"/>
      </w:tabs>
      <w:autoSpaceDE w:val="0"/>
      <w:autoSpaceDN w:val="0"/>
      <w:adjustRightInd w:val="0"/>
      <w:spacing w:after="0" w:line="220" w:lineRule="atLeast"/>
      <w:jc w:val="both"/>
    </w:pPr>
    <w:rPr>
      <w:rFonts w:ascii="Times" w:hAnsi="Times" w:cs="Times"/>
      <w:color w:val="000000"/>
      <w:w w:val="0"/>
      <w:sz w:val="18"/>
      <w:szCs w:val="18"/>
    </w:rPr>
  </w:style>
  <w:style w:type="character" w:customStyle="1" w:styleId="BodyTextChar">
    <w:name w:val="Body Text Char"/>
    <w:link w:val="BodyText"/>
    <w:uiPriority w:val="99"/>
    <w:semiHidden/>
  </w:style>
  <w:style w:type="paragraph" w:customStyle="1" w:styleId="Brdtextblank">
    <w:name w:val="Brödtext blank"/>
    <w:uiPriority w:val="99"/>
    <w:pPr>
      <w:tabs>
        <w:tab w:val="left" w:pos="3060"/>
      </w:tabs>
      <w:autoSpaceDE w:val="0"/>
      <w:autoSpaceDN w:val="0"/>
      <w:adjustRightInd w:val="0"/>
      <w:spacing w:before="220" w:line="220" w:lineRule="atLeast"/>
      <w:jc w:val="both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Brdtexthalv">
    <w:name w:val="Brödtext halv"/>
    <w:uiPriority w:val="99"/>
    <w:pPr>
      <w:autoSpaceDE w:val="0"/>
      <w:autoSpaceDN w:val="0"/>
      <w:adjustRightInd w:val="0"/>
      <w:spacing w:before="100" w:line="220" w:lineRule="atLeast"/>
      <w:jc w:val="both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Brdtextlinje">
    <w:name w:val="Brödtext linje"/>
    <w:uiPriority w:val="99"/>
    <w:pPr>
      <w:pBdr>
        <w:top w:val="single" w:sz="8" w:space="0" w:color="auto"/>
      </w:pBdr>
      <w:autoSpaceDE w:val="0"/>
      <w:autoSpaceDN w:val="0"/>
      <w:adjustRightInd w:val="0"/>
      <w:spacing w:line="220" w:lineRule="atLeast"/>
      <w:ind w:firstLine="180"/>
      <w:jc w:val="both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Fotnot">
    <w:name w:val="Fotnot"/>
    <w:uiPriority w:val="99"/>
    <w:pPr>
      <w:widowControl w:val="0"/>
      <w:tabs>
        <w:tab w:val="left" w:pos="100"/>
      </w:tabs>
      <w:autoSpaceDE w:val="0"/>
      <w:autoSpaceDN w:val="0"/>
      <w:adjustRightInd w:val="0"/>
      <w:spacing w:line="160" w:lineRule="atLeast"/>
      <w:jc w:val="both"/>
    </w:pPr>
    <w:rPr>
      <w:rFonts w:ascii="Times" w:hAnsi="Times" w:cs="Times"/>
      <w:color w:val="000000"/>
      <w:w w:val="0"/>
      <w:sz w:val="16"/>
      <w:szCs w:val="16"/>
      <w:lang w:val="pl-PL" w:eastAsia="sv-SE"/>
    </w:rPr>
  </w:style>
  <w:style w:type="paragraph" w:styleId="Footer">
    <w:name w:val="footer"/>
    <w:basedOn w:val="Normal"/>
    <w:link w:val="FooterChar"/>
    <w:uiPriority w:val="99"/>
    <w:pPr>
      <w:widowControl w:val="0"/>
      <w:tabs>
        <w:tab w:val="center" w:pos="3840"/>
        <w:tab w:val="right" w:pos="7680"/>
      </w:tabs>
      <w:autoSpaceDE w:val="0"/>
      <w:autoSpaceDN w:val="0"/>
      <w:adjustRightInd w:val="0"/>
      <w:spacing w:after="0" w:line="220" w:lineRule="atLeast"/>
      <w:jc w:val="right"/>
    </w:pPr>
    <w:rPr>
      <w:rFonts w:ascii="Times" w:hAnsi="Times" w:cs="Times"/>
      <w:color w:val="000000"/>
      <w:w w:val="0"/>
      <w:sz w:val="18"/>
      <w:szCs w:val="18"/>
    </w:rPr>
  </w:style>
  <w:style w:type="character" w:customStyle="1" w:styleId="FooterChar">
    <w:name w:val="Footer Char"/>
    <w:link w:val="Footer"/>
    <w:uiPriority w:val="99"/>
    <w:semiHidden/>
  </w:style>
  <w:style w:type="paragraph" w:styleId="Header">
    <w:name w:val="header"/>
    <w:aliases w:val="extra"/>
    <w:basedOn w:val="Normal"/>
    <w:link w:val="HeaderChar"/>
    <w:uiPriority w:val="99"/>
    <w:pPr>
      <w:widowControl w:val="0"/>
      <w:tabs>
        <w:tab w:val="left" w:pos="2680"/>
        <w:tab w:val="left" w:pos="4860"/>
      </w:tabs>
      <w:autoSpaceDE w:val="0"/>
      <w:autoSpaceDN w:val="0"/>
      <w:adjustRightInd w:val="0"/>
      <w:spacing w:after="0" w:line="240" w:lineRule="atLeast"/>
      <w:jc w:val="both"/>
    </w:pPr>
    <w:rPr>
      <w:rFonts w:ascii="Times" w:hAnsi="Times" w:cs="Times"/>
      <w:b/>
      <w:bCs/>
      <w:color w:val="000000"/>
      <w:w w:val="0"/>
      <w:sz w:val="20"/>
      <w:szCs w:val="20"/>
    </w:rPr>
  </w:style>
  <w:style w:type="character" w:customStyle="1" w:styleId="HeaderChar">
    <w:name w:val="Header Char"/>
    <w:aliases w:val="extra Char"/>
    <w:link w:val="Header"/>
    <w:uiPriority w:val="99"/>
    <w:semiHidden/>
  </w:style>
  <w:style w:type="paragraph" w:customStyle="1" w:styleId="Rubrik1">
    <w:name w:val="Rubrik1"/>
    <w:uiPriority w:val="99"/>
    <w:pPr>
      <w:widowControl w:val="0"/>
      <w:suppressAutoHyphens/>
      <w:autoSpaceDE w:val="0"/>
      <w:autoSpaceDN w:val="0"/>
      <w:adjustRightInd w:val="0"/>
      <w:spacing w:line="240" w:lineRule="atLeast"/>
      <w:ind w:right="240"/>
    </w:pPr>
    <w:rPr>
      <w:rFonts w:ascii="Times" w:hAnsi="Times" w:cs="Times"/>
      <w:b/>
      <w:bCs/>
      <w:color w:val="000000"/>
      <w:w w:val="0"/>
      <w:sz w:val="24"/>
      <w:szCs w:val="24"/>
      <w:lang w:val="pl-PL" w:eastAsia="sv-SE"/>
    </w:rPr>
  </w:style>
  <w:style w:type="paragraph" w:customStyle="1" w:styleId="Rubrik2engelsk">
    <w:name w:val="Rubrik2 engelsk"/>
    <w:uiPriority w:val="99"/>
    <w:pPr>
      <w:keepNext/>
      <w:widowControl w:val="0"/>
      <w:autoSpaceDE w:val="0"/>
      <w:autoSpaceDN w:val="0"/>
      <w:adjustRightInd w:val="0"/>
      <w:spacing w:before="320" w:line="200" w:lineRule="atLeast"/>
      <w:jc w:val="both"/>
    </w:pPr>
    <w:rPr>
      <w:rFonts w:ascii="Times" w:hAnsi="Times" w:cs="Times"/>
      <w:b/>
      <w:bCs/>
      <w:color w:val="000000"/>
      <w:w w:val="0"/>
      <w:lang w:val="pl-PL" w:eastAsia="sv-SE"/>
    </w:rPr>
  </w:style>
  <w:style w:type="paragraph" w:customStyle="1" w:styleId="Rubrik3">
    <w:name w:val="Rubrik3"/>
    <w:uiPriority w:val="99"/>
    <w:pPr>
      <w:keepNext/>
      <w:widowControl w:val="0"/>
      <w:suppressAutoHyphens/>
      <w:autoSpaceDE w:val="0"/>
      <w:autoSpaceDN w:val="0"/>
      <w:adjustRightInd w:val="0"/>
      <w:spacing w:before="360" w:line="220" w:lineRule="atLeast"/>
    </w:pPr>
    <w:rPr>
      <w:rFonts w:ascii="Times" w:hAnsi="Times" w:cs="Times"/>
      <w:b/>
      <w:bCs/>
      <w:color w:val="000000"/>
      <w:w w:val="0"/>
      <w:sz w:val="18"/>
      <w:szCs w:val="18"/>
      <w:lang w:val="pl-PL" w:eastAsia="sv-SE"/>
    </w:rPr>
  </w:style>
  <w:style w:type="paragraph" w:customStyle="1" w:styleId="Rubrik30">
    <w:name w:val="Rubrik30"/>
    <w:uiPriority w:val="99"/>
    <w:pPr>
      <w:keepNext/>
      <w:widowControl w:val="0"/>
      <w:suppressAutoHyphens/>
      <w:autoSpaceDE w:val="0"/>
      <w:autoSpaceDN w:val="0"/>
      <w:adjustRightInd w:val="0"/>
      <w:spacing w:before="100" w:line="220" w:lineRule="atLeast"/>
    </w:pPr>
    <w:rPr>
      <w:rFonts w:ascii="Times" w:hAnsi="Times" w:cs="Times"/>
      <w:b/>
      <w:bCs/>
      <w:color w:val="000000"/>
      <w:w w:val="0"/>
      <w:sz w:val="18"/>
      <w:szCs w:val="18"/>
      <w:lang w:val="pl-PL" w:eastAsia="sv-SE"/>
    </w:rPr>
  </w:style>
  <w:style w:type="paragraph" w:customStyle="1" w:styleId="Kantrubrik">
    <w:name w:val="Kantrubrik"/>
    <w:uiPriority w:val="99"/>
    <w:pPr>
      <w:widowControl w:val="0"/>
      <w:suppressAutoHyphens/>
      <w:autoSpaceDE w:val="0"/>
      <w:autoSpaceDN w:val="0"/>
      <w:adjustRightInd w:val="0"/>
      <w:spacing w:line="280" w:lineRule="atLeast"/>
    </w:pPr>
    <w:rPr>
      <w:rFonts w:ascii="Times" w:hAnsi="Times" w:cs="Times"/>
      <w:b/>
      <w:bCs/>
      <w:color w:val="000000"/>
      <w:w w:val="0"/>
      <w:sz w:val="22"/>
      <w:szCs w:val="22"/>
      <w:lang w:val="pl-PL" w:eastAsia="sv-SE"/>
    </w:rPr>
  </w:style>
  <w:style w:type="paragraph" w:customStyle="1" w:styleId="Rubrik4">
    <w:name w:val="Rubrik4"/>
    <w:uiPriority w:val="99"/>
    <w:pPr>
      <w:keepNext/>
      <w:widowControl w:val="0"/>
      <w:suppressAutoHyphens/>
      <w:autoSpaceDE w:val="0"/>
      <w:autoSpaceDN w:val="0"/>
      <w:adjustRightInd w:val="0"/>
      <w:spacing w:before="360" w:line="220" w:lineRule="atLeast"/>
    </w:pPr>
    <w:rPr>
      <w:rFonts w:ascii="Times" w:hAnsi="Times" w:cs="Times"/>
      <w:i/>
      <w:iCs/>
      <w:color w:val="000000"/>
      <w:w w:val="0"/>
      <w:sz w:val="18"/>
      <w:szCs w:val="18"/>
      <w:lang w:val="pl-PL" w:eastAsia="sv-SE"/>
    </w:rPr>
  </w:style>
  <w:style w:type="paragraph" w:customStyle="1" w:styleId="Rubrik40">
    <w:name w:val="Rubrik40"/>
    <w:uiPriority w:val="99"/>
    <w:pPr>
      <w:keepNext/>
      <w:widowControl w:val="0"/>
      <w:suppressAutoHyphens/>
      <w:autoSpaceDE w:val="0"/>
      <w:autoSpaceDN w:val="0"/>
      <w:adjustRightInd w:val="0"/>
      <w:spacing w:before="100" w:line="220" w:lineRule="atLeast"/>
    </w:pPr>
    <w:rPr>
      <w:rFonts w:ascii="Times" w:hAnsi="Times" w:cs="Times"/>
      <w:i/>
      <w:iCs/>
      <w:color w:val="000000"/>
      <w:w w:val="0"/>
      <w:sz w:val="18"/>
      <w:szCs w:val="18"/>
      <w:lang w:val="pl-PL" w:eastAsia="sv-SE"/>
    </w:rPr>
  </w:style>
  <w:style w:type="paragraph" w:customStyle="1" w:styleId="Rubrik400utanluftver">
    <w:name w:val="Rubrik400 utan luft över"/>
    <w:uiPriority w:val="99"/>
    <w:pPr>
      <w:keepNext/>
      <w:widowControl w:val="0"/>
      <w:suppressAutoHyphens/>
      <w:autoSpaceDE w:val="0"/>
      <w:autoSpaceDN w:val="0"/>
      <w:adjustRightInd w:val="0"/>
      <w:spacing w:line="220" w:lineRule="atLeast"/>
    </w:pPr>
    <w:rPr>
      <w:rFonts w:ascii="Times" w:hAnsi="Times" w:cs="Times"/>
      <w:i/>
      <w:iCs/>
      <w:color w:val="000000"/>
      <w:w w:val="0"/>
      <w:sz w:val="18"/>
      <w:szCs w:val="18"/>
      <w:lang w:val="pl-PL" w:eastAsia="sv-SE"/>
    </w:rPr>
  </w:style>
  <w:style w:type="paragraph" w:customStyle="1" w:styleId="Rubrik5">
    <w:name w:val="Rubrik5"/>
    <w:uiPriority w:val="99"/>
    <w:pPr>
      <w:keepNext/>
      <w:widowControl w:val="0"/>
      <w:suppressAutoHyphens/>
      <w:autoSpaceDE w:val="0"/>
      <w:autoSpaceDN w:val="0"/>
      <w:adjustRightInd w:val="0"/>
      <w:spacing w:before="360" w:line="220" w:lineRule="atLeast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Rubrik50">
    <w:name w:val="Rubrik50"/>
    <w:uiPriority w:val="99"/>
    <w:pPr>
      <w:keepNext/>
      <w:widowControl w:val="0"/>
      <w:suppressAutoHyphens/>
      <w:autoSpaceDE w:val="0"/>
      <w:autoSpaceDN w:val="0"/>
      <w:adjustRightInd w:val="0"/>
      <w:spacing w:before="100" w:line="220" w:lineRule="atLeast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Strecklinjeunder">
    <w:name w:val="Strecklinje under"/>
    <w:uiPriority w:val="99"/>
    <w:pPr>
      <w:pBdr>
        <w:bottom w:val="single" w:sz="8" w:space="0" w:color="auto"/>
      </w:pBdr>
      <w:tabs>
        <w:tab w:val="left" w:pos="3060"/>
      </w:tabs>
      <w:autoSpaceDE w:val="0"/>
      <w:autoSpaceDN w:val="0"/>
      <w:adjustRightInd w:val="0"/>
      <w:spacing w:line="220" w:lineRule="atLeast"/>
      <w:jc w:val="both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Strecklinjever">
    <w:name w:val="Strecklinje över"/>
    <w:uiPriority w:val="99"/>
    <w:pPr>
      <w:pBdr>
        <w:top w:val="single" w:sz="8" w:space="0" w:color="auto"/>
      </w:pBdr>
      <w:tabs>
        <w:tab w:val="left" w:pos="2560"/>
        <w:tab w:val="left" w:pos="4600"/>
      </w:tabs>
      <w:autoSpaceDE w:val="0"/>
      <w:autoSpaceDN w:val="0"/>
      <w:adjustRightInd w:val="0"/>
      <w:spacing w:line="220" w:lineRule="atLeast"/>
      <w:jc w:val="both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Tabellfotnot">
    <w:name w:val="Tabellfotnot"/>
    <w:uiPriority w:val="99"/>
    <w:pPr>
      <w:widowControl w:val="0"/>
      <w:tabs>
        <w:tab w:val="left" w:pos="560"/>
      </w:tabs>
      <w:autoSpaceDE w:val="0"/>
      <w:autoSpaceDN w:val="0"/>
      <w:adjustRightInd w:val="0"/>
      <w:spacing w:line="160" w:lineRule="atLeast"/>
      <w:jc w:val="both"/>
    </w:pPr>
    <w:rPr>
      <w:rFonts w:ascii="Times" w:hAnsi="Times" w:cs="Times"/>
      <w:color w:val="000000"/>
      <w:w w:val="0"/>
      <w:sz w:val="16"/>
      <w:szCs w:val="16"/>
      <w:lang w:val="pl-PL" w:eastAsia="sv-SE"/>
    </w:rPr>
  </w:style>
  <w:style w:type="paragraph" w:customStyle="1" w:styleId="Tabelltext">
    <w:name w:val="Tabelltext"/>
    <w:uiPriority w:val="99"/>
    <w:pPr>
      <w:widowControl w:val="0"/>
      <w:autoSpaceDE w:val="0"/>
      <w:autoSpaceDN w:val="0"/>
      <w:adjustRightInd w:val="0"/>
      <w:spacing w:line="160" w:lineRule="atLeast"/>
      <w:jc w:val="both"/>
    </w:pPr>
    <w:rPr>
      <w:rFonts w:ascii="Times" w:hAnsi="Times" w:cs="Times"/>
      <w:color w:val="000000"/>
      <w:w w:val="0"/>
      <w:sz w:val="16"/>
      <w:szCs w:val="16"/>
      <w:lang w:val="pl-PL" w:eastAsia="sv-SE"/>
    </w:rPr>
  </w:style>
  <w:style w:type="paragraph" w:customStyle="1" w:styleId="Tabelltitel">
    <w:name w:val="Tabelltitel"/>
    <w:uiPriority w:val="99"/>
    <w:pPr>
      <w:keepNext/>
      <w:pageBreakBefore/>
      <w:widowControl w:val="0"/>
      <w:suppressAutoHyphens/>
      <w:autoSpaceDE w:val="0"/>
      <w:autoSpaceDN w:val="0"/>
      <w:adjustRightInd w:val="0"/>
      <w:spacing w:before="180" w:line="180" w:lineRule="atLeast"/>
    </w:pPr>
    <w:rPr>
      <w:rFonts w:ascii="Times" w:hAnsi="Times" w:cs="Times"/>
      <w:b/>
      <w:bCs/>
      <w:color w:val="000000"/>
      <w:w w:val="0"/>
      <w:sz w:val="18"/>
      <w:szCs w:val="18"/>
      <w:lang w:val="pl-PL" w:eastAsia="sv-SE"/>
    </w:rPr>
  </w:style>
  <w:style w:type="paragraph" w:customStyle="1" w:styleId="Text">
    <w:name w:val="Text"/>
    <w:uiPriority w:val="99"/>
    <w:pPr>
      <w:widowControl w:val="0"/>
      <w:tabs>
        <w:tab w:val="left" w:pos="760"/>
      </w:tabs>
      <w:autoSpaceDE w:val="0"/>
      <w:autoSpaceDN w:val="0"/>
      <w:adjustRightInd w:val="0"/>
      <w:spacing w:before="120" w:line="180" w:lineRule="atLeast"/>
      <w:jc w:val="both"/>
    </w:pPr>
    <w:rPr>
      <w:rFonts w:ascii="Times" w:hAnsi="Times" w:cs="Times"/>
      <w:color w:val="000000"/>
      <w:w w:val="0"/>
      <w:sz w:val="14"/>
      <w:szCs w:val="14"/>
      <w:lang w:val="pl-PL" w:eastAsia="sv-SE"/>
    </w:rPr>
  </w:style>
  <w:style w:type="paragraph" w:customStyle="1" w:styleId="brdtextfyrkant">
    <w:name w:val="brödtext fyrkant"/>
    <w:uiPriority w:val="99"/>
    <w:pPr>
      <w:tabs>
        <w:tab w:val="left" w:pos="3060"/>
      </w:tabs>
      <w:autoSpaceDE w:val="0"/>
      <w:autoSpaceDN w:val="0"/>
      <w:adjustRightInd w:val="0"/>
      <w:spacing w:line="220" w:lineRule="atLeast"/>
      <w:ind w:firstLine="180"/>
      <w:jc w:val="both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upprkninga-z">
    <w:name w:val="uppräkning a-z"/>
    <w:uiPriority w:val="99"/>
    <w:pPr>
      <w:tabs>
        <w:tab w:val="left" w:pos="280"/>
      </w:tabs>
      <w:autoSpaceDE w:val="0"/>
      <w:autoSpaceDN w:val="0"/>
      <w:adjustRightInd w:val="0"/>
      <w:spacing w:line="220" w:lineRule="atLeast"/>
      <w:ind w:left="280" w:hanging="280"/>
      <w:jc w:val="both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upprkninga-zstart">
    <w:name w:val="uppräkning a-z start"/>
    <w:uiPriority w:val="99"/>
    <w:pPr>
      <w:tabs>
        <w:tab w:val="left" w:pos="280"/>
      </w:tabs>
      <w:autoSpaceDE w:val="0"/>
      <w:autoSpaceDN w:val="0"/>
      <w:adjustRightInd w:val="0"/>
      <w:spacing w:before="100" w:line="220" w:lineRule="atLeast"/>
      <w:ind w:left="280" w:hanging="280"/>
      <w:jc w:val="both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upprkningstreck">
    <w:name w:val="uppräkning streck"/>
    <w:uiPriority w:val="99"/>
    <w:pPr>
      <w:tabs>
        <w:tab w:val="left" w:pos="560"/>
      </w:tabs>
      <w:autoSpaceDE w:val="0"/>
      <w:autoSpaceDN w:val="0"/>
      <w:adjustRightInd w:val="0"/>
      <w:spacing w:line="220" w:lineRule="atLeast"/>
      <w:ind w:left="560" w:hanging="280"/>
      <w:jc w:val="both"/>
    </w:pPr>
    <w:rPr>
      <w:rFonts w:ascii="Times" w:hAnsi="Times" w:cs="Times"/>
      <w:color w:val="000000"/>
      <w:w w:val="0"/>
      <w:sz w:val="18"/>
      <w:szCs w:val="18"/>
      <w:lang w:val="pl-PL" w:eastAsia="sv-SE"/>
    </w:rPr>
  </w:style>
  <w:style w:type="paragraph" w:customStyle="1" w:styleId="Rubrik2">
    <w:name w:val="Rubrik2"/>
    <w:uiPriority w:val="99"/>
    <w:pPr>
      <w:keepNext/>
      <w:suppressAutoHyphens/>
      <w:autoSpaceDE w:val="0"/>
      <w:autoSpaceDN w:val="0"/>
      <w:adjustRightInd w:val="0"/>
      <w:spacing w:before="360" w:line="220" w:lineRule="atLeast"/>
    </w:pPr>
    <w:rPr>
      <w:rFonts w:ascii="Times" w:hAnsi="Times" w:cs="Times"/>
      <w:b/>
      <w:bCs/>
      <w:color w:val="000000"/>
      <w:w w:val="0"/>
      <w:lang w:val="pl-PL" w:eastAsia="sv-SE"/>
    </w:rPr>
  </w:style>
  <w:style w:type="character" w:customStyle="1" w:styleId="Bilaga">
    <w:name w:val="Bilaga"/>
    <w:uiPriority w:val="99"/>
    <w:rPr>
      <w:sz w:val="14"/>
      <w:szCs w:val="14"/>
    </w:rPr>
  </w:style>
  <w:style w:type="character" w:customStyle="1" w:styleId="Kursiv">
    <w:name w:val="Kursiv"/>
    <w:uiPriority w:val="99"/>
    <w:rPr>
      <w:rFonts w:ascii="Times" w:hAnsi="Times" w:cs="Times"/>
      <w:i/>
      <w:iCs/>
      <w:color w:val="000000"/>
      <w:u w:val="none"/>
      <w:vertAlign w:val="baseline"/>
    </w:rPr>
  </w:style>
  <w:style w:type="character" w:customStyle="1" w:styleId="Arkisar">
    <w:name w:val="Arkisar"/>
    <w:uiPriority w:val="99"/>
    <w:rPr>
      <w:sz w:val="14"/>
      <w:szCs w:val="14"/>
    </w:rPr>
  </w:style>
  <w:style w:type="character" w:customStyle="1" w:styleId="UnderISSN-nummer">
    <w:name w:val="Under ISSN-nummer"/>
    <w:uiPriority w:val="99"/>
    <w:rPr>
      <w:rFonts w:ascii="Times" w:hAnsi="Times" w:cs="Times"/>
      <w:color w:val="000000"/>
      <w:spacing w:val="0"/>
      <w:sz w:val="15"/>
      <w:szCs w:val="15"/>
      <w:u w:val="none"/>
      <w:vertAlign w:val="baseline"/>
    </w:rPr>
  </w:style>
  <w:style w:type="character" w:customStyle="1" w:styleId="Svfrfattnhalvfet">
    <w:name w:val="Sv.författn. halvfet"/>
    <w:uiPriority w:val="99"/>
    <w:rPr>
      <w:rFonts w:ascii="Times" w:hAnsi="Times" w:cs="Times"/>
      <w:b/>
      <w:bCs/>
      <w:color w:val="000000"/>
      <w:spacing w:val="0"/>
      <w:sz w:val="36"/>
      <w:szCs w:val="36"/>
      <w:u w:val="none"/>
      <w:vertAlign w:val="baseline"/>
    </w:rPr>
  </w:style>
  <w:style w:type="character" w:customStyle="1" w:styleId="Tryckort">
    <w:name w:val="Tryckort"/>
    <w:uiPriority w:val="99"/>
    <w:rPr>
      <w:rFonts w:ascii="Times" w:hAnsi="Times" w:cs="Times"/>
      <w:color w:val="000000"/>
      <w:spacing w:val="0"/>
      <w:sz w:val="11"/>
      <w:szCs w:val="11"/>
      <w:u w:val="none"/>
      <w:vertAlign w:val="baseline"/>
    </w:rPr>
  </w:style>
  <w:style w:type="character" w:styleId="Emphasis">
    <w:name w:val="Emphasis"/>
    <w:uiPriority w:val="99"/>
    <w:qFormat/>
    <w:rPr>
      <w:i/>
      <w:iCs/>
    </w:rPr>
  </w:style>
  <w:style w:type="character" w:customStyle="1" w:styleId="Ekvationsvariabler">
    <w:name w:val="Ekvationsvariabler"/>
    <w:uiPriority w:val="99"/>
    <w:rPr>
      <w:i/>
      <w:iCs/>
    </w:rPr>
  </w:style>
  <w:style w:type="character" w:customStyle="1" w:styleId="Halvfet">
    <w:name w:val="Halvfet"/>
    <w:uiPriority w:val="99"/>
    <w:rPr>
      <w:rFonts w:ascii="Times" w:hAnsi="Times" w:cs="Times"/>
      <w:b/>
      <w:bCs/>
      <w:color w:val="000000"/>
      <w:u w:val="none"/>
      <w:vertAlign w:val="baseline"/>
    </w:rPr>
  </w:style>
  <w:style w:type="character" w:customStyle="1" w:styleId="Pagina">
    <w:name w:val="Pagina"/>
    <w:uiPriority w:val="99"/>
    <w:rPr>
      <w:rFonts w:ascii="Times" w:hAnsi="Times" w:cs="Times"/>
      <w:color w:val="000000"/>
      <w:spacing w:val="0"/>
      <w:sz w:val="19"/>
      <w:szCs w:val="19"/>
      <w:u w:val="none"/>
      <w:vertAlign w:val="baseline"/>
    </w:rPr>
  </w:style>
  <w:style w:type="character" w:customStyle="1" w:styleId="Utkom">
    <w:name w:val="Utkom"/>
    <w:uiPriority w:val="99"/>
    <w:rPr>
      <w:rFonts w:ascii="Times" w:hAnsi="Times" w:cs="Times"/>
      <w:color w:val="000000"/>
      <w:spacing w:val="0"/>
      <w:sz w:val="17"/>
      <w:szCs w:val="17"/>
      <w:u w:val="none"/>
      <w:vertAlign w:val="baseline"/>
    </w:rPr>
  </w:style>
  <w:style w:type="paragraph" w:styleId="PlainText">
    <w:name w:val="Plain Text"/>
    <w:basedOn w:val="Normal"/>
    <w:link w:val="PlainTextChar"/>
    <w:uiPriority w:val="99"/>
    <w:unhideWhenUsed/>
    <w:rsid w:val="00CC1652"/>
    <w:pPr>
      <w:spacing w:after="0" w:line="240" w:lineRule="auto"/>
    </w:pPr>
    <w:rPr>
      <w:rFonts w:ascii="Consolas" w:hAnsi="Consolas"/>
      <w:sz w:val="21"/>
      <w:szCs w:val="21"/>
      <w:lang w:val="pl-PL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C1652"/>
    <w:rPr>
      <w:rFonts w:ascii="Consolas" w:hAnsi="Consolas"/>
      <w:sz w:val="21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5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rkuser1</dc:creator>
  <cp:keywords/>
  <dc:description/>
  <cp:lastModifiedBy>KARAGIANNI, Maria</cp:lastModifiedBy>
  <cp:revision>3</cp:revision>
  <dcterms:created xsi:type="dcterms:W3CDTF">2018-11-09T14:25:00Z</dcterms:created>
  <dcterms:modified xsi:type="dcterms:W3CDTF">2018-11-14T10:09:00Z</dcterms:modified>
</cp:coreProperties>
</file>