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0601 D PL- ------ 20191209 --- --- PROJET</w:t>
      </w:r>
      <w:r>
        <w:rPr>
          <w:sz w:val="20"/>
          <w:szCs w:val="20"/>
          <w:rFonts w:ascii="Courier New" w:hAnsi="Courier New"/>
        </w:rPr>
        <w:t xml:space="preserve">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Rozporządzenie kraju związkowego zmieniające rozporządzenie kraju związkowego w sprawie zapobiegania zakażeniom w placówkach medycznych</w:t>
      </w:r>
    </w:p>
    <w:p w:rsidR="00E75853" w:rsidRPr="00B76BEC" w:rsidRDefault="00E75853" w:rsidP="00E75853">
      <w:pPr>
        <w:spacing w:after="0" w:line="240" w:lineRule="auto"/>
        <w:jc w:val="center"/>
        <w:rPr>
          <w:b/>
          <w:sz w:val="24"/>
          <w:szCs w:val="20"/>
          <w:rFonts w:ascii="Arial" w:eastAsia="Times New Roman" w:hAnsi="Arial" w:cs="Times New Roman"/>
        </w:rPr>
      </w:pPr>
      <w:r>
        <w:rPr>
          <w:b/>
          <w:sz w:val="24"/>
          <w:szCs w:val="20"/>
          <w:rFonts w:ascii="Arial" w:hAnsi="Arial"/>
        </w:rPr>
        <w:t xml:space="preserve">(rozporządzenie w sprawie zapobiegania zakażeniom w placówkach medycznych – MedIpVO)</w:t>
      </w:r>
      <w:r w:rsidRPr="00AA37C3">
        <w:rPr>
          <w:rStyle w:val="FootnoteReference"/>
          <w:rFonts w:ascii="Arial" w:eastAsia="Times New Roman" w:hAnsi="Arial" w:cs="Times New Roman"/>
          <w:b/>
          <w:sz w:val="24"/>
          <w:szCs w:val="20"/>
          <w:lang w:eastAsia="de-DE"/>
        </w:rPr>
        <w:footnoteReference w:id="1"/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jc w:val="center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z dnia   .XX.2019 r.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Na podstawie § 23 ust. 8 ustawy o zapobieganiu zakażeniom z dnia 20 lipca 2000 r. (Federalny Dz.U.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 s. 1045), ostatnio zmienionego artykułem 18a ustawy z dnia 9 sierpnia 2019 r. (Federalny Dz.U. I s. 1202), w związku z § 13 rozporządzenia w sprawie zapobiegania zakażeniom w placówkach medycznych z 13.3.2017 r. (Dz.U. i Rozp.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Szl.-H. s. 169) i § 14 pkt 5 w związku z § 3 ust. 3 zdanie 1 ustawy o systemie opieki zdrowotnej z dnia 14 grudnia 2001 r. (Dz.U. i Rozp.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Szl.-H. s. 398), ostatnio zmienionym artykułem 31 ustawy z dnia 2 maja 2018 r. (Dz.U. i Rozp.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Szl.-H. s. 162) Ministerstwo Spraw Społecznych, Zdrowia, Młodzieży, Rodziny i Seniorów wydaje rozporządzenie: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D74E42" w:rsidRDefault="00D74E42" w:rsidP="00D74E42">
      <w:pPr>
        <w:spacing w:after="0" w:line="240" w:lineRule="auto"/>
        <w:ind w:left="705" w:hanging="705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1.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W § 2 wprowadza się następujące zmiany:</w:t>
      </w:r>
      <w:r>
        <w:rPr>
          <w:sz w:val="24"/>
          <w:szCs w:val="20"/>
          <w:rFonts w:ascii="Arial" w:hAnsi="Arial"/>
        </w:rPr>
        <w:t xml:space="preserve"> </w:t>
        <w:br/>
      </w:r>
    </w:p>
    <w:p w:rsidR="00D74E42" w:rsidRDefault="00D74E42" w:rsidP="001F1B0A">
      <w:pPr>
        <w:spacing w:after="0" w:line="240" w:lineRule="auto"/>
        <w:ind w:left="1134" w:hanging="429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a) Ustęp 8 otrzymuje następujące brzmienie:</w:t>
      </w:r>
    </w:p>
    <w:p w:rsidR="00E75853" w:rsidRDefault="00D74E42" w:rsidP="006613B7">
      <w:pPr>
        <w:spacing w:after="0" w:line="240" w:lineRule="auto"/>
        <w:ind w:left="1134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„(8) We wszystkich pomieszczeniach przeznaczonych do diagnostyki i terapii, w których może dojść do skażenia płynami ustrojowymi i innymi materiałami zawierającymi patogeny, inwentarz musi być zdatny do czyszczenia na mokro i dezynfekcji.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Wszystkie stosowane środki odkażające muszą być właściwe do zapobiegania zakażeniom w placówkach medycznych, a ich skuteczność musi być udowodniona.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Skuteczność w każdym wymaganym zakresie działania musi obejmować co najmniej działanie bakteriobójcze, drożdżobójcze i w ograniczonym zakresie wirusobójcze, stosownie do okoliczności dodatkowo grzybobójcze, gruźliczobójcze, mykobakteriobójcze i skuteczne przeciwko przetrwalnikom bakteryjnym.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Musi być ona udokumentowana co najmniej dwiema niezależnymi od siebie ekspertyzami, wraz z przynależnymi sprawozdaniami z badań.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Skuteczność uważa się za potwierdzoną, jeżeli badania zostały przeprowadzone przez laboratoria badawcze niezależne od producenta, a sprawozdania z badań zostały potwierdzone przez niezależnych ekspertów w uzasadnionej naukowo ocenie.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Laboratoria badawcze muszą posiadać wymagane uprawnienia, które można potwierdzić np. akredytacją zgodną z normą DIN ISO EN 17025:2018-03 z marca 2018 r.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Każda metoda badawcza musi być poddana walidacji np. w drodze międzylaboratoryjnego badania porównawczego, aby móc uwzględnić zmienność statystyczną, uwzględniającą co najmniej dwa wymagane powtórzenia testów.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Badania przeprowadzone zgodnie ze specyfikacjami technicznymi innego państwa członkowskiego Unii Europejskiej lub Turcji, lub innego państwa będącego stroną Porozumienia o Europejskim Obszarze Gospodarczym uznaje się za równoważne, jeżeli te specyfikacje techniczne trwale zapewniają poziom ochrony ustanowiony w zdaniu drugim.”.</w:t>
      </w:r>
    </w:p>
    <w:p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b)</w:t>
        <w:tab/>
        <w:t xml:space="preserve">Dodaje się ust. 9 w brzmieniu:</w:t>
      </w:r>
      <w:r>
        <w:rPr>
          <w:sz w:val="24"/>
          <w:szCs w:val="20"/>
          <w:rFonts w:ascii="Arial" w:hAnsi="Arial"/>
        </w:rPr>
        <w:br/>
        <w:br/>
      </w:r>
      <w:r>
        <w:rPr>
          <w:sz w:val="24"/>
          <w:szCs w:val="20"/>
          <w:rFonts w:ascii="Arial" w:hAnsi="Arial"/>
        </w:rPr>
        <w:t xml:space="preserve">„(9) Krytyczne instalacje oraz instalacje klimatyzacyjne i wodne muszą być obsługiwane, konserwowane i poddawane regularnym badaniom higienicznym według powszechnie uznanych zasad techniki.</w:t>
      </w:r>
      <w:r>
        <w:rPr>
          <w:sz w:val="24"/>
          <w:szCs w:val="20"/>
          <w:rFonts w:ascii="Arial" w:hAnsi="Arial"/>
        </w:rPr>
        <w:t xml:space="preserve"> </w:t>
      </w:r>
      <w:r>
        <w:rPr>
          <w:sz w:val="24"/>
          <w:szCs w:val="20"/>
          <w:rFonts w:ascii="Arial" w:hAnsi="Arial"/>
        </w:rPr>
        <w:t xml:space="preserve">Instalacje te mogą być obsługiwane i konserwowane tylko przez odpowiednio wyszkolony personel.”.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2.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W § 12 po odniesieniu do § 73 ust. 1 dodaje się literę „a”.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BA5BE0" w:rsidRPr="00B76BEC" w:rsidRDefault="00BA5BE0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3.</w:t>
      </w:r>
      <w:r>
        <w:rPr>
          <w:sz w:val="24"/>
          <w:szCs w:val="20"/>
          <w:rFonts w:ascii="Arial" w:hAnsi="Arial"/>
        </w:rPr>
        <w:tab/>
      </w:r>
      <w:r>
        <w:rPr>
          <w:sz w:val="24"/>
          <w:szCs w:val="20"/>
          <w:rFonts w:ascii="Arial" w:hAnsi="Arial"/>
        </w:rPr>
        <w:t xml:space="preserve">Niniejsze rozporządzenie wchodzi w życie w dniu jego ogłoszenia.</w:t>
      </w: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Powyższe rozporządzenie niniejszym uznaje się za sporządzone i zostanie ono ogłoszone.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sz w:val="24"/>
          <w:szCs w:val="20"/>
          <w:rFonts w:ascii="Arial" w:eastAsia="Times New Roman" w:hAnsi="Arial" w:cs="Times New Roman"/>
        </w:rPr>
      </w:pPr>
      <w:r>
        <w:rPr>
          <w:sz w:val="24"/>
          <w:szCs w:val="20"/>
          <w:rFonts w:ascii="Arial" w:hAnsi="Arial"/>
        </w:rPr>
        <w:t xml:space="preserve">Kilonia, … XX 2019 r.</w:t>
      </w: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de-D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dr Heiner Garg</w:t>
            </w:r>
          </w:p>
        </w:tc>
      </w:tr>
      <w:tr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sz w:val="24"/>
                <w:szCs w:val="20"/>
                <w:rFonts w:ascii="Arial" w:eastAsia="Times New Roman" w:hAnsi="Arial" w:cs="Times New Roman"/>
              </w:rPr>
            </w:pPr>
            <w:r>
              <w:rPr>
                <w:sz w:val="24"/>
                <w:szCs w:val="20"/>
                <w:rFonts w:ascii="Arial" w:hAnsi="Arial"/>
              </w:rPr>
              <w:t xml:space="preserve">Minister Spraw Społecznych, Zdrowia, Młodzieży, </w:t>
              <w:br/>
              <w:t xml:space="preserve">Rodziny i Seniorów</w:t>
            </w:r>
          </w:p>
        </w:tc>
      </w:tr>
    </w:tbl>
    <w:p w:rsidR="00E75853" w:rsidRDefault="00E75853" w:rsidP="00E75853"/>
    <w:p w:rsidR="00CA138F" w:rsidRDefault="00CA138F"/>
    <w:sectPr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w:id="1"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Notyfikowano zgodnie z dyrektywą (UE) 2015/1535 Parlamentu Europejskiego i Rady z dnia 9 września 2015 r. ustanawiającą procedurę udzielania informacji w dziedzinie przepisów technicznych oraz zasad dotyczących usług społeczeństwa informacyjnego (Dz.U. L 241, s.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zh-CN"/>
    </w:rPr>
  </w:style>
  <w:style w:type="character" w:styleId="PageNumber">
    <w:name w:val="page number"/>
    <w:rsid w:val="00E75853"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