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814C17" w:rsidRDefault="00E17C57" w:rsidP="00E17C57">
      <w:pPr>
        <w:spacing w:after="120"/>
        <w:jc w:val="center"/>
        <w:rPr>
          <w:rFonts w:ascii="Courier New" w:hAnsi="Courier New"/>
        </w:rPr>
      </w:pPr>
      <w:r>
        <w:rPr>
          <w:rFonts w:ascii="Courier New" w:hAnsi="Courier New"/>
        </w:rPr>
        <w:t>1. ------IND- 2019 0331 NL</w:t>
      </w:r>
      <w:bookmarkStart w:id="0" w:name="_GoBack"/>
      <w:bookmarkEnd w:id="0"/>
      <w:r>
        <w:rPr>
          <w:rFonts w:ascii="Courier New" w:hAnsi="Courier New"/>
        </w:rPr>
        <w:t>- CS-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rFonts w:ascii="Verdana" w:hAnsi="Verdana"/>
                <w:sz w:val="18"/>
                <w:szCs w:val="18"/>
              </w:rPr>
              <w:t>Výnos,</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rPr>
              <w:t>kterým se mění výnos o bylinných přípravcích k zákonu komoditách a výnos o správních sankcích k zákonu o komoditách týkající se přidání některých nebezpečných (látek do) bylinných přípravků a uplatnění některých technických změn</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rFonts w:ascii="Verdana" w:hAnsi="Verdana"/>
          <w:sz w:val="18"/>
          <w:szCs w:val="18"/>
        </w:rPr>
      </w:pPr>
      <w:r>
        <w:rPr>
          <w:rFonts w:ascii="Verdana" w:hAnsi="Verdana"/>
          <w:sz w:val="18"/>
        </w:rPr>
        <w:t>Na návrh ministra pro zdravotní péči z roku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s ohledem na čl. 4 odst. 1, čl. 8 odst. 1 písm. c) a článek 14 zákona o komoditách;</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s ohledem na stanovisko Poradní sekce Státní rady (stanovisko ze dne , č.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vzhledem k další zprávě ministra pro zdravotní péči z roku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schvalujeme a tímto nařizujeme následující:</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rFonts w:ascii="Verdana" w:hAnsi="Verdana"/>
          <w:b/>
          <w:sz w:val="18"/>
          <w:szCs w:val="18"/>
        </w:rPr>
      </w:pPr>
      <w:r>
        <w:rPr>
          <w:rFonts w:ascii="Verdana" w:hAnsi="Verdana"/>
          <w:b/>
          <w:sz w:val="18"/>
        </w:rPr>
        <w:t>Článek I</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rFonts w:ascii="Verdana" w:hAnsi="Verdana"/>
          <w:sz w:val="18"/>
          <w:szCs w:val="18"/>
        </w:rPr>
      </w:pPr>
      <w:r>
        <w:rPr>
          <w:rFonts w:ascii="Verdana" w:hAnsi="Verdana"/>
          <w:sz w:val="18"/>
        </w:rPr>
        <w:t>Výnos k zákonu o komoditách o bylinných přípravcích [Warenwetbesluit Kruidenpreparaten] se tímto mění takto:</w:t>
      </w:r>
    </w:p>
    <w:p w:rsidR="00060A6E" w:rsidRDefault="00060A6E" w:rsidP="00E17C57">
      <w:pPr>
        <w:ind w:left="2268"/>
        <w:rPr>
          <w:rFonts w:ascii="Verdana" w:hAnsi="Verdana"/>
          <w:sz w:val="18"/>
          <w:szCs w:val="18"/>
        </w:rPr>
      </w:pPr>
    </w:p>
    <w:p w:rsidR="00060A6E" w:rsidRDefault="00060A6E" w:rsidP="00E17C57">
      <w:pPr>
        <w:keepNext/>
        <w:keepLines/>
        <w:ind w:left="2268"/>
        <w:rPr>
          <w:rFonts w:ascii="Verdana" w:hAnsi="Verdana"/>
          <w:sz w:val="18"/>
          <w:szCs w:val="18"/>
        </w:rPr>
      </w:pPr>
      <w:r>
        <w:rPr>
          <w:rFonts w:ascii="Verdana" w:hAnsi="Verdana"/>
          <w:sz w:val="18"/>
        </w:rPr>
        <w:t>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rFonts w:ascii="Verdana" w:hAnsi="Verdana"/>
          <w:sz w:val="18"/>
          <w:szCs w:val="18"/>
        </w:rPr>
      </w:pPr>
      <w:r>
        <w:rPr>
          <w:rFonts w:ascii="Verdana" w:hAnsi="Verdana"/>
          <w:sz w:val="18"/>
        </w:rPr>
        <w:t>Článek 4 se mění takto:</w:t>
      </w:r>
    </w:p>
    <w:p w:rsidR="00443563" w:rsidRPr="00443563" w:rsidRDefault="00443563" w:rsidP="00E17C57">
      <w:pPr>
        <w:pStyle w:val="ListParagraph"/>
        <w:keepNext/>
        <w:keepLines/>
        <w:numPr>
          <w:ilvl w:val="0"/>
          <w:numId w:val="29"/>
        </w:numPr>
        <w:rPr>
          <w:rFonts w:ascii="Verdana" w:hAnsi="Verdana"/>
          <w:sz w:val="18"/>
          <w:szCs w:val="18"/>
        </w:rPr>
      </w:pPr>
      <w:r>
        <w:rPr>
          <w:rFonts w:ascii="Verdana" w:hAnsi="Verdana"/>
          <w:sz w:val="18"/>
        </w:rPr>
        <w:t>Odstavec 1 má nyní toto znění:</w:t>
      </w:r>
    </w:p>
    <w:p w:rsidR="000C18E4" w:rsidRPr="00443563" w:rsidRDefault="0043098B" w:rsidP="00E17C57">
      <w:pPr>
        <w:pStyle w:val="ListParagraph"/>
        <w:numPr>
          <w:ilvl w:val="0"/>
          <w:numId w:val="30"/>
        </w:numPr>
        <w:rPr>
          <w:rFonts w:ascii="Verdana" w:hAnsi="Verdana"/>
          <w:sz w:val="18"/>
          <w:szCs w:val="18"/>
        </w:rPr>
      </w:pPr>
      <w:r>
        <w:rPr>
          <w:rFonts w:ascii="Verdana" w:hAnsi="Verdana"/>
          <w:sz w:val="18"/>
        </w:rPr>
        <w:t>Množství toxických pyrrolizidinových alkaloidů v bylinných přípravcích nesmí přesáhnout 1 µg na kg, respektive na litr.</w:t>
      </w:r>
    </w:p>
    <w:p w:rsidR="000C18E4" w:rsidRPr="0043098B" w:rsidRDefault="0043098B" w:rsidP="00E17C57">
      <w:pPr>
        <w:keepNext/>
        <w:keepLines/>
        <w:tabs>
          <w:tab w:val="left" w:pos="2835"/>
        </w:tabs>
        <w:ind w:left="2268"/>
        <w:rPr>
          <w:rFonts w:ascii="Verdana" w:hAnsi="Verdana"/>
          <w:sz w:val="18"/>
          <w:szCs w:val="18"/>
        </w:rPr>
      </w:pPr>
      <w:r>
        <w:rPr>
          <w:rFonts w:ascii="Verdana" w:hAnsi="Verdana"/>
          <w:sz w:val="18"/>
        </w:rPr>
        <w:t>2.</w:t>
      </w:r>
      <w:r>
        <w:tab/>
      </w:r>
      <w:r>
        <w:rPr>
          <w:rFonts w:ascii="Verdana" w:hAnsi="Verdana"/>
          <w:sz w:val="18"/>
        </w:rPr>
        <w:t>Odstavec 2 má nyní toto znění:</w:t>
      </w:r>
    </w:p>
    <w:p w:rsidR="00732703" w:rsidRPr="000C18E4" w:rsidRDefault="000C18E4" w:rsidP="00E17C57">
      <w:pPr>
        <w:keepNext/>
        <w:keepLines/>
        <w:ind w:left="2780" w:firstLine="56"/>
        <w:rPr>
          <w:rFonts w:ascii="Verdana" w:hAnsi="Verdana"/>
          <w:sz w:val="18"/>
          <w:szCs w:val="18"/>
        </w:rPr>
      </w:pPr>
      <w:r>
        <w:rPr>
          <w:rFonts w:ascii="Verdana" w:hAnsi="Verdana"/>
          <w:sz w:val="18"/>
        </w:rPr>
        <w:t>2.</w:t>
      </w:r>
      <w:r>
        <w:tab/>
      </w:r>
      <w:r>
        <w:rPr>
          <w:rFonts w:ascii="Verdana" w:hAnsi="Verdana"/>
          <w:sz w:val="18"/>
        </w:rPr>
        <w:t>Bylinné přípravky nesmí obsahovat:</w:t>
      </w:r>
    </w:p>
    <w:p w:rsidR="00060A6E" w:rsidRPr="005016F0" w:rsidRDefault="00BF3143" w:rsidP="00E17C57">
      <w:pPr>
        <w:pStyle w:val="ListParagraph"/>
        <w:numPr>
          <w:ilvl w:val="1"/>
          <w:numId w:val="22"/>
        </w:numPr>
        <w:rPr>
          <w:rFonts w:ascii="Verdana" w:hAnsi="Verdana"/>
          <w:sz w:val="18"/>
          <w:szCs w:val="18"/>
        </w:rPr>
      </w:pPr>
      <w:r>
        <w:rPr>
          <w:rFonts w:ascii="Verdana" w:hAnsi="Verdana"/>
          <w:sz w:val="18"/>
        </w:rPr>
        <w:t>akonitin nebo veškeré jeho deriváty;</w:t>
      </w:r>
    </w:p>
    <w:p w:rsidR="005016F0" w:rsidRDefault="00BF3143" w:rsidP="00E17C57">
      <w:pPr>
        <w:pStyle w:val="ListParagraph"/>
        <w:numPr>
          <w:ilvl w:val="1"/>
          <w:numId w:val="22"/>
        </w:numPr>
        <w:rPr>
          <w:rFonts w:ascii="Verdana" w:hAnsi="Verdana"/>
          <w:sz w:val="18"/>
          <w:szCs w:val="18"/>
        </w:rPr>
      </w:pPr>
      <w:r>
        <w:rPr>
          <w:rFonts w:ascii="Verdana" w:hAnsi="Verdana"/>
          <w:sz w:val="18"/>
        </w:rPr>
        <w:lastRenderedPageBreak/>
        <w:t>kyseliny aristolochové nebo veškeré jejich deriváty;</w:t>
      </w:r>
    </w:p>
    <w:p w:rsidR="005016F0" w:rsidRDefault="00BF3143" w:rsidP="00E17C57">
      <w:pPr>
        <w:pStyle w:val="ListParagraph"/>
        <w:numPr>
          <w:ilvl w:val="1"/>
          <w:numId w:val="22"/>
        </w:numPr>
        <w:rPr>
          <w:rFonts w:ascii="Verdana" w:hAnsi="Verdana"/>
          <w:sz w:val="18"/>
          <w:szCs w:val="18"/>
        </w:rPr>
      </w:pPr>
      <w:r>
        <w:rPr>
          <w:rFonts w:ascii="Verdana" w:hAnsi="Verdana"/>
          <w:sz w:val="18"/>
        </w:rPr>
        <w:t>atropin nebo veškeré jeho deriváty;</w:t>
      </w:r>
    </w:p>
    <w:p w:rsidR="005016F0" w:rsidRDefault="005016F0" w:rsidP="00E17C57">
      <w:pPr>
        <w:pStyle w:val="ListParagraph"/>
        <w:numPr>
          <w:ilvl w:val="1"/>
          <w:numId w:val="22"/>
        </w:numPr>
        <w:rPr>
          <w:rFonts w:ascii="Verdana" w:hAnsi="Verdana"/>
          <w:sz w:val="18"/>
          <w:szCs w:val="18"/>
        </w:rPr>
      </w:pPr>
      <w:r>
        <w:rPr>
          <w:rFonts w:ascii="Verdana" w:hAnsi="Verdana"/>
          <w:sz w:val="18"/>
        </w:rPr>
        <w:t>kolchicin nebo veškeré jeho deriváty;</w:t>
      </w:r>
    </w:p>
    <w:p w:rsidR="005016F0" w:rsidRDefault="005016F0" w:rsidP="00E17C57">
      <w:pPr>
        <w:pStyle w:val="ListParagraph"/>
        <w:numPr>
          <w:ilvl w:val="1"/>
          <w:numId w:val="22"/>
        </w:numPr>
        <w:rPr>
          <w:rFonts w:ascii="Verdana" w:hAnsi="Verdana"/>
          <w:sz w:val="18"/>
          <w:szCs w:val="18"/>
        </w:rPr>
      </w:pPr>
      <w:r>
        <w:rPr>
          <w:rFonts w:ascii="Verdana" w:hAnsi="Verdana"/>
          <w:sz w:val="18"/>
        </w:rPr>
        <w:t>hyoscyamin nebo veškeré jeho deriváty;</w:t>
      </w:r>
    </w:p>
    <w:p w:rsidR="005016F0" w:rsidRDefault="00BF3143" w:rsidP="00E17C57">
      <w:pPr>
        <w:pStyle w:val="ListParagraph"/>
        <w:numPr>
          <w:ilvl w:val="1"/>
          <w:numId w:val="22"/>
        </w:numPr>
        <w:rPr>
          <w:rFonts w:ascii="Verdana" w:hAnsi="Verdana"/>
          <w:sz w:val="18"/>
          <w:szCs w:val="18"/>
        </w:rPr>
      </w:pPr>
      <w:r>
        <w:rPr>
          <w:rFonts w:ascii="Verdana" w:hAnsi="Verdana"/>
          <w:sz w:val="18"/>
        </w:rPr>
        <w:t>m a o-synefrin nebo veškeré jeho deriváty;</w:t>
      </w:r>
    </w:p>
    <w:p w:rsidR="00BF3143" w:rsidRPr="005016F0" w:rsidRDefault="00BF3143" w:rsidP="00E17C57">
      <w:pPr>
        <w:pStyle w:val="ListParagraph"/>
        <w:numPr>
          <w:ilvl w:val="1"/>
          <w:numId w:val="22"/>
        </w:numPr>
        <w:rPr>
          <w:rFonts w:ascii="Verdana" w:hAnsi="Verdana"/>
          <w:sz w:val="18"/>
          <w:szCs w:val="18"/>
        </w:rPr>
      </w:pPr>
      <w:r>
        <w:rPr>
          <w:rFonts w:ascii="Verdana" w:hAnsi="Verdana"/>
          <w:sz w:val="18"/>
        </w:rPr>
        <w:t>olej z pelyňku pravého (Artemisia absinthium), aniž by byla dotčena ustanovení čl. 6 odst. 2 a příloha III, část B nařízení (ES) 1334/2008 o povolení přítomnosti thujonu v určitých vícesložkových potravinách;</w:t>
      </w:r>
    </w:p>
    <w:p w:rsidR="005016F0" w:rsidRPr="00BF3143" w:rsidRDefault="005016F0" w:rsidP="00E17C57">
      <w:pPr>
        <w:pStyle w:val="ListParagraph"/>
        <w:numPr>
          <w:ilvl w:val="1"/>
          <w:numId w:val="22"/>
        </w:numPr>
        <w:rPr>
          <w:rFonts w:ascii="Verdana" w:hAnsi="Verdana"/>
          <w:sz w:val="18"/>
          <w:szCs w:val="18"/>
        </w:rPr>
      </w:pPr>
      <w:r>
        <w:rPr>
          <w:rFonts w:ascii="Verdana" w:hAnsi="Verdana"/>
          <w:sz w:val="18"/>
        </w:rPr>
        <w:t>pilokarpin nebo veškeré jeho deriváty;</w:t>
      </w:r>
    </w:p>
    <w:p w:rsidR="005016F0" w:rsidRDefault="005016F0" w:rsidP="00E17C57">
      <w:pPr>
        <w:pStyle w:val="ListParagraph"/>
        <w:numPr>
          <w:ilvl w:val="1"/>
          <w:numId w:val="22"/>
        </w:numPr>
        <w:rPr>
          <w:rFonts w:ascii="Verdana" w:hAnsi="Verdana"/>
          <w:sz w:val="18"/>
          <w:szCs w:val="18"/>
        </w:rPr>
      </w:pPr>
      <w:r>
        <w:rPr>
          <w:rFonts w:ascii="Verdana" w:hAnsi="Verdana"/>
          <w:sz w:val="18"/>
        </w:rPr>
        <w:t>skopolamin nebo veškeré jeho deriváty;</w:t>
      </w:r>
    </w:p>
    <w:p w:rsidR="005016F0" w:rsidRDefault="005016F0" w:rsidP="00E17C57">
      <w:pPr>
        <w:pStyle w:val="ListParagraph"/>
        <w:numPr>
          <w:ilvl w:val="1"/>
          <w:numId w:val="22"/>
        </w:numPr>
        <w:rPr>
          <w:rFonts w:ascii="Verdana" w:hAnsi="Verdana"/>
          <w:sz w:val="18"/>
          <w:szCs w:val="18"/>
        </w:rPr>
      </w:pPr>
      <w:r>
        <w:rPr>
          <w:rFonts w:ascii="Verdana" w:hAnsi="Verdana"/>
          <w:sz w:val="18"/>
        </w:rPr>
        <w:t>strychnin nebo veškeré jeho deriváty a</w:t>
      </w:r>
    </w:p>
    <w:p w:rsidR="00BF3143" w:rsidRDefault="00BF3143" w:rsidP="00E17C57">
      <w:pPr>
        <w:pStyle w:val="ListParagraph"/>
        <w:numPr>
          <w:ilvl w:val="1"/>
          <w:numId w:val="22"/>
        </w:numPr>
        <w:rPr>
          <w:rFonts w:ascii="Verdana" w:hAnsi="Verdana"/>
          <w:sz w:val="18"/>
          <w:szCs w:val="18"/>
        </w:rPr>
      </w:pPr>
      <w:r>
        <w:rPr>
          <w:rFonts w:ascii="Verdana" w:hAnsi="Verdana"/>
          <w:sz w:val="18"/>
        </w:rPr>
        <w:t>alkaloidy yohimbin nebo veškeré jejich deriváty.</w:t>
      </w:r>
    </w:p>
    <w:p w:rsidR="000E0515" w:rsidRPr="0043098B" w:rsidRDefault="0043098B" w:rsidP="00E17C57">
      <w:pPr>
        <w:ind w:left="2835" w:hanging="567"/>
        <w:rPr>
          <w:rFonts w:ascii="Verdana" w:hAnsi="Verdana"/>
          <w:sz w:val="18"/>
          <w:szCs w:val="18"/>
        </w:rPr>
      </w:pPr>
      <w:r>
        <w:rPr>
          <w:rFonts w:ascii="Verdana" w:hAnsi="Verdana"/>
          <w:sz w:val="18"/>
        </w:rPr>
        <w:t>3.</w:t>
      </w:r>
      <w:r>
        <w:tab/>
      </w:r>
      <w:r>
        <w:rPr>
          <w:rFonts w:ascii="Verdana" w:hAnsi="Verdana"/>
          <w:sz w:val="18"/>
        </w:rPr>
        <w:t>V odstavci 3 se text „rostliny uvedené v části II přílohy“ nahrazuje textem „rostliny a houby uvedené v příloze“.</w:t>
      </w:r>
    </w:p>
    <w:p w:rsidR="0043098B" w:rsidRDefault="00E17C57" w:rsidP="00E17C57">
      <w:pPr>
        <w:keepNext/>
        <w:keepLines/>
        <w:ind w:left="2836" w:hanging="568"/>
        <w:rPr>
          <w:rFonts w:ascii="Verdana" w:hAnsi="Verdana"/>
          <w:sz w:val="18"/>
          <w:szCs w:val="18"/>
        </w:rPr>
      </w:pPr>
      <w:r>
        <w:rPr>
          <w:rFonts w:ascii="Verdana" w:hAnsi="Verdana"/>
          <w:sz w:val="18"/>
        </w:rPr>
        <w:t>4.</w:t>
      </w:r>
      <w:r>
        <w:tab/>
      </w:r>
      <w:r>
        <w:rPr>
          <w:rFonts w:ascii="Verdana" w:hAnsi="Verdana"/>
          <w:sz w:val="18"/>
        </w:rPr>
        <w:t>Přidávají se nové odstavce v tomto znění:</w:t>
      </w:r>
    </w:p>
    <w:p w:rsidR="0043098B" w:rsidRDefault="0043098B" w:rsidP="00E17C57">
      <w:pPr>
        <w:ind w:left="3544" w:hanging="708"/>
        <w:rPr>
          <w:rFonts w:ascii="Verdana" w:hAnsi="Verdana"/>
          <w:sz w:val="18"/>
          <w:szCs w:val="18"/>
        </w:rPr>
      </w:pPr>
      <w:r>
        <w:rPr>
          <w:rFonts w:ascii="Verdana" w:hAnsi="Verdana"/>
          <w:sz w:val="18"/>
        </w:rPr>
        <w:t>4.</w:t>
      </w:r>
      <w:r>
        <w:tab/>
      </w:r>
      <w:r>
        <w:rPr>
          <w:rFonts w:ascii="Verdana" w:hAnsi="Verdana"/>
          <w:sz w:val="18"/>
        </w:rPr>
        <w:t>Bylinné přípravky obsahují maximální denní příjem 27 mg p-synefrinu podle návodu k použití.</w:t>
      </w:r>
    </w:p>
    <w:p w:rsidR="0095665C" w:rsidRDefault="0043098B" w:rsidP="00E17C57">
      <w:pPr>
        <w:ind w:left="3544" w:hanging="708"/>
        <w:rPr>
          <w:rFonts w:ascii="Verdana" w:hAnsi="Verdana"/>
          <w:sz w:val="18"/>
          <w:szCs w:val="18"/>
        </w:rPr>
      </w:pPr>
      <w:r>
        <w:rPr>
          <w:rFonts w:ascii="Verdana" w:hAnsi="Verdana"/>
          <w:sz w:val="18"/>
        </w:rPr>
        <w:t>5.</w:t>
      </w:r>
      <w:r>
        <w:tab/>
      </w:r>
      <w:r>
        <w:rPr>
          <w:rFonts w:ascii="Verdana" w:hAnsi="Verdana"/>
          <w:sz w:val="18"/>
        </w:rPr>
        <w:t>Na rozdíl od odstavce 3 mohou bylinné přípravky obsahovat olej extrahovaný ze semen Ricinus communis za předpokladu, že předepsané doporučené použití a dávky uvedené v čl. 6 odst. 1 nemá za následek příjem oleje více než 0,4 g za den.</w:t>
      </w:r>
    </w:p>
    <w:p w:rsidR="00AB3B66" w:rsidRDefault="00AB3B66" w:rsidP="00E17C57">
      <w:pPr>
        <w:ind w:left="3544" w:hanging="708"/>
        <w:rPr>
          <w:rFonts w:ascii="Verdana" w:hAnsi="Verdana"/>
          <w:sz w:val="18"/>
          <w:szCs w:val="18"/>
        </w:rPr>
      </w:pPr>
      <w:r>
        <w:rPr>
          <w:rFonts w:ascii="Verdana" w:hAnsi="Verdana"/>
          <w:sz w:val="18"/>
        </w:rPr>
        <w:t>6.</w:t>
      </w:r>
      <w:r>
        <w:tab/>
      </w:r>
      <w:r>
        <w:rPr>
          <w:rFonts w:ascii="Verdana" w:hAnsi="Verdana"/>
          <w:sz w:val="18"/>
        </w:rPr>
        <w:t>Odstavec 1 se nevztahuje na záležitosti, které jsou předmětem ustanovení nařízení (ES) 1881/2006.</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rFonts w:ascii="Verdana" w:hAnsi="Verdana"/>
          <w:sz w:val="18"/>
          <w:szCs w:val="18"/>
        </w:rPr>
      </w:pPr>
      <w:r>
        <w:rPr>
          <w:rFonts w:ascii="Verdana" w:hAnsi="Verdana"/>
          <w:sz w:val="18"/>
        </w:rPr>
        <w:t>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Do článku 6 se doplňuje odstavec v tomto znění:</w:t>
      </w:r>
    </w:p>
    <w:p w:rsidR="003825F1" w:rsidRDefault="003825F1" w:rsidP="00E17C57">
      <w:pPr>
        <w:ind w:left="2836" w:hanging="568"/>
        <w:rPr>
          <w:rFonts w:ascii="Verdana" w:hAnsi="Verdana"/>
          <w:sz w:val="18"/>
          <w:szCs w:val="18"/>
        </w:rPr>
      </w:pPr>
      <w:r>
        <w:rPr>
          <w:rFonts w:ascii="Verdana" w:hAnsi="Verdana"/>
          <w:sz w:val="18"/>
        </w:rPr>
        <w:t xml:space="preserve">3. </w:t>
      </w:r>
      <w:r>
        <w:tab/>
      </w:r>
      <w:r>
        <w:rPr>
          <w:rFonts w:ascii="Verdana" w:hAnsi="Verdana"/>
          <w:sz w:val="18"/>
        </w:rPr>
        <w:t>Ministr může vydat příkaz, kterým se stanoví další pravidla týkající se doporučeného použití a dávek uvedených v odstavcích 1 a 2.</w:t>
      </w:r>
    </w:p>
    <w:p w:rsidR="003825F1" w:rsidRDefault="003825F1" w:rsidP="00E17C57">
      <w:pPr>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C</w:t>
      </w:r>
    </w:p>
    <w:p w:rsidR="003825F1" w:rsidRDefault="003825F1" w:rsidP="00E17C57">
      <w:pPr>
        <w:keepNext/>
        <w:keepLines/>
        <w:ind w:left="2268"/>
        <w:rPr>
          <w:rFonts w:ascii="Verdana" w:hAnsi="Verdana"/>
          <w:sz w:val="18"/>
          <w:szCs w:val="18"/>
        </w:rPr>
      </w:pPr>
    </w:p>
    <w:p w:rsidR="00BB07D4" w:rsidRDefault="00BB07D4" w:rsidP="00E17C57">
      <w:pPr>
        <w:ind w:left="2268"/>
        <w:rPr>
          <w:rFonts w:ascii="Verdana" w:hAnsi="Verdana"/>
          <w:sz w:val="18"/>
          <w:szCs w:val="18"/>
        </w:rPr>
      </w:pPr>
      <w:r>
        <w:rPr>
          <w:rFonts w:ascii="Verdana" w:hAnsi="Verdana"/>
          <w:sz w:val="18"/>
        </w:rPr>
        <w:t>V rámci čl. 7 odst. 1 se vypouští níže uvedené: „, při zohlednění toho, že čl. 4 odst. 1 a 3 vstupuje v platnost dne 1. srpna 2001 pro bylinné přípravky – jiné než potraviny a nápoje – určené výhradně k uvedení do styku s různými částmi na povrchu lidského těla, a které neobsahují žádné jiné rostliny než ty, které jsou uvedeny v předpisu č. 1 v posledním sloupci přílohy“.</w:t>
      </w:r>
    </w:p>
    <w:p w:rsidR="00BB07D4" w:rsidRDefault="00BB07D4" w:rsidP="00E17C57">
      <w:pPr>
        <w:ind w:left="2268"/>
        <w:rPr>
          <w:rFonts w:ascii="Verdana" w:hAnsi="Verdana"/>
          <w:sz w:val="18"/>
          <w:szCs w:val="18"/>
        </w:rPr>
      </w:pPr>
    </w:p>
    <w:p w:rsidR="00BB07D4" w:rsidRDefault="00BB07D4" w:rsidP="00E17C57">
      <w:pPr>
        <w:keepNext/>
        <w:keepLines/>
        <w:ind w:left="2268"/>
        <w:rPr>
          <w:rFonts w:ascii="Verdana" w:hAnsi="Verdana"/>
          <w:sz w:val="18"/>
          <w:szCs w:val="18"/>
        </w:rPr>
      </w:pPr>
      <w:r>
        <w:rPr>
          <w:rFonts w:ascii="Verdana" w:hAnsi="Verdana"/>
          <w:sz w:val="18"/>
        </w:rPr>
        <w:t>D</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rFonts w:ascii="Verdana" w:hAnsi="Verdana"/>
          <w:sz w:val="18"/>
          <w:szCs w:val="18"/>
        </w:rPr>
      </w:pPr>
      <w:r>
        <w:rPr>
          <w:rFonts w:ascii="Verdana" w:hAnsi="Verdana"/>
          <w:sz w:val="18"/>
        </w:rPr>
        <w:t>Příloha se mění takto:</w:t>
      </w:r>
    </w:p>
    <w:p w:rsidR="00F6533C" w:rsidRDefault="00F6533C" w:rsidP="00E17C57">
      <w:pPr>
        <w:pStyle w:val="ListParagraph"/>
        <w:numPr>
          <w:ilvl w:val="0"/>
          <w:numId w:val="23"/>
        </w:numPr>
        <w:rPr>
          <w:rFonts w:ascii="Verdana" w:hAnsi="Verdana"/>
          <w:sz w:val="18"/>
          <w:szCs w:val="18"/>
        </w:rPr>
      </w:pPr>
      <w:r>
        <w:rPr>
          <w:rFonts w:ascii="Verdana" w:hAnsi="Verdana"/>
          <w:sz w:val="18"/>
        </w:rPr>
        <w:t>Věta „Tato příloha odpovídá článku 4.“ se nahrazuje větou „Tato příloha odpovídá čl. 4 odst. 3.“.</w:t>
      </w:r>
    </w:p>
    <w:p w:rsidR="00F6533C" w:rsidRDefault="00BB02A9" w:rsidP="00E17C57">
      <w:pPr>
        <w:pStyle w:val="ListParagraph"/>
        <w:numPr>
          <w:ilvl w:val="0"/>
          <w:numId w:val="23"/>
        </w:numPr>
        <w:rPr>
          <w:rFonts w:ascii="Verdana" w:hAnsi="Verdana"/>
          <w:sz w:val="18"/>
          <w:szCs w:val="18"/>
        </w:rPr>
      </w:pPr>
      <w:r>
        <w:rPr>
          <w:rFonts w:ascii="Verdana" w:hAnsi="Verdana"/>
          <w:sz w:val="18"/>
        </w:rPr>
        <w:t>Část I se nyní vypouští.</w:t>
      </w:r>
    </w:p>
    <w:p w:rsidR="00F6533C" w:rsidRDefault="00BB07D4" w:rsidP="00E17C57">
      <w:pPr>
        <w:pStyle w:val="ListParagraph"/>
        <w:numPr>
          <w:ilvl w:val="0"/>
          <w:numId w:val="23"/>
        </w:numPr>
        <w:rPr>
          <w:rFonts w:ascii="Verdana" w:hAnsi="Verdana"/>
          <w:sz w:val="18"/>
          <w:szCs w:val="18"/>
        </w:rPr>
      </w:pPr>
      <w:r>
        <w:rPr>
          <w:rFonts w:ascii="Verdana" w:hAnsi="Verdana"/>
          <w:sz w:val="18"/>
        </w:rPr>
        <w:t>Text „II. Níže uvedené rostliny a houby:“ se nahrazuje textem „Rostliny a houby uvedené v čl. 4 odst. 3:“.</w:t>
      </w:r>
    </w:p>
    <w:p w:rsidR="00740EC3" w:rsidRDefault="00740EC3" w:rsidP="00E17C57">
      <w:pPr>
        <w:pStyle w:val="ListParagraph"/>
        <w:keepNext/>
        <w:keepLines/>
        <w:numPr>
          <w:ilvl w:val="0"/>
          <w:numId w:val="23"/>
        </w:numPr>
        <w:rPr>
          <w:rFonts w:ascii="Verdana" w:hAnsi="Verdana"/>
          <w:sz w:val="18"/>
          <w:szCs w:val="18"/>
        </w:rPr>
      </w:pPr>
      <w:r>
        <w:rPr>
          <w:rFonts w:ascii="Verdana" w:hAnsi="Verdana"/>
          <w:sz w:val="18"/>
        </w:rPr>
        <w:t>V abecedním pořadí se vkládají níže uvedené položky:</w:t>
      </w:r>
    </w:p>
    <w:p w:rsidR="00183469" w:rsidRPr="00A27E62" w:rsidRDefault="00740EC3" w:rsidP="00E17C57">
      <w:pPr>
        <w:ind w:left="1919" w:firstLine="709"/>
        <w:rPr>
          <w:rFonts w:ascii="Verdana" w:hAnsi="Verdana"/>
          <w:sz w:val="18"/>
          <w:szCs w:val="18"/>
        </w:rPr>
      </w:pPr>
      <w:r>
        <w:rPr>
          <w:rFonts w:ascii="Verdana" w:hAnsi="Verdana"/>
          <w:sz w:val="18"/>
        </w:rPr>
        <w:t>Aconitum carmichaelii;</w:t>
      </w:r>
    </w:p>
    <w:p w:rsidR="00740EC3" w:rsidRPr="00A27E62" w:rsidRDefault="00740EC3" w:rsidP="00E17C57">
      <w:pPr>
        <w:ind w:left="1919" w:firstLine="709"/>
        <w:rPr>
          <w:rFonts w:ascii="Verdana" w:hAnsi="Verdana"/>
          <w:sz w:val="18"/>
          <w:szCs w:val="18"/>
        </w:rPr>
      </w:pPr>
      <w:r>
        <w:rPr>
          <w:rFonts w:ascii="Verdana" w:hAnsi="Verdana"/>
          <w:sz w:val="18"/>
        </w:rPr>
        <w:t>Aconitum kusnezoffii;</w:t>
      </w:r>
    </w:p>
    <w:p w:rsidR="00740EC3" w:rsidRPr="00A27E62" w:rsidRDefault="00740EC3" w:rsidP="00E17C57">
      <w:pPr>
        <w:ind w:left="1919" w:firstLine="709"/>
        <w:rPr>
          <w:rFonts w:ascii="Verdana" w:hAnsi="Verdana"/>
          <w:sz w:val="18"/>
          <w:szCs w:val="18"/>
        </w:rPr>
      </w:pPr>
      <w:r>
        <w:rPr>
          <w:rFonts w:ascii="Verdana" w:hAnsi="Verdana"/>
          <w:sz w:val="18"/>
        </w:rPr>
        <w:t>Pilocarpus jaborandi.</w:t>
      </w:r>
    </w:p>
    <w:p w:rsidR="00183469" w:rsidRPr="00E17C57" w:rsidRDefault="00BB551C" w:rsidP="00147025">
      <w:pPr>
        <w:pStyle w:val="ListParagraph"/>
        <w:numPr>
          <w:ilvl w:val="0"/>
          <w:numId w:val="23"/>
        </w:numPr>
        <w:rPr>
          <w:rFonts w:ascii="Verdana" w:hAnsi="Verdana"/>
          <w:sz w:val="18"/>
          <w:szCs w:val="18"/>
        </w:rPr>
      </w:pPr>
      <w:r>
        <w:rPr>
          <w:rFonts w:ascii="Verdana" w:hAnsi="Verdana"/>
          <w:sz w:val="18"/>
        </w:rPr>
        <w:t>„Brassica nigra (brukev černá), kromě použití semen Bryonia alba (posed bílý) v potravinách“ se nahrazuje textem „Brassica nigra (brukev černá), kromě použití semen Bryonia alba (posed bílý) v potravinách“.</w:t>
      </w:r>
    </w:p>
    <w:p w:rsidR="00740EC3" w:rsidRDefault="00740EC3" w:rsidP="00E17C57">
      <w:pPr>
        <w:pStyle w:val="ListParagraph"/>
        <w:numPr>
          <w:ilvl w:val="0"/>
          <w:numId w:val="23"/>
        </w:numPr>
        <w:rPr>
          <w:rFonts w:ascii="Verdana" w:hAnsi="Verdana"/>
          <w:sz w:val="18"/>
          <w:szCs w:val="18"/>
        </w:rPr>
      </w:pPr>
      <w:r>
        <w:rPr>
          <w:rFonts w:ascii="Verdana" w:hAnsi="Verdana"/>
          <w:sz w:val="18"/>
        </w:rPr>
        <w:t>„Citrullus colocynthidis“ se nahrazuje spojením „Citrullus colocynthis“.</w:t>
      </w:r>
    </w:p>
    <w:p w:rsidR="00740EC3" w:rsidRDefault="00740EC3" w:rsidP="00E17C57">
      <w:pPr>
        <w:pStyle w:val="ListParagraph"/>
        <w:numPr>
          <w:ilvl w:val="0"/>
          <w:numId w:val="23"/>
        </w:numPr>
        <w:rPr>
          <w:rFonts w:ascii="Verdana" w:hAnsi="Verdana"/>
          <w:sz w:val="18"/>
          <w:szCs w:val="18"/>
        </w:rPr>
      </w:pPr>
      <w:r>
        <w:rPr>
          <w:rFonts w:ascii="Verdana" w:hAnsi="Verdana"/>
          <w:sz w:val="18"/>
        </w:rPr>
        <w:t>„Mallotus philipinensis“ se nahrazuje textem „Mallotus philippensis“.</w:t>
      </w:r>
    </w:p>
    <w:p w:rsidR="00740EC3" w:rsidRDefault="00740EC3" w:rsidP="00E17C57">
      <w:pPr>
        <w:pStyle w:val="ListParagraph"/>
        <w:numPr>
          <w:ilvl w:val="0"/>
          <w:numId w:val="23"/>
        </w:numPr>
        <w:rPr>
          <w:rFonts w:ascii="Verdana" w:hAnsi="Verdana"/>
          <w:sz w:val="18"/>
          <w:szCs w:val="18"/>
        </w:rPr>
      </w:pPr>
      <w:r>
        <w:rPr>
          <w:rFonts w:ascii="Verdana" w:hAnsi="Verdana"/>
          <w:sz w:val="18"/>
        </w:rPr>
        <w:t>„Mandragora officinalis“ se nahrazuje textem „Mandragora officinarum“.</w:t>
      </w:r>
    </w:p>
    <w:p w:rsidR="00BB551C" w:rsidRPr="00C5642F" w:rsidRDefault="00740EC3" w:rsidP="00E17C57">
      <w:pPr>
        <w:pStyle w:val="ListParagraph"/>
        <w:numPr>
          <w:ilvl w:val="0"/>
          <w:numId w:val="23"/>
        </w:numPr>
        <w:rPr>
          <w:rFonts w:ascii="Verdana" w:hAnsi="Verdana"/>
          <w:sz w:val="18"/>
          <w:szCs w:val="18"/>
        </w:rPr>
      </w:pPr>
      <w:r>
        <w:rPr>
          <w:rFonts w:ascii="Verdana" w:hAnsi="Verdana"/>
          <w:sz w:val="18"/>
        </w:rPr>
        <w:t>„Pausinystalia yohimbe or Coynanthe yohimbe“ se nahrazuje textem „Pausinystalia johimbe or Corynanthe johimbe“.</w:t>
      </w:r>
    </w:p>
    <w:p w:rsidR="00740EC3" w:rsidRPr="00C5642F" w:rsidRDefault="00BB551C" w:rsidP="00E17C57">
      <w:pPr>
        <w:pStyle w:val="ListParagraph"/>
        <w:numPr>
          <w:ilvl w:val="0"/>
          <w:numId w:val="23"/>
        </w:numPr>
        <w:rPr>
          <w:rFonts w:ascii="Verdana" w:hAnsi="Verdana"/>
          <w:sz w:val="18"/>
          <w:szCs w:val="18"/>
        </w:rPr>
      </w:pPr>
      <w:r>
        <w:rPr>
          <w:rFonts w:ascii="Verdana" w:hAnsi="Verdana"/>
          <w:sz w:val="18"/>
        </w:rPr>
        <w:t>Druhý sloupec obsahující čísla „1“ se nyní vypouští.</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rFonts w:ascii="Verdana" w:hAnsi="Verdana"/>
          <w:b/>
          <w:sz w:val="18"/>
          <w:szCs w:val="18"/>
        </w:rPr>
      </w:pPr>
      <w:r>
        <w:rPr>
          <w:rFonts w:ascii="Verdana" w:hAnsi="Verdana"/>
          <w:b/>
          <w:sz w:val="18"/>
        </w:rPr>
        <w:t>Článek II</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rFonts w:ascii="Verdana" w:hAnsi="Verdana"/>
          <w:sz w:val="18"/>
          <w:szCs w:val="18"/>
        </w:rPr>
      </w:pPr>
      <w:r>
        <w:rPr>
          <w:rFonts w:ascii="Verdana" w:hAnsi="Verdana"/>
          <w:sz w:val="18"/>
        </w:rPr>
        <w:t>Do záhlaví C-22 přílohy výnosu k zákonu o komoditách o správních sankcích [Warenwetbesluit bestuurlijke boeten] se za oddíl C-22.4 vkládá níže uvedený oddíl:</w:t>
      </w:r>
    </w:p>
    <w:tbl>
      <w:tblPr>
        <w:tblStyle w:val="TableGrid"/>
        <w:tblW w:w="0" w:type="auto"/>
        <w:tblInd w:w="2268" w:type="dxa"/>
        <w:tblLook w:val="04A0" w:firstRow="1" w:lastRow="0" w:firstColumn="1" w:lastColumn="0" w:noHBand="0" w:noVBand="1"/>
      </w:tblPr>
      <w:tblGrid>
        <w:gridCol w:w="1101"/>
        <w:gridCol w:w="3827"/>
        <w:gridCol w:w="842"/>
        <w:gridCol w:w="1001"/>
        <w:gridCol w:w="406"/>
      </w:tblGrid>
      <w:tr w:rsidR="001960C4" w:rsidTr="00E17C57">
        <w:trPr>
          <w:cantSplit/>
        </w:trPr>
        <w:tc>
          <w:tcPr>
            <w:tcW w:w="1101" w:type="dxa"/>
          </w:tcPr>
          <w:p w:rsidR="001960C4" w:rsidRDefault="001960C4" w:rsidP="00E17C57">
            <w:pPr>
              <w:rPr>
                <w:rFonts w:ascii="Verdana" w:hAnsi="Verdana"/>
                <w:sz w:val="18"/>
                <w:szCs w:val="18"/>
              </w:rPr>
            </w:pPr>
            <w:r>
              <w:rPr>
                <w:rFonts w:ascii="Verdana" w:hAnsi="Verdana"/>
                <w:sz w:val="18"/>
              </w:rPr>
              <w:t>C-22.4.1</w:t>
            </w:r>
          </w:p>
        </w:tc>
        <w:tc>
          <w:tcPr>
            <w:tcW w:w="3827" w:type="dxa"/>
          </w:tcPr>
          <w:p w:rsidR="001960C4" w:rsidRDefault="001960C4" w:rsidP="00E17C57">
            <w:pPr>
              <w:rPr>
                <w:rFonts w:ascii="Verdana" w:hAnsi="Verdana"/>
                <w:sz w:val="18"/>
                <w:szCs w:val="18"/>
              </w:rPr>
            </w:pPr>
            <w:r>
              <w:rPr>
                <w:rFonts w:ascii="Verdana" w:hAnsi="Verdana"/>
                <w:sz w:val="18"/>
              </w:rPr>
              <w:t>Článek 2 ve spojení s čl. 4 odst. 4</w:t>
            </w:r>
          </w:p>
        </w:tc>
        <w:tc>
          <w:tcPr>
            <w:tcW w:w="842" w:type="dxa"/>
          </w:tcPr>
          <w:p w:rsidR="001960C4" w:rsidRDefault="001960C4" w:rsidP="00E17C57">
            <w:pPr>
              <w:rPr>
                <w:rFonts w:ascii="Verdana" w:hAnsi="Verdana"/>
                <w:sz w:val="18"/>
                <w:szCs w:val="18"/>
              </w:rPr>
            </w:pPr>
            <w:r>
              <w:rPr>
                <w:rFonts w:ascii="Verdana" w:hAnsi="Verdana"/>
                <w:sz w:val="18"/>
              </w:rPr>
              <w:t>525 EUR.</w:t>
            </w:r>
          </w:p>
        </w:tc>
        <w:tc>
          <w:tcPr>
            <w:tcW w:w="1001" w:type="dxa"/>
          </w:tcPr>
          <w:p w:rsidR="001960C4" w:rsidRDefault="001960C4" w:rsidP="00E17C57">
            <w:pPr>
              <w:rPr>
                <w:rFonts w:ascii="Verdana" w:hAnsi="Verdana"/>
                <w:sz w:val="18"/>
                <w:szCs w:val="18"/>
              </w:rPr>
            </w:pPr>
            <w:r>
              <w:rPr>
                <w:rFonts w:ascii="Verdana" w:hAnsi="Verdana"/>
                <w:sz w:val="18"/>
              </w:rPr>
              <w:t>1 050 EUR.</w:t>
            </w:r>
          </w:p>
        </w:tc>
        <w:tc>
          <w:tcPr>
            <w:tcW w:w="406" w:type="dxa"/>
          </w:tcPr>
          <w:p w:rsidR="001960C4" w:rsidRDefault="001960C4" w:rsidP="00E17C57">
            <w:pPr>
              <w:rPr>
                <w:rFonts w:ascii="Verdana" w:hAnsi="Verdana"/>
                <w:sz w:val="18"/>
                <w:szCs w:val="18"/>
              </w:rPr>
            </w:pPr>
            <w:r>
              <w:rPr>
                <w:rFonts w:ascii="Verdana" w:hAnsi="Verdana"/>
                <w:sz w:val="18"/>
              </w:rPr>
              <w:t>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rFonts w:ascii="Verdana" w:hAnsi="Verdana"/>
          <w:b/>
          <w:sz w:val="18"/>
          <w:szCs w:val="18"/>
        </w:rPr>
      </w:pPr>
      <w:r>
        <w:rPr>
          <w:rFonts w:ascii="Verdana" w:hAnsi="Verdana"/>
          <w:b/>
          <w:sz w:val="18"/>
        </w:rPr>
        <w:t>Článek III</w:t>
      </w:r>
    </w:p>
    <w:p w:rsidR="00B56093" w:rsidRDefault="00B56093" w:rsidP="00E17C57">
      <w:pPr>
        <w:keepNext/>
        <w:keepLines/>
        <w:ind w:left="2268"/>
        <w:rPr>
          <w:rFonts w:ascii="Verdana" w:hAnsi="Verdana"/>
          <w:sz w:val="18"/>
          <w:szCs w:val="18"/>
        </w:rPr>
      </w:pPr>
    </w:p>
    <w:p w:rsidR="00D9610F" w:rsidRDefault="00D9610F" w:rsidP="00E17C57">
      <w:pPr>
        <w:ind w:left="2836" w:hanging="568"/>
        <w:rPr>
          <w:rFonts w:ascii="Verdana" w:hAnsi="Verdana"/>
          <w:sz w:val="18"/>
          <w:szCs w:val="18"/>
        </w:rPr>
      </w:pPr>
      <w:r>
        <w:rPr>
          <w:rFonts w:ascii="Verdana" w:hAnsi="Verdana"/>
          <w:sz w:val="18"/>
        </w:rPr>
        <w:t>Tato vyhláška vstupuje v platnost dne 1. ledna 2020.</w:t>
      </w:r>
    </w:p>
    <w:p w:rsidR="003143CD" w:rsidRPr="008F0589" w:rsidRDefault="003143CD" w:rsidP="00E17C57">
      <w:pPr>
        <w:ind w:left="2268"/>
        <w:rPr>
          <w:rFonts w:ascii="Verdana" w:hAnsi="Verdana"/>
          <w:sz w:val="18"/>
          <w:szCs w:val="18"/>
        </w:rPr>
      </w:pPr>
    </w:p>
    <w:p w:rsidR="003143CD" w:rsidRDefault="007E7D62" w:rsidP="00E17C57">
      <w:pPr>
        <w:ind w:left="2268"/>
        <w:rPr>
          <w:rFonts w:ascii="Verdana" w:hAnsi="Verdana"/>
          <w:snapToGrid w:val="0"/>
          <w:sz w:val="18"/>
          <w:szCs w:val="18"/>
        </w:rPr>
      </w:pPr>
      <w:r>
        <w:rPr>
          <w:rFonts w:ascii="Verdana" w:hAnsi="Verdana"/>
          <w:snapToGrid w:val="0"/>
          <w:sz w:val="18"/>
        </w:rPr>
        <w:t>Tímto nařizuji, aby byl tento výnos spolu s příslušnou důvodovou zprávou zveřejněn ve Sbírce zákonů a výnosů.</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sz w:val="18"/>
        </w:rPr>
        <w:t>Ministr pro zdravotní péči,</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sz w:val="18"/>
        </w:rPr>
        <w:t>B. J. Bruins</w:t>
      </w:r>
    </w:p>
    <w:p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t>Důvodová zpráva</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1. Všeobecně</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rFonts w:ascii="Verdana" w:hAnsi="Verdana"/>
          <w:kern w:val="2"/>
          <w:sz w:val="18"/>
          <w:szCs w:val="18"/>
        </w:rPr>
      </w:pPr>
      <w:r>
        <w:rPr>
          <w:rFonts w:ascii="Verdana" w:hAnsi="Verdana"/>
          <w:sz w:val="18"/>
        </w:rPr>
        <w:t>Výnosem o bylinných přípravcích k zákonu o komoditách se stanoví požadavky na bylinné přípravky za účelem ochrany veřejného zdraví. Na základě posouzení rizik týkajících se rostlin se nyní do výnosu přidává zákaz některých rostlin. Kromě toho bylo rozhodnuto o tom, že se do výnosu přidává zákaz škodlivých látek z rostlin a hub v bylinných přípravcích (článek I, část A, bod 2). Tímto se zlepšuje vymahatelnost výnosu o bylinných přípravcích k zákonu o komoditách. V důsledku toho budou spotřebitelé lépe chráněni před výrobky, které by mohly poškodit jejich zdraví.</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rFonts w:ascii="Verdana" w:hAnsi="Verdana"/>
          <w:kern w:val="2"/>
          <w:sz w:val="18"/>
          <w:szCs w:val="18"/>
        </w:rPr>
      </w:pPr>
      <w:r>
        <w:rPr>
          <w:rFonts w:ascii="Verdana" w:hAnsi="Verdana"/>
          <w:sz w:val="18"/>
        </w:rPr>
        <w:t>Článek 13d zákona o komoditách [Warenwet] obsahuje doložku o vzájemném uznávání. Zásada vzájemného uznávání znamená, že členský stát EU nesmí zakázat prodej zboží, které bylo zákonně uvedeno na trh v jiném členském státě EU, na svém vlastním území z důvodů, že toto zboží nesplňuje jeho vlastní vnitrostátní předpisy. Zde je zásadní, aby zboží z jiného členského státu EU poskytovalo alespoň rovnocennou úroveň ochrany. Obchodování se zbožím pocházejícím z jiných členských států EU spadajících do rozsahu působení této směrnice tedy nesmí být zakázáno z důvodu požadavků stanovených v tomto výnosu.</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rFonts w:ascii="Verdana" w:hAnsi="Verdana"/>
          <w:kern w:val="2"/>
          <w:sz w:val="18"/>
          <w:szCs w:val="18"/>
        </w:rPr>
      </w:pPr>
      <w:r>
        <w:rPr>
          <w:rFonts w:ascii="Verdana" w:hAnsi="Verdana"/>
          <w:sz w:val="18"/>
        </w:rPr>
        <w:t>Požadavky týkající se zboží stanovené v tomto výnosu jsou odůvodněny zájmy ochrany spotřebitelů před nebezpečnými výrobky.</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2. Dopad na regulační zátěž</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sz w:val="18"/>
        </w:rPr>
        <w:t>Očekává se, že tento výnos bude mít omezený dopad na regulační zátěž podnikatelské obce. Z informací z tohoto sektoru vyplývá, že množství výrobků, které budou vyžadovat úpravu, je omezené. Vzhledem k dlouhé době přípravy této změny, a to včetně opakovaných jednání se stranami, měli výrobci dostatečnou dobu na uvedení svých výrobků do souladu s novými požadavky. Náklady na informace jsou nulové. Nizozemský poradní výbor pro regulační zátěž [ATR] podporuje analýzu a závěry o dopadu na regulační zátěž.</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3. Poradní skupina pro řádné provádění zákona o komoditách</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sz w:val="18"/>
        </w:rPr>
        <w:t>Návrh tohoto výnosu byl předložen účastníkům poradní skupiny pro řádné provádění zákona o komoditách [ROW]</w:t>
      </w:r>
      <w:r>
        <w:rPr>
          <w:rStyle w:val="FootnoteReference"/>
          <w:rFonts w:ascii="Verdana" w:hAnsi="Verdana"/>
          <w:kern w:val="2"/>
          <w:sz w:val="18"/>
        </w:rPr>
        <w:footnoteReference w:id="1"/>
      </w:r>
      <w:r>
        <w:rPr>
          <w:rFonts w:ascii="Verdana" w:hAnsi="Verdana"/>
          <w:sz w:val="18"/>
        </w:rPr>
        <w:t>. Z tohoto jednání vyšlo najevo, že zákaz přítomnosti synefrinu v bylinných přípravcích nebyl možný vzhledem k tomu, že tato přírodní látka se vyskytuje rovněž v potravinách (např. pomerančové marmeládě). K tomu, aby spotřebitelé nebyli vystaveni úrovním synefrinu, které jsou škodlivé jejich zdraví, Nizozemský národní ústav pro veřejné zdraví a životní prostředí [RIVM] a Úřad pro posuzování rizik a výzkum Nizozemského úřadu pro bezpečnost potravin a spotřebního zboží [NVWA] byly požádány o poskytnutí doporučení o maximální úrovni synefrinu v bylinných přípravcích. Na základě zprávy RIVM</w:t>
      </w:r>
      <w:r>
        <w:rPr>
          <w:rStyle w:val="FootnoteReference"/>
          <w:rFonts w:ascii="Verdana" w:hAnsi="Verdana"/>
          <w:kern w:val="2"/>
          <w:sz w:val="18"/>
        </w:rPr>
        <w:footnoteReference w:id="2"/>
      </w:r>
      <w:r>
        <w:rPr>
          <w:rFonts w:ascii="Verdana" w:hAnsi="Verdana"/>
          <w:sz w:val="18"/>
        </w:rPr>
        <w:t xml:space="preserve"> BuRO</w:t>
      </w:r>
      <w:r>
        <w:rPr>
          <w:rStyle w:val="FootnoteReference"/>
          <w:rFonts w:ascii="Verdana" w:hAnsi="Verdana"/>
          <w:kern w:val="2"/>
          <w:sz w:val="18"/>
        </w:rPr>
        <w:footnoteReference w:id="3"/>
      </w:r>
      <w:r>
        <w:rPr>
          <w:rFonts w:ascii="Verdana" w:hAnsi="Verdana"/>
          <w:sz w:val="18"/>
        </w:rPr>
        <w:t xml:space="preserve"> doporučuje omezení maximálního množství synefrinu v bylinných přípravcích na příjem 27 mg p-synefrinu za den v souladu s návodem k použití. Kromě toho není povoleno použití m- a o-synefrinu v bylinných přípravcích.</w:t>
      </w:r>
    </w:p>
    <w:p w:rsidR="008E734A" w:rsidRDefault="00586978" w:rsidP="00E17C57">
      <w:pPr>
        <w:tabs>
          <w:tab w:val="left" w:pos="2268"/>
        </w:tabs>
        <w:ind w:left="2268"/>
        <w:rPr>
          <w:rFonts w:ascii="Verdana" w:hAnsi="Verdana"/>
          <w:kern w:val="2"/>
          <w:sz w:val="18"/>
          <w:szCs w:val="18"/>
        </w:rPr>
      </w:pPr>
      <w:r>
        <w:rPr>
          <w:rFonts w:ascii="Verdana" w:hAnsi="Verdana"/>
          <w:sz w:val="18"/>
        </w:rPr>
        <w:t>Kromě toho ROW nadále projednává náležitý výklad pojmu „deriváty“. Byl položen dotaz, zda toto doplnění je ve skutečnosti nezbytné a pokud ano, jak by měl být tento pojem vymezen. Tato záležitost byla přezkoumána a vzhledem k tomu, že je možných</w:t>
      </w:r>
      <w:r w:rsidR="003A44E8">
        <w:rPr>
          <w:rFonts w:ascii="Verdana" w:hAnsi="Verdana"/>
          <w:sz w:val="18"/>
        </w:rPr>
        <w:t xml:space="preserve"> </w:t>
      </w:r>
      <w:r>
        <w:rPr>
          <w:rFonts w:ascii="Verdana" w:hAnsi="Verdana"/>
          <w:sz w:val="18"/>
        </w:rPr>
        <w:t>mnoho variant škodlivých látek, bylo rozhodnuto pokračovat v používání tohoto pojmu. Toto odkazuje na látky derivované z jiné látky.</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rFonts w:ascii="Verdana" w:hAnsi="Verdana"/>
          <w:b/>
          <w:kern w:val="2"/>
          <w:sz w:val="18"/>
          <w:szCs w:val="18"/>
        </w:rPr>
      </w:pPr>
      <w:r>
        <w:rPr>
          <w:rFonts w:ascii="Verdana" w:hAnsi="Verdana"/>
          <w:b/>
          <w:sz w:val="18"/>
        </w:rPr>
        <w:t>4. Vymahatelnost a proveditelnost</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rFonts w:ascii="Verdana" w:hAnsi="Verdana"/>
          <w:kern w:val="2"/>
          <w:sz w:val="18"/>
          <w:szCs w:val="18"/>
        </w:rPr>
      </w:pPr>
      <w:r>
        <w:rPr>
          <w:rFonts w:ascii="Verdana" w:hAnsi="Verdana"/>
          <w:sz w:val="18"/>
        </w:rPr>
        <w:t>Úřad NVWA ohodnotil tento výnos s ohledem na proveditelnost, vymahatelnost a odolnost proti podvodům. Úřad NVWA považuje návrh výnosu za vymahatelný a proveditelný. Návrh výnosu nezavdává příčinu k žádným připomínkám s ohledem na odolnost proti podvodům.</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rFonts w:ascii="Verdana" w:hAnsi="Verdana"/>
          <w:b/>
          <w:kern w:val="2"/>
          <w:sz w:val="18"/>
          <w:szCs w:val="18"/>
        </w:rPr>
      </w:pPr>
      <w:r>
        <w:rPr>
          <w:rFonts w:ascii="Verdana" w:hAnsi="Verdana"/>
          <w:b/>
          <w:sz w:val="18"/>
        </w:rPr>
        <w:t>5. Předběžné přezkoumání</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rFonts w:ascii="Verdana" w:hAnsi="Verdana"/>
          <w:kern w:val="2"/>
          <w:sz w:val="18"/>
          <w:szCs w:val="18"/>
        </w:rPr>
      </w:pPr>
      <w:r>
        <w:rPr>
          <w:rFonts w:ascii="Verdana" w:hAnsi="Verdana"/>
          <w:sz w:val="18"/>
        </w:rPr>
        <w:t xml:space="preserve">V souladu s čl. 32b odst. 2 zákona o komoditách byl návrh tohoto obecného správního nařízení zaslán dne </w:t>
      </w:r>
      <w:r>
        <w:rPr>
          <w:rFonts w:ascii="Verdana" w:hAnsi="Verdana"/>
          <w:b/>
          <w:sz w:val="18"/>
        </w:rPr>
        <w:t>(datum)</w:t>
      </w:r>
      <w:r>
        <w:rPr>
          <w:rFonts w:ascii="Verdana" w:hAnsi="Verdana"/>
          <w:sz w:val="18"/>
        </w:rPr>
        <w:t xml:space="preserve"> oběma komorám nizozemského parlamentu (Parlamentní listy </w:t>
      </w:r>
      <w:r>
        <w:rPr>
          <w:rFonts w:ascii="Verdana" w:hAnsi="Verdana"/>
          <w:b/>
          <w:sz w:val="18"/>
        </w:rPr>
        <w:t>PM</w:t>
      </w:r>
      <w:r>
        <w:rPr>
          <w:rFonts w:ascii="Verdana" w:hAnsi="Verdana"/>
          <w:sz w:val="18"/>
        </w:rPr>
        <w:t>).</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sz w:val="18"/>
        </w:rPr>
        <w:t>6. Oznámení</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rFonts w:ascii="Verdana" w:hAnsi="Verdana"/>
          <w:sz w:val="18"/>
          <w:szCs w:val="18"/>
        </w:rPr>
      </w:pPr>
      <w:r>
        <w:rPr>
          <w:rFonts w:ascii="Verdana" w:hAnsi="Verdana"/>
          <w:sz w:val="18"/>
        </w:rPr>
        <w:t>Návrh tohoto výnosu byl oznámen Evropské komisi dne ... v souladu s čl. 5 odst. 1 směrnice (EU) 2015/1535</w:t>
      </w:r>
      <w:r>
        <w:rPr>
          <w:rStyle w:val="FootnoteReference"/>
          <w:rFonts w:ascii="Verdana" w:hAnsi="Verdana"/>
          <w:sz w:val="18"/>
        </w:rPr>
        <w:footnoteReference w:id="4"/>
      </w:r>
      <w:r>
        <w:rPr>
          <w:rFonts w:ascii="Verdana" w:hAnsi="Verdana"/>
          <w:sz w:val="18"/>
        </w:rPr>
        <w:t>. Oznámení Evropské komisi je nezbytné, neboť článek I tohoto výnosu obsahuje technické předpisy dle definice ve směrnici (EU) 2015/1535. Dále k tomuto oznámení</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rFonts w:ascii="Verdana" w:hAnsi="Verdana"/>
          <w:kern w:val="2"/>
          <w:sz w:val="18"/>
          <w:szCs w:val="18"/>
        </w:rPr>
      </w:pPr>
      <w:r>
        <w:rPr>
          <w:rFonts w:ascii="Verdana" w:hAnsi="Verdana"/>
          <w:sz w:val="18"/>
        </w:rPr>
        <w:t>Pokud tento návrh výnosu obsahuje množstevní omezení dovozu nebo opatření s rovnocenným účinkem ve smyslu článku 34 Smlouvy o fungování Evropské unie, jsou tato opatření odůvodněna v zájmu veřejného zdraví na základě článku 36 Smlouvy.</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sz w:val="18"/>
        </w:rPr>
        <w:t>7. Po jednotlivých článcích</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sz w:val="18"/>
        </w:rPr>
        <w:t>Článek I, část A, body 1 a 4, a část D, bod 2</w:t>
      </w:r>
    </w:p>
    <w:p w:rsidR="00670294" w:rsidRDefault="00FC0162" w:rsidP="00E17C57">
      <w:pPr>
        <w:tabs>
          <w:tab w:val="left" w:pos="2268"/>
        </w:tabs>
        <w:ind w:left="2268"/>
        <w:rPr>
          <w:rFonts w:ascii="Verdana" w:hAnsi="Verdana"/>
          <w:kern w:val="2"/>
          <w:sz w:val="18"/>
          <w:szCs w:val="18"/>
        </w:rPr>
      </w:pPr>
      <w:r>
        <w:rPr>
          <w:rFonts w:ascii="Verdana" w:hAnsi="Verdana"/>
          <w:sz w:val="18"/>
        </w:rPr>
        <w:t>Tato změna zlepšuje vymahatelnost. Před vstupem tohoto výnosu v platnost měl čl. 4 odst. 1 výnosu o bylinných přípravcích k zákonu o komoditách toto znění:</w:t>
      </w:r>
    </w:p>
    <w:p w:rsidR="00670294" w:rsidRPr="009345F8" w:rsidRDefault="00670294" w:rsidP="00E17C57">
      <w:pPr>
        <w:tabs>
          <w:tab w:val="left" w:pos="2268"/>
        </w:tabs>
        <w:ind w:left="2268"/>
        <w:rPr>
          <w:rFonts w:ascii="Verdana" w:hAnsi="Verdana"/>
          <w:i/>
          <w:kern w:val="2"/>
          <w:sz w:val="18"/>
          <w:szCs w:val="18"/>
        </w:rPr>
      </w:pPr>
      <w:r>
        <w:rPr>
          <w:rFonts w:ascii="Verdana" w:hAnsi="Verdana"/>
          <w:i/>
          <w:sz w:val="18"/>
        </w:rPr>
        <w:t>Množství toxických pyrrolizidinových alkaloidů z bylinných přípravků, které obsahují materiál pocházející zcela nebo zčásti z rostlin uvedených v části I přílohy nebo z jiných rostlin, u nichž se předpokládá, že obsahují toxické pyrrolizidinové alkaloidy, nepřesahuje 1 µg na kg, respektive na litr.</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rFonts w:ascii="Verdana" w:hAnsi="Verdana"/>
          <w:kern w:val="2"/>
          <w:sz w:val="18"/>
          <w:szCs w:val="18"/>
        </w:rPr>
      </w:pPr>
      <w:r>
        <w:rPr>
          <w:rFonts w:ascii="Verdana" w:hAnsi="Verdana"/>
          <w:sz w:val="18"/>
        </w:rPr>
        <w:t>Vzhledem k tomuto znění úřední představitel pověřený dohledem nemůže prostě stanovit nadměrně vysokou úroveň toxických pyrrolizidinových alkaloidů v bylinných přípravcích. Úřední představitel musí rovněž prokázat jejich původy. Toto mělo za následek problémy s dohledem nad nad dodržováním tohoto ustanovení.</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rFonts w:ascii="Verdana" w:hAnsi="Verdana"/>
          <w:kern w:val="2"/>
          <w:sz w:val="18"/>
          <w:szCs w:val="18"/>
        </w:rPr>
      </w:pPr>
      <w:r>
        <w:rPr>
          <w:rFonts w:ascii="Verdana" w:hAnsi="Verdana"/>
          <w:sz w:val="18"/>
        </w:rPr>
        <w:t>Článek I, část A, bod 1 tohoto výnosu, kterým se mění čl. 4 odst. 1 za účelem vyřešení problematiky uvedené v předcházejícím odstavci. Odstavec 1 nyní stanoví maximální množství toxických pyrrolizidinových alkaloidů v bylinných přípravcích, bez ohledu na jejich původ. Část I přílohy tak může být vypuštěna (článek I, část D, bod 2).</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rFonts w:ascii="Verdana" w:hAnsi="Verdana"/>
          <w:sz w:val="18"/>
          <w:szCs w:val="18"/>
        </w:rPr>
      </w:pPr>
      <w:r>
        <w:rPr>
          <w:rFonts w:ascii="Verdana" w:hAnsi="Verdana"/>
          <w:sz w:val="18"/>
        </w:rPr>
        <w:t>V krátkodobém horizontu se očekává, že požadavky na maximální množství pyrrolizidinových alkaloidů v doplňcích stravy a bylinných přípravcích budou přidány do nařízení (ES) 1881/2006</w:t>
      </w:r>
      <w:r>
        <w:rPr>
          <w:rStyle w:val="FootnoteReference"/>
          <w:rFonts w:ascii="Verdana" w:hAnsi="Verdana"/>
          <w:sz w:val="18"/>
        </w:rPr>
        <w:footnoteReference w:id="5"/>
      </w:r>
      <w:r>
        <w:rPr>
          <w:rFonts w:ascii="Verdana" w:hAnsi="Verdana"/>
          <w:sz w:val="18"/>
        </w:rPr>
        <w:t>. S ohledem na toto očekávání se do výnosu o bylinných přípravcích k zákonu o komoditách přidává čl. 4 odst. 6 tak, že odstavec 1 se nadále nevztahuje na žádné záležitosti, které jsou předmětem ustanovení nařízení (ES) 1881/2006. Toto ustanovení počítá z budoucími rozšířeními na ustanovení nařízení (ES) 1881/2006 o pyrrolizidinových alkaloidech.</w:t>
      </w:r>
    </w:p>
    <w:p w:rsidR="00430B87" w:rsidRPr="0042448A" w:rsidRDefault="00430B87" w:rsidP="00E17C57">
      <w:pPr>
        <w:ind w:left="2268"/>
        <w:rPr>
          <w:rFonts w:ascii="Verdana" w:hAnsi="Verdana"/>
          <w:sz w:val="18"/>
          <w:szCs w:val="18"/>
        </w:rPr>
      </w:pPr>
    </w:p>
    <w:p w:rsidR="00430B87" w:rsidRDefault="00430B87" w:rsidP="00E17C57">
      <w:pPr>
        <w:ind w:left="2268"/>
        <w:rPr>
          <w:rFonts w:ascii="Verdana" w:hAnsi="Verdana"/>
          <w:sz w:val="18"/>
          <w:szCs w:val="18"/>
        </w:rPr>
      </w:pPr>
      <w:r>
        <w:rPr>
          <w:rFonts w:ascii="Verdana" w:hAnsi="Verdana"/>
          <w:sz w:val="18"/>
        </w:rPr>
        <w:t>V případě jiných bylinných přípravků, které nejsou uvedeny v příloze k nařízení (ES) 1881/2006, zůstává v platnosti maximální mezní hodnota v čl. 4 odst. 1 výnosu o bylinných přípravcích k zákonu o komoditách, tj.: 1 µg/kg, respektive na litr.</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sz w:val="18"/>
        </w:rPr>
        <w:t>Článek I, část A, bod 2</w:t>
      </w:r>
    </w:p>
    <w:p w:rsidR="00FC0162" w:rsidRDefault="00FC0162" w:rsidP="00E17C57">
      <w:pPr>
        <w:tabs>
          <w:tab w:val="left" w:pos="2268"/>
        </w:tabs>
        <w:ind w:left="2268"/>
        <w:rPr>
          <w:rFonts w:ascii="Verdana" w:hAnsi="Verdana"/>
          <w:kern w:val="2"/>
          <w:sz w:val="18"/>
          <w:szCs w:val="18"/>
        </w:rPr>
      </w:pPr>
      <w:r>
        <w:rPr>
          <w:rFonts w:ascii="Verdana" w:hAnsi="Verdana"/>
          <w:sz w:val="18"/>
        </w:rPr>
        <w:t>Čl. 4 odst. 2 výnosu o bylinných přípravcích k zákonu o komoditách uvádí několik látek, které nemohou být přítomny v bylinných přípravcích v zájmu veřejného zdraví. Na základě studií doporučil</w:t>
      </w:r>
      <w:r>
        <w:rPr>
          <w:rStyle w:val="FootnoteReference"/>
          <w:rFonts w:ascii="Verdana" w:hAnsi="Verdana"/>
          <w:kern w:val="2"/>
          <w:sz w:val="18"/>
        </w:rPr>
        <w:footnoteReference w:id="6"/>
      </w:r>
      <w:r>
        <w:rPr>
          <w:rFonts w:ascii="Verdana" w:hAnsi="Verdana"/>
          <w:sz w:val="18"/>
        </w:rPr>
        <w:t xml:space="preserve"> RIVM rozšíření seznamu o několik dalších látek, které se jeví tak, že mají toxické nebo dokonce akutně toxické vlastnosti. Tato opatření byla uplatněna. Dotčené látky tak byly přidány do čl. 4 odst. 2 výnosu o bylinných přípravcích k zákonu o komoditách. Dřívější ustanovení písmen a) a b) (aristolochové kyseliny a alkaloidy yohimbin nebo jejich deriváty) byly následně přidány do nového seznamu v abecedním pořadí.</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rFonts w:ascii="Verdana" w:hAnsi="Verdana"/>
          <w:kern w:val="2"/>
          <w:sz w:val="18"/>
          <w:szCs w:val="18"/>
        </w:rPr>
      </w:pPr>
      <w:r>
        <w:rPr>
          <w:rFonts w:ascii="Verdana" w:hAnsi="Verdana"/>
          <w:sz w:val="18"/>
        </w:rPr>
        <w:t>Nové ustanovení písmene g) se týká oleje z pelyňku pravého (Artemisia absinthium). Toto ustanovení uvádí, že zákaz tohoto oleje v bylinných přípravcích se nevztahuje na přítomnost thujonu v nápojích pelyňkového typu, pokud je jeho přítomnost povolena v čl. 6 odst. 2 a příloze III, části B nařízení (ES) 1334/2008</w:t>
      </w:r>
      <w:r>
        <w:rPr>
          <w:rStyle w:val="FootnoteReference"/>
          <w:rFonts w:ascii="Verdana" w:hAnsi="Verdana"/>
          <w:kern w:val="2"/>
          <w:sz w:val="18"/>
        </w:rPr>
        <w:footnoteReference w:id="7"/>
      </w:r>
      <w:r>
        <w:rPr>
          <w:rFonts w:ascii="Verdana" w:hAnsi="Verdana"/>
          <w:sz w:val="18"/>
        </w:rPr>
        <w:t>.</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sz w:val="18"/>
        </w:rPr>
        <w:t>Článek I, část A, bod 3, a část D, body 1 a 3</w:t>
      </w:r>
    </w:p>
    <w:p w:rsidR="00670294" w:rsidRDefault="005D7072" w:rsidP="00E17C57">
      <w:pPr>
        <w:tabs>
          <w:tab w:val="left" w:pos="2268"/>
        </w:tabs>
        <w:ind w:left="2268"/>
        <w:rPr>
          <w:rFonts w:ascii="Verdana" w:hAnsi="Verdana"/>
          <w:kern w:val="2"/>
          <w:sz w:val="18"/>
          <w:szCs w:val="18"/>
        </w:rPr>
      </w:pPr>
      <w:r>
        <w:rPr>
          <w:rFonts w:ascii="Verdana" w:hAnsi="Verdana"/>
          <w:sz w:val="18"/>
        </w:rPr>
        <w:t>V době vstoupení tohoto výnosu v platnost obsahuje příloha k výnosu o bylinných přípravcích k zákonu o komoditách pouze to, co bylo původně částí II, která je nyní „přílohou“. Odkaz na část II přílohy v čl. 4 odst. 3 výnosu o bylinných přípravcích k zákonu o komoditách se tak mění na odkaz na „přílohu“.</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sz w:val="18"/>
        </w:rPr>
        <w:t>Článek I, část A, bod 4</w:t>
      </w:r>
    </w:p>
    <w:p w:rsidR="003C006F" w:rsidRPr="00C5642F" w:rsidRDefault="003C006F" w:rsidP="00E17C57">
      <w:pPr>
        <w:tabs>
          <w:tab w:val="left" w:pos="2268"/>
        </w:tabs>
        <w:ind w:left="2268"/>
        <w:rPr>
          <w:rFonts w:ascii="Verdana" w:hAnsi="Verdana"/>
          <w:kern w:val="2"/>
          <w:sz w:val="18"/>
          <w:szCs w:val="18"/>
        </w:rPr>
      </w:pPr>
      <w:r>
        <w:rPr>
          <w:rFonts w:ascii="Verdana" w:hAnsi="Verdana"/>
          <w:sz w:val="18"/>
        </w:rPr>
        <w:t>Na základě výše uvedené zprávy RIVM a doporučení BuRO o synefrinu vydaného na základě dříve uvedené zprávy bylo rozhodnuto o zákazu přidávání m a o-synefrinu do bylinných přípravků. Maximální denní množství 27 mg p-synefrinu na základě příjmu z potravin bylo vyvozeno z doporučení BuRO. Toto nařízení bylo vloženo do čl. 4 odst. 4.</w:t>
      </w:r>
    </w:p>
    <w:p w:rsidR="008250DF" w:rsidRPr="008250DF" w:rsidRDefault="008250DF" w:rsidP="00E17C57">
      <w:pPr>
        <w:tabs>
          <w:tab w:val="left" w:pos="2268"/>
        </w:tabs>
        <w:ind w:left="2268"/>
        <w:rPr>
          <w:rFonts w:ascii="Verdana" w:hAnsi="Verdana"/>
          <w:kern w:val="2"/>
          <w:sz w:val="18"/>
          <w:szCs w:val="18"/>
        </w:rPr>
      </w:pPr>
      <w:r>
        <w:rPr>
          <w:rFonts w:ascii="Verdana" w:hAnsi="Verdana"/>
          <w:sz w:val="18"/>
        </w:rPr>
        <w:t>Ricinus communis byl zařazen do části II výnosu o bylinných přípravcích k zákonu o komoditách. Současný čl. 4 odst. 3 stanoví, že bylinné přípravky nesmí obsahovat žádné materiály pocházející zcela nebo z části z Ricinus communis. Studie RIVM</w:t>
      </w:r>
      <w:r>
        <w:rPr>
          <w:rStyle w:val="FootnoteReference"/>
          <w:rFonts w:ascii="Verdana" w:hAnsi="Verdana"/>
          <w:kern w:val="2"/>
          <w:sz w:val="18"/>
        </w:rPr>
        <w:footnoteReference w:id="8"/>
      </w:r>
      <w:r>
        <w:rPr>
          <w:rFonts w:ascii="Verdana" w:hAnsi="Verdana"/>
          <w:sz w:val="18"/>
        </w:rPr>
        <w:t xml:space="preserve"> rovněž uvádí, že příjem oleje ze semen Ricinus communis v množství do 0,4 g na den není škodlivý pro veřejné zdraví. Z tohoto důvodu se přidává nový čl. 4 odst. 5 do výnosu o bylinných přípravcích k zákonu o komoditách za účelem umožnění skutečnosti popsané výše.</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sz w:val="18"/>
        </w:rPr>
        <w:t>Článek I, část B</w:t>
      </w:r>
    </w:p>
    <w:p w:rsidR="002714CE" w:rsidRPr="003D0C77" w:rsidRDefault="002714CE" w:rsidP="00E17C57">
      <w:pPr>
        <w:tabs>
          <w:tab w:val="left" w:pos="2268"/>
        </w:tabs>
        <w:ind w:left="2268"/>
        <w:rPr>
          <w:rFonts w:ascii="Verdana" w:hAnsi="Verdana"/>
          <w:kern w:val="2"/>
          <w:sz w:val="18"/>
          <w:szCs w:val="18"/>
        </w:rPr>
      </w:pPr>
      <w:r>
        <w:rPr>
          <w:rFonts w:ascii="Verdana" w:hAnsi="Verdana"/>
          <w:sz w:val="18"/>
        </w:rPr>
        <w:t>K článku 6 se přidává nový odstavec 3. Tímto se vytváří možnost vydat ministerský příkaz, kterým se stanoví dodatečné pravidla týkající se doporučeného použití a dávek uvedených v odstavcích 1 a 2. Toto bude použito pro látky, které mohou mít negativní dopad na zdraví za určitých podmínek použití a dávkování. Doporučené použití a dávkování může být použito k varování spotřebitelů před tímto problémem.</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sz w:val="18"/>
        </w:rPr>
        <w:t>Článek I, část C a část D, bod 10</w:t>
      </w:r>
    </w:p>
    <w:p w:rsidR="003143CD" w:rsidRDefault="003143CD" w:rsidP="00E17C57">
      <w:pPr>
        <w:tabs>
          <w:tab w:val="left" w:pos="2268"/>
        </w:tabs>
        <w:ind w:left="2268"/>
        <w:rPr>
          <w:rFonts w:ascii="Verdana" w:hAnsi="Verdana"/>
          <w:kern w:val="2"/>
          <w:sz w:val="18"/>
          <w:szCs w:val="18"/>
        </w:rPr>
      </w:pPr>
      <w:r>
        <w:rPr>
          <w:rFonts w:ascii="Verdana" w:hAnsi="Verdana"/>
          <w:sz w:val="18"/>
        </w:rPr>
        <w:t>Tato změna zahrnuje podrobná přechodná ustanovení.</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sz w:val="18"/>
        </w:rPr>
        <w:t>Článek I, část D, body 4 až 9</w:t>
      </w:r>
    </w:p>
    <w:p w:rsidR="007C6E9D" w:rsidRDefault="007C6E9D" w:rsidP="00E17C57">
      <w:pPr>
        <w:tabs>
          <w:tab w:val="left" w:pos="2268"/>
        </w:tabs>
        <w:ind w:left="2268"/>
        <w:rPr>
          <w:rFonts w:ascii="Verdana" w:hAnsi="Verdana"/>
          <w:kern w:val="2"/>
          <w:sz w:val="18"/>
          <w:szCs w:val="18"/>
        </w:rPr>
      </w:pPr>
      <w:r>
        <w:rPr>
          <w:rFonts w:ascii="Verdana" w:hAnsi="Verdana"/>
          <w:sz w:val="18"/>
        </w:rPr>
        <w:t>Pozměněný čl. 4 odst. 3 výnosu o bylinných přípravcích k zákonu o komoditách stanoví, že bylinné přípravky nesmí obsahovat žádné materiály pocházející zcela nebo z části z rostlin nebo hub uvedených v příloze. Několik rostlin se teď přidává do přílohy (dříve části II přílohy) vzhledem k jejich potenciálně závažnému škodlivému dopadu na lidské zdraví (článek I, část D, bod 4).</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rFonts w:ascii="Verdana" w:hAnsi="Verdana"/>
          <w:kern w:val="2"/>
          <w:sz w:val="18"/>
          <w:szCs w:val="18"/>
        </w:rPr>
      </w:pPr>
      <w:r>
        <w:rPr>
          <w:rFonts w:ascii="Verdana" w:hAnsi="Verdana"/>
          <w:sz w:val="18"/>
        </w:rPr>
        <w:t>C článku I, část D, body 5 až 9 tohoto výnosu se využívá možnosti opravit několik nedostatků v dřívější části II přílohy. Za prvé, nyní se opravuje několik překlepů. Za druhé, nyní se jasně uvádí, že jedovatá bylina Bryonia alba nemá co do činění s Brassica nigra (brukev černá). Původně byly v příloze neúmyslně umístěny vedle sebe. Nyní jsou uvedeny nad sebou za účelem vyjasnění toho, že se jedná o dvě různé rostliny.</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sz w:val="18"/>
        </w:rPr>
        <w:t>Článek II</w:t>
      </w:r>
    </w:p>
    <w:p w:rsidR="003143CD" w:rsidRPr="00C93CDF" w:rsidRDefault="00C93CDF" w:rsidP="00E17C57">
      <w:pPr>
        <w:ind w:left="2268"/>
        <w:rPr>
          <w:rFonts w:ascii="Verdana" w:hAnsi="Verdana"/>
          <w:sz w:val="18"/>
          <w:szCs w:val="18"/>
        </w:rPr>
      </w:pPr>
      <w:r>
        <w:rPr>
          <w:rFonts w:ascii="Verdana" w:hAnsi="Verdana"/>
          <w:sz w:val="18"/>
        </w:rPr>
        <w:t>Čl. 4 odst. 5 výnosu o bylinných přípravcích k zákonu o komoditách se přidává do přílohy k výnosu o správních sankcích k zákonu o komoditách tak, že porušení prvního uvedeného lze postihovat správní sankcí.</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sz w:val="18"/>
        </w:rPr>
        <w:t>Ministr pro zdravotní péči,</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sz w:val="18"/>
        </w:rPr>
        <w:t>B. 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C21" w:rsidRDefault="00E95C21">
      <w:r>
        <w:separator/>
      </w:r>
    </w:p>
  </w:endnote>
  <w:endnote w:type="continuationSeparator" w:id="0">
    <w:p w:rsidR="00E95C21" w:rsidRDefault="00E9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3A44E8">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E95C21">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C21" w:rsidRDefault="00E95C21">
      <w:r>
        <w:separator/>
      </w:r>
    </w:p>
  </w:footnote>
  <w:footnote w:type="continuationSeparator" w:id="0">
    <w:p w:rsidR="00E95C21" w:rsidRDefault="00E95C21">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Poradní skupina ROW je složena ze zástupců podniků (průmyslových a obchodních), spotřebitelů, ministerstev (konkrétně ministerstva pro veřejné zdraví, sociální péči a tělovýchovu a ministerstva pro zemědělství, přírodu a kvalitu potravin) a Nizozemského úřadu pro bezpečnost potravin a spotřebního zboží [NVWA].</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Posouzení rizik synefrinu, RIVM, 14. března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Doporučení BuRO týkající se maximálního příjmu synefrinu z bylinných přípravků, 26. března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Směrnice Evropského parlamentu a Rady (EU) 2015/1535 ze dne 9. září 2015, kterou se stanoví postup pro poskytování informací v oblasti technických předpisů a pravidla pro služby informační společnosti (kodifikace) (Úř. věst. L 241, 2015).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Nařízení Komise (ES) č. 1881/2006 ze dne 19. prosince 2006, kterým se stanoví maximální limity některých kontaminujících látek v potravinách (Úř. věst. L 364, 2006).</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Posouzení druhů čínského oměje [Beoordeling Chinese monnikskapsoorten]. RIVM, Středisko pro látky a interní posouzení rizik [SIR], Bilthoven, 5. prosince 2008.</w:t>
      </w:r>
    </w:p>
    <w:p w:rsidR="002E5EAB" w:rsidRPr="004B6695" w:rsidRDefault="002E5EAB" w:rsidP="00FC0162">
      <w:pPr>
        <w:pStyle w:val="FootnoteText"/>
        <w:rPr>
          <w:rFonts w:ascii="Verdana" w:hAnsi="Verdana"/>
          <w:sz w:val="16"/>
          <w:szCs w:val="16"/>
        </w:rPr>
      </w:pPr>
      <w:r>
        <w:rPr>
          <w:rFonts w:ascii="Verdana" w:hAnsi="Verdana"/>
          <w:sz w:val="16"/>
        </w:rPr>
        <w:t>RIVM (2011); Posuzování zdravotních rizik několika konkrétních látek v bylinných přípravcích [Beoordeling van de gezondheidsrisico’s van een aantal specifieke stoffen in kruidenpreparaten]. RIVM, Středisko pro látky a interní posouzení rizik [SIR], Bilthoven, 30. března 2011.</w:t>
      </w:r>
    </w:p>
    <w:p w:rsidR="002E5EAB" w:rsidRPr="004B6695" w:rsidRDefault="002E5EAB" w:rsidP="00FC0162">
      <w:pPr>
        <w:pStyle w:val="FootnoteText"/>
        <w:rPr>
          <w:rFonts w:ascii="Verdana" w:hAnsi="Verdana"/>
          <w:sz w:val="16"/>
          <w:szCs w:val="16"/>
        </w:rPr>
      </w:pPr>
      <w:r>
        <w:rPr>
          <w:rFonts w:ascii="Verdana" w:hAnsi="Verdana"/>
          <w:sz w:val="16"/>
        </w:rPr>
        <w:t>RIVM (2009); Posouzení zdravotních rizik „zakázaných bylin“ [Beoordeling van de gezondheidsrisico’s van „verboden kruiden“]; zpráva č. 320011002. RIVM, Středisko pro látky a interní posouzení rizik [SIR], Bilthoven, 15. června 2009.</w:t>
      </w:r>
    </w:p>
    <w:p w:rsidR="002E5EAB" w:rsidRPr="004B6695" w:rsidRDefault="002E5EAB" w:rsidP="00FC0162">
      <w:pPr>
        <w:pStyle w:val="FootnoteText"/>
        <w:rPr>
          <w:rFonts w:ascii="Verdana" w:hAnsi="Verdana"/>
          <w:sz w:val="16"/>
          <w:szCs w:val="16"/>
        </w:rPr>
      </w:pPr>
      <w:r>
        <w:rPr>
          <w:rFonts w:ascii="Verdana" w:hAnsi="Verdana"/>
          <w:sz w:val="16"/>
        </w:rPr>
        <w:t>RIVM (2009); Posouzení rizik u Pilocarpus jaborandi [Risicobeoordeling Pilocarpus jaborandi]. RIVM, Středisko pro látky a interní posouzení rizik [SIR], Bilthoven, 14. prosince 2009.</w:t>
      </w:r>
    </w:p>
    <w:p w:rsidR="002E5EAB" w:rsidRPr="004B6695" w:rsidRDefault="002E5EAB" w:rsidP="008E734A">
      <w:pPr>
        <w:pStyle w:val="FootnoteText"/>
        <w:rPr>
          <w:rFonts w:ascii="Verdana" w:hAnsi="Verdana"/>
          <w:sz w:val="16"/>
          <w:szCs w:val="16"/>
        </w:rPr>
      </w:pPr>
      <w:r>
        <w:rPr>
          <w:rFonts w:ascii="Verdana" w:hAnsi="Verdana"/>
          <w:sz w:val="16"/>
        </w:rPr>
        <w:t>RIVM (2010); Posouzení uplatnění výjimky podle výnosu o bylinných přípravcích k zákonu o komoditách v případě skočce obecného [Beoordeling ontheffingsaanvraag Warenwetbesluit Kruidenpreparaten voor ricinusolie]. RIVM, Středisko pro látky a interní posouzení rizik [SIR], Bilthoven, 20. prosince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Nařízení Evropského parlamentu a Rady (ES) č. 1334/2008 ze dne 16. prosince 2008 o látkách určených k aromatizaci a některých složkách potravin vyznačujících se aromatem pro použití v potravinách nebo na jejich povrchu a o změně nařízení Rady (EHS) č. 1601/91, nařízení (ES) č. 2232/96, nařízení (ES) č. 110/2008 a směrnice 2000/13/ES (Úř. věst. L 354, 2008).</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Posouzení uplatnění výjimky podle výnosu o bylinných přípravcích k zákonu o komoditách v případě skočce obecného [Beoordeling ontheffingsaanvraag Warenwetbesluit Kruidenpreparaten voor ricinusolie]. RIVM, Středisko pro látky a interní posouzení rizik [SIR], Bilthoven, 20. prosince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A44E8"/>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95C21"/>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317E28-C821-4A12-AF4F-A1045872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C071-269D-4487-9026-FD8FCE83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14</TotalTime>
  <Pages>8</Pages>
  <Words>2118</Words>
  <Characters>12076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Liu, Lei</cp:lastModifiedBy>
  <cp:revision>4</cp:revision>
  <cp:lastPrinted>2019-05-29T13:48:00Z</cp:lastPrinted>
  <dcterms:created xsi:type="dcterms:W3CDTF">2019-07-08T12:56:00Z</dcterms:created>
  <dcterms:modified xsi:type="dcterms:W3CDTF">2019-07-23T06:00:00Z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