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C57" w:rsidRPr="00814C17" w:rsidRDefault="00E17C57" w:rsidP="00E17C57">
      <w:pPr>
        <w:spacing w:after="120"/>
        <w:jc w:val="center"/>
        <w:rPr>
          <w:rFonts w:ascii="Courier New" w:hAnsi="Courier New"/>
        </w:rPr>
      </w:pPr>
      <w:r>
        <w:rPr>
          <w:rFonts w:ascii="Courier New" w:hAnsi="Courier New"/>
        </w:rPr>
        <w:t>1. ------IND- 2019 0331 NL- EL- ------ 20190722 --- --- PROJET</w:t>
      </w:r>
    </w:p>
    <w:p w:rsidR="00E27C82" w:rsidRDefault="00E27C82" w:rsidP="00E17C57"/>
    <w:p w:rsidR="00E27C82" w:rsidRPr="00E27C82" w:rsidRDefault="00E27C82" w:rsidP="00E17C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tblGrid>
      <w:tr w:rsidR="007E7D62" w:rsidTr="00E17C57">
        <w:trPr>
          <w:cantSplit/>
        </w:trPr>
        <w:tc>
          <w:tcPr>
            <w:tcW w:w="3189" w:type="dxa"/>
            <w:tcBorders>
              <w:top w:val="nil"/>
              <w:left w:val="nil"/>
              <w:bottom w:val="nil"/>
              <w:right w:val="nil"/>
            </w:tcBorders>
          </w:tcPr>
          <w:p w:rsidR="007E7D62" w:rsidRDefault="007E7D62" w:rsidP="003D0C77">
            <w:pPr>
              <w:ind w:left="567"/>
            </w:pPr>
            <w:r>
              <w:br w:type="page"/>
            </w:r>
            <w:r>
              <w:rPr>
                <w:rFonts w:ascii="Verdana" w:hAnsi="Verdana"/>
                <w:sz w:val="18"/>
              </w:rPr>
              <w:t>Απόφαση της</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rPr>
              <w:t>για την τροποποίηση της απόφασης του νόμου περί εμπορευμάτων σχετικά με τα φυτικά παρασκευάσματα και της απόφασης του νόμου περί εμπορευμάτων σχετικά με τα διοικητικά πρόστιμα αναφορικά με την προσθήκη ορισμένων επιβλαβών φυτικών παρασκευασμάτων (ή επιβλαβών ουσιών στα φυτικά παρασκευάσματα) και ορισμένες τεχνικές προσαρμογές.</w:t>
            </w:r>
          </w:p>
        </w:tc>
      </w:tr>
      <w:tr w:rsidR="00732703" w:rsidTr="00E17C57">
        <w:trPr>
          <w:cantSplit/>
        </w:trPr>
        <w:tc>
          <w:tcPr>
            <w:tcW w:w="3189" w:type="dxa"/>
            <w:tcBorders>
              <w:top w:val="nil"/>
              <w:left w:val="nil"/>
              <w:bottom w:val="nil"/>
              <w:right w:val="nil"/>
            </w:tcBorders>
          </w:tcPr>
          <w:p w:rsidR="00732703" w:rsidRDefault="00732703" w:rsidP="00E17C57"/>
        </w:tc>
      </w:tr>
    </w:tbl>
    <w:p w:rsidR="007E7D62" w:rsidRDefault="007E7D62" w:rsidP="00E17C57">
      <w:pPr>
        <w:ind w:left="567"/>
      </w:pPr>
    </w:p>
    <w:p w:rsidR="007E7D62" w:rsidRDefault="007E7D62" w:rsidP="00E17C57">
      <w:pPr>
        <w:ind w:left="567"/>
      </w:pPr>
    </w:p>
    <w:p w:rsidR="007E7D62" w:rsidRDefault="007E7D62" w:rsidP="00E17C57">
      <w:pPr>
        <w:ind w:left="567"/>
      </w:pPr>
    </w:p>
    <w:p w:rsidR="007E7D62" w:rsidRDefault="007E7D62" w:rsidP="00E17C57">
      <w:pPr>
        <w:ind w:left="567"/>
      </w:pPr>
    </w:p>
    <w:p w:rsidR="007E7D62" w:rsidRDefault="007E7D62" w:rsidP="00E17C57">
      <w:pPr>
        <w:ind w:left="567"/>
      </w:pPr>
    </w:p>
    <w:p w:rsidR="007E7D62" w:rsidRDefault="007E7D62" w:rsidP="00E17C57">
      <w:pPr>
        <w:pStyle w:val="Ondertekening"/>
        <w:spacing w:before="0"/>
        <w:ind w:left="567"/>
      </w:pPr>
    </w:p>
    <w:p w:rsidR="007E7D62" w:rsidRPr="008E734A" w:rsidRDefault="007E7D62" w:rsidP="00E17C57">
      <w:pPr>
        <w:ind w:left="2268"/>
        <w:rPr>
          <w:rFonts w:ascii="Verdana" w:hAnsi="Verdana"/>
          <w:sz w:val="18"/>
          <w:szCs w:val="18"/>
        </w:rPr>
      </w:pPr>
      <w:r>
        <w:rPr>
          <w:rFonts w:ascii="Verdana" w:hAnsi="Verdana"/>
          <w:sz w:val="18"/>
        </w:rPr>
        <w:t>Κατόπιν συστάσεως του υπουργού Υγείας της        2019,                  -VGP·</w:t>
      </w:r>
    </w:p>
    <w:p w:rsidR="007E7D62" w:rsidRPr="008E734A" w:rsidRDefault="007E7D62" w:rsidP="00E17C57">
      <w:pPr>
        <w:ind w:left="2268"/>
        <w:rPr>
          <w:rFonts w:ascii="Verdana" w:hAnsi="Verdana"/>
          <w:sz w:val="18"/>
          <w:szCs w:val="18"/>
        </w:rPr>
      </w:pPr>
    </w:p>
    <w:p w:rsidR="007E7D62" w:rsidRPr="008E734A" w:rsidRDefault="007E7D62" w:rsidP="00E17C57">
      <w:pPr>
        <w:ind w:left="2268"/>
        <w:rPr>
          <w:rFonts w:ascii="Verdana" w:hAnsi="Verdana"/>
          <w:sz w:val="18"/>
          <w:szCs w:val="18"/>
        </w:rPr>
      </w:pPr>
      <w:r>
        <w:rPr>
          <w:rFonts w:ascii="Verdana" w:hAnsi="Verdana"/>
          <w:sz w:val="18"/>
        </w:rPr>
        <w:t>Έχοντας υπόψη το άρθρο 4 παράγραφος 1, το άρθρο 8 παράγραφος 1 στοιχείο γ) και το άρθρο 14 του νόμου περί εμπορευμάτων·</w:t>
      </w:r>
    </w:p>
    <w:p w:rsidR="007E7D62" w:rsidRPr="008E734A" w:rsidRDefault="007E7D62" w:rsidP="00E17C57">
      <w:pPr>
        <w:ind w:left="2268"/>
        <w:rPr>
          <w:rFonts w:ascii="Verdana" w:hAnsi="Verdana"/>
          <w:sz w:val="18"/>
          <w:szCs w:val="18"/>
        </w:rPr>
      </w:pPr>
    </w:p>
    <w:p w:rsidR="007E7D62" w:rsidRPr="008E734A" w:rsidRDefault="007E7D62" w:rsidP="00E17C57">
      <w:pPr>
        <w:ind w:left="2268"/>
        <w:rPr>
          <w:rFonts w:ascii="Verdana" w:hAnsi="Verdana"/>
          <w:sz w:val="18"/>
          <w:szCs w:val="18"/>
        </w:rPr>
      </w:pPr>
      <w:r>
        <w:rPr>
          <w:rFonts w:ascii="Verdana" w:hAnsi="Verdana"/>
          <w:sz w:val="18"/>
        </w:rPr>
        <w:t>Κατόπιν διαβούλευσης με τη συμβουλευτική υπηρεσία του Συμβουλίου Επικρατείας (γνωμοδότηση της              , αριθ.               )·</w:t>
      </w:r>
    </w:p>
    <w:p w:rsidR="007E7D62" w:rsidRPr="008F0589" w:rsidRDefault="007E7D62" w:rsidP="00E17C57">
      <w:pPr>
        <w:ind w:left="2268"/>
        <w:rPr>
          <w:rFonts w:ascii="Verdana" w:hAnsi="Verdana"/>
          <w:sz w:val="18"/>
          <w:szCs w:val="18"/>
        </w:rPr>
      </w:pPr>
    </w:p>
    <w:p w:rsidR="007E7D62" w:rsidRPr="008F0589" w:rsidRDefault="007E7D62" w:rsidP="00E17C57">
      <w:pPr>
        <w:ind w:left="2268"/>
        <w:rPr>
          <w:rFonts w:ascii="Verdana" w:hAnsi="Verdana"/>
          <w:sz w:val="18"/>
          <w:szCs w:val="18"/>
        </w:rPr>
      </w:pPr>
      <w:r>
        <w:rPr>
          <w:rFonts w:ascii="Verdana" w:hAnsi="Verdana"/>
          <w:sz w:val="18"/>
        </w:rPr>
        <w:t>Έχοντας υπόψη την ειδική έκθεση του υπουργού Υγείας της        2019,                  -VGP·</w:t>
      </w:r>
    </w:p>
    <w:p w:rsidR="007E7D62" w:rsidRPr="008F0589" w:rsidRDefault="007E7D62" w:rsidP="00E17C57">
      <w:pPr>
        <w:ind w:left="2268"/>
        <w:rPr>
          <w:rFonts w:ascii="Verdana" w:hAnsi="Verdana"/>
          <w:sz w:val="18"/>
          <w:szCs w:val="18"/>
        </w:rPr>
      </w:pPr>
    </w:p>
    <w:p w:rsidR="007E7D62" w:rsidRPr="008F0589" w:rsidRDefault="007E7D62" w:rsidP="00E17C57">
      <w:pPr>
        <w:ind w:left="2268"/>
        <w:rPr>
          <w:rFonts w:ascii="Verdana" w:hAnsi="Verdana"/>
          <w:sz w:val="18"/>
          <w:szCs w:val="18"/>
        </w:rPr>
      </w:pPr>
      <w:r>
        <w:rPr>
          <w:rFonts w:ascii="Verdana" w:hAnsi="Verdana"/>
          <w:sz w:val="18"/>
        </w:rPr>
        <w:t xml:space="preserve">Εγκρίνεται και λαμβάνεται η ακόλουθη απόφαση: </w:t>
      </w:r>
    </w:p>
    <w:p w:rsidR="007E7D62" w:rsidRPr="008F0589" w:rsidRDefault="007E7D62" w:rsidP="00E17C57">
      <w:pPr>
        <w:ind w:left="2268"/>
        <w:rPr>
          <w:rFonts w:ascii="Verdana" w:hAnsi="Verdana"/>
          <w:sz w:val="18"/>
          <w:szCs w:val="18"/>
        </w:rPr>
      </w:pPr>
    </w:p>
    <w:p w:rsidR="007E7D62" w:rsidRPr="008F0589" w:rsidRDefault="007E7D62" w:rsidP="00E17C57">
      <w:pPr>
        <w:ind w:left="2268"/>
        <w:rPr>
          <w:rFonts w:ascii="Verdana" w:hAnsi="Verdana"/>
          <w:sz w:val="18"/>
          <w:szCs w:val="18"/>
        </w:rPr>
      </w:pPr>
    </w:p>
    <w:p w:rsidR="007E7D62" w:rsidRPr="008F0589" w:rsidRDefault="007E7D62" w:rsidP="00E17C57">
      <w:pPr>
        <w:keepNext/>
        <w:keepLines/>
        <w:ind w:left="2268"/>
        <w:rPr>
          <w:rFonts w:ascii="Verdana" w:hAnsi="Verdana"/>
          <w:b/>
          <w:sz w:val="18"/>
          <w:szCs w:val="18"/>
        </w:rPr>
      </w:pPr>
      <w:r>
        <w:rPr>
          <w:rFonts w:ascii="Verdana" w:hAnsi="Verdana"/>
          <w:b/>
          <w:sz w:val="18"/>
        </w:rPr>
        <w:t>Άρθρο I</w:t>
      </w:r>
    </w:p>
    <w:p w:rsidR="007E7D62" w:rsidRPr="008F0589" w:rsidRDefault="007E7D62" w:rsidP="00E17C57">
      <w:pPr>
        <w:keepNext/>
        <w:keepLines/>
        <w:ind w:left="2268"/>
        <w:rPr>
          <w:rFonts w:ascii="Verdana" w:hAnsi="Verdana"/>
          <w:sz w:val="18"/>
          <w:szCs w:val="18"/>
        </w:rPr>
      </w:pPr>
    </w:p>
    <w:p w:rsidR="007E7D62" w:rsidRDefault="007E7D62" w:rsidP="00E17C57">
      <w:pPr>
        <w:ind w:left="2268"/>
        <w:rPr>
          <w:rFonts w:ascii="Verdana" w:hAnsi="Verdana"/>
          <w:sz w:val="18"/>
          <w:szCs w:val="18"/>
        </w:rPr>
      </w:pPr>
      <w:r>
        <w:rPr>
          <w:rFonts w:ascii="Verdana" w:hAnsi="Verdana"/>
          <w:sz w:val="18"/>
        </w:rPr>
        <w:t>Η απόφαση του νόμου περί εμπορευμάτων σχετικά με τα φυτικά παρασκευάσματα τροποποιείται ως εξής:</w:t>
      </w:r>
    </w:p>
    <w:p w:rsidR="00060A6E" w:rsidRDefault="00060A6E" w:rsidP="00E17C57">
      <w:pPr>
        <w:ind w:left="2268"/>
        <w:rPr>
          <w:rFonts w:ascii="Verdana" w:hAnsi="Verdana"/>
          <w:sz w:val="18"/>
          <w:szCs w:val="18"/>
        </w:rPr>
      </w:pPr>
    </w:p>
    <w:p w:rsidR="00060A6E" w:rsidRDefault="00060A6E" w:rsidP="00E17C57">
      <w:pPr>
        <w:keepNext/>
        <w:keepLines/>
        <w:ind w:left="2268"/>
        <w:rPr>
          <w:rFonts w:ascii="Verdana" w:hAnsi="Verdana"/>
          <w:sz w:val="18"/>
          <w:szCs w:val="18"/>
        </w:rPr>
      </w:pPr>
      <w:r>
        <w:rPr>
          <w:rFonts w:ascii="Verdana" w:hAnsi="Verdana"/>
          <w:sz w:val="18"/>
        </w:rPr>
        <w:lastRenderedPageBreak/>
        <w:t>A</w:t>
      </w:r>
    </w:p>
    <w:p w:rsidR="00093369" w:rsidRDefault="00093369" w:rsidP="00E17C57">
      <w:pPr>
        <w:keepNext/>
        <w:keepLines/>
        <w:ind w:left="2268"/>
        <w:rPr>
          <w:rFonts w:ascii="Verdana" w:hAnsi="Verdana"/>
          <w:sz w:val="18"/>
          <w:szCs w:val="18"/>
        </w:rPr>
      </w:pPr>
    </w:p>
    <w:p w:rsidR="000C18E4" w:rsidRDefault="00732703" w:rsidP="00E17C57">
      <w:pPr>
        <w:keepNext/>
        <w:keepLines/>
        <w:ind w:left="2268"/>
        <w:rPr>
          <w:rFonts w:ascii="Verdana" w:hAnsi="Verdana"/>
          <w:sz w:val="18"/>
          <w:szCs w:val="18"/>
        </w:rPr>
      </w:pPr>
      <w:r>
        <w:rPr>
          <w:rFonts w:ascii="Verdana" w:hAnsi="Verdana"/>
          <w:sz w:val="18"/>
        </w:rPr>
        <w:t>Το άρθρο 4 τροποποιείται ως εξής:</w:t>
      </w:r>
    </w:p>
    <w:p w:rsidR="00443563" w:rsidRPr="00443563" w:rsidRDefault="00443563" w:rsidP="00E17C57">
      <w:pPr>
        <w:pStyle w:val="ListParagraph"/>
        <w:keepNext/>
        <w:keepLines/>
        <w:numPr>
          <w:ilvl w:val="0"/>
          <w:numId w:val="29"/>
        </w:numPr>
        <w:rPr>
          <w:rFonts w:ascii="Verdana" w:hAnsi="Verdana"/>
          <w:sz w:val="18"/>
          <w:szCs w:val="18"/>
        </w:rPr>
      </w:pPr>
      <w:r>
        <w:rPr>
          <w:rFonts w:ascii="Verdana" w:hAnsi="Verdana"/>
          <w:sz w:val="18"/>
        </w:rPr>
        <w:t>Η παράγραφος 1 τροποποιείται ως εξής:</w:t>
      </w:r>
    </w:p>
    <w:p w:rsidR="000C18E4" w:rsidRPr="00443563" w:rsidRDefault="0043098B" w:rsidP="00E17C57">
      <w:pPr>
        <w:pStyle w:val="ListParagraph"/>
        <w:numPr>
          <w:ilvl w:val="0"/>
          <w:numId w:val="30"/>
        </w:numPr>
        <w:rPr>
          <w:rFonts w:ascii="Verdana" w:hAnsi="Verdana"/>
          <w:sz w:val="18"/>
          <w:szCs w:val="18"/>
        </w:rPr>
      </w:pPr>
      <w:r>
        <w:rPr>
          <w:rFonts w:ascii="Verdana" w:hAnsi="Verdana"/>
          <w:sz w:val="18"/>
        </w:rPr>
        <w:t>Η ποσότητα τοξικών αλκαλοειδών πυρρολιζιδίνης στα φυτικά παρασκευάσματα δεν υπερβαίνει το 1 µg ανά kg ή ανά λίτρο.</w:t>
      </w:r>
    </w:p>
    <w:p w:rsidR="000C18E4" w:rsidRPr="0043098B" w:rsidRDefault="0043098B" w:rsidP="00E17C57">
      <w:pPr>
        <w:keepNext/>
        <w:keepLines/>
        <w:tabs>
          <w:tab w:val="left" w:pos="2835"/>
        </w:tabs>
        <w:ind w:left="2268"/>
        <w:rPr>
          <w:rFonts w:ascii="Verdana" w:hAnsi="Verdana"/>
          <w:sz w:val="18"/>
          <w:szCs w:val="18"/>
        </w:rPr>
      </w:pPr>
      <w:r>
        <w:rPr>
          <w:rFonts w:ascii="Verdana" w:hAnsi="Verdana"/>
          <w:sz w:val="18"/>
        </w:rPr>
        <w:t>2.</w:t>
      </w:r>
      <w:r>
        <w:tab/>
      </w:r>
      <w:r>
        <w:rPr>
          <w:rFonts w:ascii="Verdana" w:hAnsi="Verdana"/>
          <w:sz w:val="18"/>
        </w:rPr>
        <w:t xml:space="preserve">Η παράγραφος 2 τροποποιείται ως εξής: </w:t>
      </w:r>
    </w:p>
    <w:p w:rsidR="00732703" w:rsidRPr="000C18E4" w:rsidRDefault="000C18E4" w:rsidP="00E17C57">
      <w:pPr>
        <w:keepNext/>
        <w:keepLines/>
        <w:ind w:left="2780" w:firstLine="56"/>
        <w:rPr>
          <w:rFonts w:ascii="Verdana" w:hAnsi="Verdana"/>
          <w:sz w:val="18"/>
          <w:szCs w:val="18"/>
        </w:rPr>
      </w:pPr>
      <w:r>
        <w:rPr>
          <w:rFonts w:ascii="Verdana" w:hAnsi="Verdana"/>
          <w:sz w:val="18"/>
        </w:rPr>
        <w:t>2.</w:t>
      </w:r>
      <w:r>
        <w:tab/>
      </w:r>
      <w:r>
        <w:rPr>
          <w:rFonts w:ascii="Verdana" w:hAnsi="Verdana"/>
          <w:sz w:val="18"/>
        </w:rPr>
        <w:t>Τα φυτικά παρασκευάσματα δεν περιέχουν:</w:t>
      </w:r>
    </w:p>
    <w:p w:rsidR="00060A6E" w:rsidRPr="005016F0" w:rsidRDefault="00BF3143" w:rsidP="00E17C57">
      <w:pPr>
        <w:pStyle w:val="ListParagraph"/>
        <w:numPr>
          <w:ilvl w:val="1"/>
          <w:numId w:val="22"/>
        </w:numPr>
        <w:rPr>
          <w:rFonts w:ascii="Verdana" w:hAnsi="Verdana"/>
          <w:sz w:val="18"/>
          <w:szCs w:val="18"/>
        </w:rPr>
      </w:pPr>
      <w:bookmarkStart w:id="0" w:name="_GoBack"/>
      <w:bookmarkEnd w:id="0"/>
      <w:r>
        <w:rPr>
          <w:rFonts w:ascii="Verdana" w:hAnsi="Verdana"/>
          <w:sz w:val="18"/>
        </w:rPr>
        <w:t>ακοτινίνη ή παράγωγα αυτής·</w:t>
      </w:r>
    </w:p>
    <w:p w:rsidR="005016F0" w:rsidRDefault="00BF3143" w:rsidP="00E17C57">
      <w:pPr>
        <w:pStyle w:val="ListParagraph"/>
        <w:numPr>
          <w:ilvl w:val="1"/>
          <w:numId w:val="22"/>
        </w:numPr>
        <w:rPr>
          <w:rFonts w:ascii="Verdana" w:hAnsi="Verdana"/>
          <w:sz w:val="18"/>
          <w:szCs w:val="18"/>
        </w:rPr>
      </w:pPr>
      <w:r>
        <w:rPr>
          <w:rFonts w:ascii="Verdana" w:hAnsi="Verdana"/>
          <w:sz w:val="18"/>
        </w:rPr>
        <w:t>αριστολοχικά οξέα ή παράγωγα αυτών·</w:t>
      </w:r>
    </w:p>
    <w:p w:rsidR="005016F0" w:rsidRDefault="00BF3143" w:rsidP="00E17C57">
      <w:pPr>
        <w:pStyle w:val="ListParagraph"/>
        <w:numPr>
          <w:ilvl w:val="1"/>
          <w:numId w:val="22"/>
        </w:numPr>
        <w:rPr>
          <w:rFonts w:ascii="Verdana" w:hAnsi="Verdana"/>
          <w:sz w:val="18"/>
          <w:szCs w:val="18"/>
        </w:rPr>
      </w:pPr>
      <w:r>
        <w:rPr>
          <w:rFonts w:ascii="Verdana" w:hAnsi="Verdana"/>
          <w:sz w:val="18"/>
        </w:rPr>
        <w:t>ατροπίνη ή παράγωγα αυτής·</w:t>
      </w:r>
    </w:p>
    <w:p w:rsidR="005016F0" w:rsidRDefault="005016F0" w:rsidP="00E17C57">
      <w:pPr>
        <w:pStyle w:val="ListParagraph"/>
        <w:numPr>
          <w:ilvl w:val="1"/>
          <w:numId w:val="22"/>
        </w:numPr>
        <w:rPr>
          <w:rFonts w:ascii="Verdana" w:hAnsi="Verdana"/>
          <w:sz w:val="18"/>
          <w:szCs w:val="18"/>
        </w:rPr>
      </w:pPr>
      <w:r>
        <w:rPr>
          <w:rFonts w:ascii="Verdana" w:hAnsi="Verdana"/>
          <w:sz w:val="18"/>
        </w:rPr>
        <w:t>κολχικίνη ή παράγωγα αυτής·</w:t>
      </w:r>
    </w:p>
    <w:p w:rsidR="005016F0" w:rsidRDefault="005016F0" w:rsidP="00E17C57">
      <w:pPr>
        <w:pStyle w:val="ListParagraph"/>
        <w:numPr>
          <w:ilvl w:val="1"/>
          <w:numId w:val="22"/>
        </w:numPr>
        <w:rPr>
          <w:rFonts w:ascii="Verdana" w:hAnsi="Verdana"/>
          <w:sz w:val="18"/>
          <w:szCs w:val="18"/>
        </w:rPr>
      </w:pPr>
      <w:r>
        <w:rPr>
          <w:rFonts w:ascii="Verdana" w:hAnsi="Verdana"/>
          <w:sz w:val="18"/>
        </w:rPr>
        <w:t>υοσκυαμίνη ή παράγωγα αυτής·</w:t>
      </w:r>
    </w:p>
    <w:p w:rsidR="005016F0" w:rsidRDefault="00BF3143" w:rsidP="00E17C57">
      <w:pPr>
        <w:pStyle w:val="ListParagraph"/>
        <w:numPr>
          <w:ilvl w:val="1"/>
          <w:numId w:val="22"/>
        </w:numPr>
        <w:rPr>
          <w:rFonts w:ascii="Verdana" w:hAnsi="Verdana"/>
          <w:sz w:val="18"/>
          <w:szCs w:val="18"/>
        </w:rPr>
      </w:pPr>
      <w:r>
        <w:rPr>
          <w:rFonts w:ascii="Verdana" w:hAnsi="Verdana"/>
          <w:sz w:val="18"/>
        </w:rPr>
        <w:t>μ- και ο-συνεφρίνη ή παράγωγα αυτής·</w:t>
      </w:r>
    </w:p>
    <w:p w:rsidR="00BF3143" w:rsidRPr="005016F0" w:rsidRDefault="00BF3143" w:rsidP="00E17C57">
      <w:pPr>
        <w:pStyle w:val="ListParagraph"/>
        <w:numPr>
          <w:ilvl w:val="1"/>
          <w:numId w:val="22"/>
        </w:numPr>
        <w:rPr>
          <w:rFonts w:ascii="Verdana" w:hAnsi="Verdana"/>
          <w:sz w:val="18"/>
          <w:szCs w:val="18"/>
        </w:rPr>
      </w:pPr>
      <w:r>
        <w:rPr>
          <w:rFonts w:ascii="Verdana" w:hAnsi="Verdana"/>
          <w:sz w:val="18"/>
        </w:rPr>
        <w:t>έλαιο από το φυτό Artemisia absinthium (άψινθος), με την επιφύλαξη των διατάξεων που περιλαμβάνονται στο άρθρο 6 παράγραφος 2 και στο παράρτημα III μέρος Β του κανονισμού (ΕΚ) 1334/2008 σχετικά με την επιτρεπόμενη ύπαρξη θουιόνης σε ορισμένα σύνθετα τρόφιμα·</w:t>
      </w:r>
    </w:p>
    <w:p w:rsidR="005016F0" w:rsidRPr="00BF3143" w:rsidRDefault="005016F0" w:rsidP="00E17C57">
      <w:pPr>
        <w:pStyle w:val="ListParagraph"/>
        <w:numPr>
          <w:ilvl w:val="1"/>
          <w:numId w:val="22"/>
        </w:numPr>
        <w:rPr>
          <w:rFonts w:ascii="Verdana" w:hAnsi="Verdana"/>
          <w:sz w:val="18"/>
          <w:szCs w:val="18"/>
        </w:rPr>
      </w:pPr>
      <w:r>
        <w:rPr>
          <w:rFonts w:ascii="Verdana" w:hAnsi="Verdana"/>
          <w:sz w:val="18"/>
        </w:rPr>
        <w:t>πιλοκαρπίνη ή παράγωγα αυτής·</w:t>
      </w:r>
    </w:p>
    <w:p w:rsidR="005016F0" w:rsidRDefault="005016F0" w:rsidP="00E17C57">
      <w:pPr>
        <w:pStyle w:val="ListParagraph"/>
        <w:numPr>
          <w:ilvl w:val="1"/>
          <w:numId w:val="22"/>
        </w:numPr>
        <w:rPr>
          <w:rFonts w:ascii="Verdana" w:hAnsi="Verdana"/>
          <w:sz w:val="18"/>
          <w:szCs w:val="18"/>
        </w:rPr>
      </w:pPr>
      <w:r>
        <w:rPr>
          <w:rFonts w:ascii="Verdana" w:hAnsi="Verdana"/>
          <w:sz w:val="18"/>
        </w:rPr>
        <w:t>σκοπολαμίνη ή παράγωγα αυτής·</w:t>
      </w:r>
    </w:p>
    <w:p w:rsidR="005016F0" w:rsidRDefault="005016F0" w:rsidP="00E17C57">
      <w:pPr>
        <w:pStyle w:val="ListParagraph"/>
        <w:numPr>
          <w:ilvl w:val="1"/>
          <w:numId w:val="22"/>
        </w:numPr>
        <w:rPr>
          <w:rFonts w:ascii="Verdana" w:hAnsi="Verdana"/>
          <w:sz w:val="18"/>
          <w:szCs w:val="18"/>
        </w:rPr>
      </w:pPr>
      <w:r>
        <w:rPr>
          <w:rFonts w:ascii="Verdana" w:hAnsi="Verdana"/>
          <w:sz w:val="18"/>
        </w:rPr>
        <w:t>στρυχνίνη ή παράγωγα αυτής·</w:t>
      </w:r>
    </w:p>
    <w:p w:rsidR="00BF3143" w:rsidRDefault="00BF3143" w:rsidP="00E17C57">
      <w:pPr>
        <w:pStyle w:val="ListParagraph"/>
        <w:numPr>
          <w:ilvl w:val="1"/>
          <w:numId w:val="22"/>
        </w:numPr>
        <w:rPr>
          <w:rFonts w:ascii="Verdana" w:hAnsi="Verdana"/>
          <w:sz w:val="18"/>
          <w:szCs w:val="18"/>
        </w:rPr>
      </w:pPr>
      <w:r>
        <w:rPr>
          <w:rFonts w:ascii="Verdana" w:hAnsi="Verdana"/>
          <w:sz w:val="18"/>
        </w:rPr>
        <w:t>αλκαλοϊδή του φυτού γιοχίμπε ή παράγωγα αυτών.</w:t>
      </w:r>
    </w:p>
    <w:p w:rsidR="000E0515" w:rsidRPr="0043098B" w:rsidRDefault="0043098B" w:rsidP="00E17C57">
      <w:pPr>
        <w:ind w:left="2835" w:hanging="567"/>
        <w:rPr>
          <w:rFonts w:ascii="Verdana" w:hAnsi="Verdana"/>
          <w:sz w:val="18"/>
          <w:szCs w:val="18"/>
        </w:rPr>
      </w:pPr>
      <w:r>
        <w:rPr>
          <w:rFonts w:ascii="Verdana" w:hAnsi="Verdana"/>
          <w:sz w:val="18"/>
        </w:rPr>
        <w:t>3.</w:t>
      </w:r>
      <w:r>
        <w:tab/>
      </w:r>
      <w:r>
        <w:rPr>
          <w:rFonts w:ascii="Verdana" w:hAnsi="Verdana"/>
          <w:sz w:val="18"/>
        </w:rPr>
        <w:t xml:space="preserve">Στην παράγραφο 3, η φράση «φυτά κατά την έννοια του μέρους ΙΙ του παραρτήματος» αντικαθίσταται από τη φράση «φυτά και μύκητες κατά την έννοια του παραρτήματος». </w:t>
      </w:r>
    </w:p>
    <w:p w:rsidR="0043098B" w:rsidRDefault="00E17C57" w:rsidP="00E17C57">
      <w:pPr>
        <w:keepNext/>
        <w:keepLines/>
        <w:ind w:left="2836" w:hanging="568"/>
        <w:rPr>
          <w:rFonts w:ascii="Verdana" w:hAnsi="Verdana"/>
          <w:sz w:val="18"/>
          <w:szCs w:val="18"/>
        </w:rPr>
      </w:pPr>
      <w:r>
        <w:rPr>
          <w:rFonts w:ascii="Verdana" w:hAnsi="Verdana"/>
          <w:sz w:val="18"/>
        </w:rPr>
        <w:t>4.</w:t>
      </w:r>
      <w:r>
        <w:tab/>
      </w:r>
      <w:r>
        <w:rPr>
          <w:rFonts w:ascii="Verdana" w:hAnsi="Verdana"/>
          <w:sz w:val="18"/>
        </w:rPr>
        <w:t>Προστίθενται οι εξής τρεις νέες παράγραφοι:</w:t>
      </w:r>
    </w:p>
    <w:p w:rsidR="0043098B" w:rsidRDefault="0043098B" w:rsidP="00E17C57">
      <w:pPr>
        <w:ind w:left="3544" w:hanging="708"/>
        <w:rPr>
          <w:rFonts w:ascii="Verdana" w:hAnsi="Verdana"/>
          <w:sz w:val="18"/>
          <w:szCs w:val="18"/>
        </w:rPr>
      </w:pPr>
      <w:r>
        <w:rPr>
          <w:rFonts w:ascii="Verdana" w:hAnsi="Verdana"/>
          <w:sz w:val="18"/>
        </w:rPr>
        <w:t>4.</w:t>
      </w:r>
      <w:r>
        <w:tab/>
      </w:r>
      <w:r>
        <w:rPr>
          <w:rFonts w:ascii="Verdana" w:hAnsi="Verdana"/>
          <w:sz w:val="18"/>
        </w:rPr>
        <w:t>Τα φυτικά παρασκευάσματα περιέχουν, σε ημερήσια λήψη σύμφωνα με τις οδηγίες χρήσης, κατ' ανώτατο όριο 27 mg π-συνεφρίνης.</w:t>
      </w:r>
    </w:p>
    <w:p w:rsidR="0095665C" w:rsidRDefault="0043098B" w:rsidP="00E17C57">
      <w:pPr>
        <w:ind w:left="3544" w:hanging="708"/>
        <w:rPr>
          <w:rFonts w:ascii="Verdana" w:hAnsi="Verdana"/>
          <w:sz w:val="18"/>
          <w:szCs w:val="18"/>
        </w:rPr>
      </w:pPr>
      <w:r>
        <w:rPr>
          <w:rFonts w:ascii="Verdana" w:hAnsi="Verdana"/>
          <w:sz w:val="18"/>
        </w:rPr>
        <w:t>5.</w:t>
      </w:r>
      <w:r>
        <w:tab/>
      </w:r>
      <w:r>
        <w:rPr>
          <w:rFonts w:ascii="Verdana" w:hAnsi="Verdana"/>
          <w:sz w:val="18"/>
        </w:rPr>
        <w:t>Κατά παρέκκλιση από την παράγραφο 3, τα φυτικά παρασκευάσματα μπορούν να περιέχουν έλαιο που λαμβάνεται από τους σπόρους του φυτού Ricinus communis, εφόσον οι προβλεπόμενες συστάσεις χρήσης και δοσολογίας, κατά την έννοια του άρθρου 6 παράγραφος 1, δεν οδηγούν σε υψηλότερη λήψη αυτού του ελαίου από 0,4 g ημερησίως.</w:t>
      </w:r>
    </w:p>
    <w:p w:rsidR="00AB3B66" w:rsidRDefault="00AB3B66" w:rsidP="00E17C57">
      <w:pPr>
        <w:ind w:left="3544" w:hanging="708"/>
        <w:rPr>
          <w:rFonts w:ascii="Verdana" w:hAnsi="Verdana"/>
          <w:sz w:val="18"/>
          <w:szCs w:val="18"/>
        </w:rPr>
      </w:pPr>
      <w:r>
        <w:rPr>
          <w:rFonts w:ascii="Verdana" w:hAnsi="Verdana"/>
          <w:sz w:val="18"/>
        </w:rPr>
        <w:t>6.</w:t>
      </w:r>
      <w:r>
        <w:tab/>
      </w:r>
      <w:r>
        <w:rPr>
          <w:rFonts w:ascii="Verdana" w:hAnsi="Verdana"/>
          <w:sz w:val="18"/>
        </w:rPr>
        <w:t xml:space="preserve">Η παράγραφος 1 δεν ισχύει εφόσον έχουν θεσπιστεί κανόνες μέσω του κανονισμού (ΕΚ) 1881/2006. </w:t>
      </w:r>
    </w:p>
    <w:p w:rsidR="00D9610F" w:rsidRDefault="00D9610F" w:rsidP="00E17C57">
      <w:pPr>
        <w:ind w:left="2268"/>
        <w:rPr>
          <w:rFonts w:ascii="Verdana" w:hAnsi="Verdana"/>
          <w:sz w:val="18"/>
          <w:szCs w:val="18"/>
        </w:rPr>
      </w:pPr>
    </w:p>
    <w:p w:rsidR="00AB4972" w:rsidRPr="00AB4972" w:rsidRDefault="00AB4972" w:rsidP="00E17C57">
      <w:pPr>
        <w:keepNext/>
        <w:keepLines/>
        <w:ind w:left="2268"/>
        <w:rPr>
          <w:rFonts w:ascii="Verdana" w:hAnsi="Verdana"/>
          <w:sz w:val="18"/>
          <w:szCs w:val="18"/>
        </w:rPr>
      </w:pPr>
      <w:r>
        <w:rPr>
          <w:rFonts w:ascii="Verdana" w:hAnsi="Verdana"/>
          <w:sz w:val="18"/>
        </w:rPr>
        <w:t>B</w:t>
      </w:r>
    </w:p>
    <w:p w:rsidR="00AB4972" w:rsidRDefault="00AB4972" w:rsidP="00E17C57">
      <w:pPr>
        <w:keepNext/>
        <w:keepLines/>
        <w:ind w:left="2268"/>
        <w:rPr>
          <w:rFonts w:ascii="Verdana" w:hAnsi="Verdana"/>
          <w:sz w:val="18"/>
          <w:szCs w:val="18"/>
        </w:rPr>
      </w:pPr>
    </w:p>
    <w:p w:rsidR="003825F1" w:rsidRDefault="003825F1" w:rsidP="00E17C57">
      <w:pPr>
        <w:keepNext/>
        <w:keepLines/>
        <w:ind w:left="2268"/>
        <w:rPr>
          <w:rFonts w:ascii="Verdana" w:hAnsi="Verdana"/>
          <w:sz w:val="18"/>
          <w:szCs w:val="18"/>
        </w:rPr>
      </w:pPr>
      <w:r>
        <w:rPr>
          <w:rFonts w:ascii="Verdana" w:hAnsi="Verdana"/>
          <w:sz w:val="18"/>
        </w:rPr>
        <w:t>Στο άρθρο 6 προστίθεται η εξής παράγραφος:</w:t>
      </w:r>
    </w:p>
    <w:p w:rsidR="003825F1" w:rsidRDefault="003825F1" w:rsidP="00E17C57">
      <w:pPr>
        <w:ind w:left="2836" w:hanging="568"/>
        <w:rPr>
          <w:rFonts w:ascii="Verdana" w:hAnsi="Verdana"/>
          <w:sz w:val="18"/>
          <w:szCs w:val="18"/>
        </w:rPr>
      </w:pPr>
      <w:r>
        <w:rPr>
          <w:rFonts w:ascii="Verdana" w:hAnsi="Verdana"/>
          <w:sz w:val="18"/>
        </w:rPr>
        <w:t xml:space="preserve">3. </w:t>
      </w:r>
      <w:r>
        <w:tab/>
      </w:r>
      <w:r>
        <w:rPr>
          <w:rFonts w:ascii="Verdana" w:hAnsi="Verdana"/>
          <w:sz w:val="18"/>
        </w:rPr>
        <w:t>Μέσω διατάγματος του αρμόδιου υπουργού δύνανται να τεθούν ειδικότεροι κανόνες σχετικά με τις συστάσεις χρήσης και δοσολογίας κατά την έννοια των παραγράφων 1 και 2.</w:t>
      </w:r>
    </w:p>
    <w:p w:rsidR="003825F1" w:rsidRDefault="003825F1" w:rsidP="00E17C57">
      <w:pPr>
        <w:ind w:left="2268"/>
        <w:rPr>
          <w:rFonts w:ascii="Verdana" w:hAnsi="Verdana"/>
          <w:sz w:val="18"/>
          <w:szCs w:val="18"/>
        </w:rPr>
      </w:pPr>
    </w:p>
    <w:p w:rsidR="003825F1" w:rsidRDefault="003825F1" w:rsidP="00E17C57">
      <w:pPr>
        <w:keepNext/>
        <w:keepLines/>
        <w:ind w:left="2268"/>
        <w:rPr>
          <w:rFonts w:ascii="Verdana" w:hAnsi="Verdana"/>
          <w:sz w:val="18"/>
          <w:szCs w:val="18"/>
        </w:rPr>
      </w:pPr>
      <w:r>
        <w:rPr>
          <w:rFonts w:ascii="Verdana" w:hAnsi="Verdana"/>
          <w:sz w:val="18"/>
        </w:rPr>
        <w:t>Γ</w:t>
      </w:r>
    </w:p>
    <w:p w:rsidR="003825F1" w:rsidRDefault="003825F1" w:rsidP="00E17C57">
      <w:pPr>
        <w:keepNext/>
        <w:keepLines/>
        <w:ind w:left="2268"/>
        <w:rPr>
          <w:rFonts w:ascii="Verdana" w:hAnsi="Verdana"/>
          <w:sz w:val="18"/>
          <w:szCs w:val="18"/>
        </w:rPr>
      </w:pPr>
    </w:p>
    <w:p w:rsidR="00BB07D4" w:rsidRDefault="00BB07D4" w:rsidP="00E17C57">
      <w:pPr>
        <w:ind w:left="2268"/>
        <w:rPr>
          <w:rFonts w:ascii="Verdana" w:hAnsi="Verdana"/>
          <w:sz w:val="18"/>
          <w:szCs w:val="18"/>
        </w:rPr>
      </w:pPr>
      <w:r>
        <w:rPr>
          <w:rFonts w:ascii="Verdana" w:hAnsi="Verdana"/>
          <w:sz w:val="18"/>
        </w:rPr>
        <w:t xml:space="preserve">Στο άρθρο 7 παράγραφος 1, η φράση «, υπό την προϋπόθεση ότι το άρθρο 4 παράγραφοι 1 και 3 θα τεθεί σε ισχύ την 1η Αυγούστου 2001 για εκείνα τα φυτικά παρασκευάσματα, πέραν των τροφίμων και ποτών, που προορίζονται αποκλειστικά να έρχονται σε επαφή με τα διάφορα μέρη της επιφάνειας του ανθρώπινου σώματος και στα οποία δεν είναι παρόντα άλλα φυτά από εκείνα </w:t>
      </w:r>
      <w:r>
        <w:rPr>
          <w:rFonts w:ascii="Verdana" w:hAnsi="Verdana"/>
          <w:sz w:val="18"/>
        </w:rPr>
        <w:lastRenderedPageBreak/>
        <w:t>που αναφέρονται στην τελευταία στήλη του παραρτήματος και σημαίνονται από τον αριθμό 1» διαγράφεται.</w:t>
      </w:r>
    </w:p>
    <w:p w:rsidR="00BB07D4" w:rsidRDefault="00BB07D4" w:rsidP="00E17C57">
      <w:pPr>
        <w:ind w:left="2268"/>
        <w:rPr>
          <w:rFonts w:ascii="Verdana" w:hAnsi="Verdana"/>
          <w:sz w:val="18"/>
          <w:szCs w:val="18"/>
        </w:rPr>
      </w:pPr>
    </w:p>
    <w:p w:rsidR="00BB07D4" w:rsidRDefault="00BB07D4" w:rsidP="00E17C57">
      <w:pPr>
        <w:keepNext/>
        <w:keepLines/>
        <w:ind w:left="2268"/>
        <w:rPr>
          <w:rFonts w:ascii="Verdana" w:hAnsi="Verdana"/>
          <w:sz w:val="18"/>
          <w:szCs w:val="18"/>
        </w:rPr>
      </w:pPr>
      <w:r>
        <w:rPr>
          <w:rFonts w:ascii="Verdana" w:hAnsi="Verdana"/>
          <w:sz w:val="18"/>
        </w:rPr>
        <w:t>Δ</w:t>
      </w:r>
    </w:p>
    <w:p w:rsidR="00BB07D4" w:rsidRDefault="00BB07D4" w:rsidP="00E17C57">
      <w:pPr>
        <w:keepNext/>
        <w:keepLines/>
        <w:ind w:left="2268"/>
        <w:rPr>
          <w:rFonts w:ascii="Verdana" w:hAnsi="Verdana"/>
          <w:sz w:val="18"/>
          <w:szCs w:val="18"/>
        </w:rPr>
      </w:pPr>
    </w:p>
    <w:p w:rsidR="00BB11AA" w:rsidRDefault="00F6533C" w:rsidP="00E17C57">
      <w:pPr>
        <w:keepNext/>
        <w:keepLines/>
        <w:ind w:left="2268"/>
        <w:rPr>
          <w:rFonts w:ascii="Verdana" w:hAnsi="Verdana"/>
          <w:sz w:val="18"/>
          <w:szCs w:val="18"/>
        </w:rPr>
      </w:pPr>
      <w:r>
        <w:rPr>
          <w:rFonts w:ascii="Verdana" w:hAnsi="Verdana"/>
          <w:sz w:val="18"/>
        </w:rPr>
        <w:t>Το παράρτημα τροποποιείται ως εξής:</w:t>
      </w:r>
    </w:p>
    <w:p w:rsidR="00F6533C" w:rsidRDefault="00F6533C" w:rsidP="00E17C57">
      <w:pPr>
        <w:pStyle w:val="ListParagraph"/>
        <w:numPr>
          <w:ilvl w:val="0"/>
          <w:numId w:val="23"/>
        </w:numPr>
        <w:rPr>
          <w:rFonts w:ascii="Verdana" w:hAnsi="Verdana"/>
          <w:sz w:val="18"/>
          <w:szCs w:val="18"/>
        </w:rPr>
      </w:pPr>
      <w:r>
        <w:rPr>
          <w:rFonts w:ascii="Verdana" w:hAnsi="Verdana"/>
          <w:sz w:val="18"/>
        </w:rPr>
        <w:t xml:space="preserve">Η πρόταση «Το παρόν παράρτημα ανήκει στο άρθρο 4.» αντικαθίσταται από την πρόταση «Το παρόν παράρτημα ανήκει στο άρθρο 4 παράγραφος 3». </w:t>
      </w:r>
    </w:p>
    <w:p w:rsidR="00F6533C" w:rsidRDefault="00BB02A9" w:rsidP="00E17C57">
      <w:pPr>
        <w:pStyle w:val="ListParagraph"/>
        <w:numPr>
          <w:ilvl w:val="0"/>
          <w:numId w:val="23"/>
        </w:numPr>
        <w:rPr>
          <w:rFonts w:ascii="Verdana" w:hAnsi="Verdana"/>
          <w:sz w:val="18"/>
          <w:szCs w:val="18"/>
        </w:rPr>
      </w:pPr>
      <w:r>
        <w:rPr>
          <w:rFonts w:ascii="Verdana" w:hAnsi="Verdana"/>
          <w:sz w:val="18"/>
        </w:rPr>
        <w:t>Το μέρος Ι διαγράφεται.</w:t>
      </w:r>
    </w:p>
    <w:p w:rsidR="00F6533C" w:rsidRDefault="00BB07D4" w:rsidP="00E17C57">
      <w:pPr>
        <w:pStyle w:val="ListParagraph"/>
        <w:numPr>
          <w:ilvl w:val="0"/>
          <w:numId w:val="23"/>
        </w:numPr>
        <w:rPr>
          <w:rFonts w:ascii="Verdana" w:hAnsi="Verdana"/>
          <w:sz w:val="18"/>
          <w:szCs w:val="18"/>
        </w:rPr>
      </w:pPr>
      <w:r>
        <w:rPr>
          <w:rFonts w:ascii="Verdana" w:hAnsi="Verdana"/>
          <w:sz w:val="18"/>
        </w:rPr>
        <w:t>Το κείμενο «ΙΙ. Τα ακόλουθα φυτά και οι ακόλουθοι μύκητες» αντικαθίσταται από το κείμενο «Τα φυτά και οι μύκητες που νοούνται στο άρθρο 4 παράγραφος 3 είναι:».</w:t>
      </w:r>
    </w:p>
    <w:p w:rsidR="00740EC3" w:rsidRDefault="00740EC3" w:rsidP="00E17C57">
      <w:pPr>
        <w:pStyle w:val="ListParagraph"/>
        <w:keepNext/>
        <w:keepLines/>
        <w:numPr>
          <w:ilvl w:val="0"/>
          <w:numId w:val="23"/>
        </w:numPr>
        <w:rPr>
          <w:rFonts w:ascii="Verdana" w:hAnsi="Verdana"/>
          <w:sz w:val="18"/>
          <w:szCs w:val="18"/>
        </w:rPr>
      </w:pPr>
      <w:r>
        <w:rPr>
          <w:rFonts w:ascii="Verdana" w:hAnsi="Verdana"/>
          <w:sz w:val="18"/>
        </w:rPr>
        <w:t>Προστίθενται τα ακόλουθα με αλφαβητική σειρά:</w:t>
      </w:r>
    </w:p>
    <w:p w:rsidR="00183469" w:rsidRPr="00A27E62" w:rsidRDefault="00740EC3" w:rsidP="00E17C57">
      <w:pPr>
        <w:ind w:left="1919" w:firstLine="709"/>
        <w:rPr>
          <w:rFonts w:ascii="Verdana" w:hAnsi="Verdana"/>
          <w:sz w:val="18"/>
          <w:szCs w:val="18"/>
        </w:rPr>
      </w:pPr>
      <w:r>
        <w:rPr>
          <w:rFonts w:ascii="Verdana" w:hAnsi="Verdana"/>
          <w:sz w:val="18"/>
        </w:rPr>
        <w:t>Aconitum carmichaelii·</w:t>
      </w:r>
    </w:p>
    <w:p w:rsidR="00740EC3" w:rsidRPr="00A27E62" w:rsidRDefault="00740EC3" w:rsidP="00E17C57">
      <w:pPr>
        <w:ind w:left="1919" w:firstLine="709"/>
        <w:rPr>
          <w:rFonts w:ascii="Verdana" w:hAnsi="Verdana"/>
          <w:sz w:val="18"/>
          <w:szCs w:val="18"/>
        </w:rPr>
      </w:pPr>
      <w:r>
        <w:rPr>
          <w:rFonts w:ascii="Verdana" w:hAnsi="Verdana"/>
          <w:sz w:val="18"/>
        </w:rPr>
        <w:t>Aconitum kusnezoffii·</w:t>
      </w:r>
    </w:p>
    <w:p w:rsidR="00740EC3" w:rsidRPr="00A27E62" w:rsidRDefault="00740EC3" w:rsidP="00E17C57">
      <w:pPr>
        <w:ind w:left="1919" w:firstLine="709"/>
        <w:rPr>
          <w:rFonts w:ascii="Verdana" w:hAnsi="Verdana"/>
          <w:sz w:val="18"/>
          <w:szCs w:val="18"/>
        </w:rPr>
      </w:pPr>
      <w:r>
        <w:rPr>
          <w:rFonts w:ascii="Verdana" w:hAnsi="Verdana"/>
          <w:sz w:val="18"/>
        </w:rPr>
        <w:t>Pilocarpus jaborandi.</w:t>
      </w:r>
    </w:p>
    <w:p w:rsidR="00183469" w:rsidRPr="00E17C57" w:rsidRDefault="00BB551C" w:rsidP="00147025">
      <w:pPr>
        <w:pStyle w:val="ListParagraph"/>
        <w:numPr>
          <w:ilvl w:val="0"/>
          <w:numId w:val="23"/>
        </w:numPr>
        <w:rPr>
          <w:rFonts w:ascii="Verdana" w:hAnsi="Verdana"/>
          <w:sz w:val="18"/>
          <w:szCs w:val="18"/>
        </w:rPr>
      </w:pPr>
      <w:r>
        <w:rPr>
          <w:rFonts w:ascii="Verdana" w:hAnsi="Verdana"/>
          <w:sz w:val="18"/>
        </w:rPr>
        <w:t>Η φράση «Brassica nigra (μαύρο σινάπι), εκτός της χρήσης σε τρόφιμα του σπόρου Bryonia alba (βρυωνία)» αντικαθίσταται από τη φράση «Brassica nigra (μαύρο σινάπι), εκτός της χρήσης σε τρόφιμα του σπόρου Bryonia alba (βρυωνία)».</w:t>
      </w:r>
    </w:p>
    <w:p w:rsidR="00740EC3" w:rsidRDefault="00740EC3" w:rsidP="00E17C57">
      <w:pPr>
        <w:pStyle w:val="ListParagraph"/>
        <w:numPr>
          <w:ilvl w:val="0"/>
          <w:numId w:val="23"/>
        </w:numPr>
        <w:rPr>
          <w:rFonts w:ascii="Verdana" w:hAnsi="Verdana"/>
          <w:sz w:val="18"/>
          <w:szCs w:val="18"/>
        </w:rPr>
      </w:pPr>
      <w:r>
        <w:rPr>
          <w:rFonts w:ascii="Verdana" w:hAnsi="Verdana"/>
          <w:sz w:val="18"/>
        </w:rPr>
        <w:t xml:space="preserve">Η φράση «Citrullus colocynthidis» αντικαθίσταται από τη φράση «Citrullus colocynthis». </w:t>
      </w:r>
    </w:p>
    <w:p w:rsidR="00740EC3" w:rsidRDefault="00740EC3" w:rsidP="00E17C57">
      <w:pPr>
        <w:pStyle w:val="ListParagraph"/>
        <w:numPr>
          <w:ilvl w:val="0"/>
          <w:numId w:val="23"/>
        </w:numPr>
        <w:rPr>
          <w:rFonts w:ascii="Verdana" w:hAnsi="Verdana"/>
          <w:sz w:val="18"/>
          <w:szCs w:val="18"/>
        </w:rPr>
      </w:pPr>
      <w:r>
        <w:rPr>
          <w:rFonts w:ascii="Verdana" w:hAnsi="Verdana"/>
          <w:sz w:val="18"/>
        </w:rPr>
        <w:t xml:space="preserve">Η φράση «Mallotus philipinensis» αντικαθίσταται από τη φράση «Mallotus philippensis». </w:t>
      </w:r>
    </w:p>
    <w:p w:rsidR="00740EC3" w:rsidRDefault="00740EC3" w:rsidP="00E17C57">
      <w:pPr>
        <w:pStyle w:val="ListParagraph"/>
        <w:numPr>
          <w:ilvl w:val="0"/>
          <w:numId w:val="23"/>
        </w:numPr>
        <w:rPr>
          <w:rFonts w:ascii="Verdana" w:hAnsi="Verdana"/>
          <w:sz w:val="18"/>
          <w:szCs w:val="18"/>
        </w:rPr>
      </w:pPr>
      <w:r>
        <w:rPr>
          <w:rFonts w:ascii="Verdana" w:hAnsi="Verdana"/>
          <w:sz w:val="18"/>
        </w:rPr>
        <w:t>Η φράση «Mandragora officinalis» αντικαθίσταται από τη φράση «Mandragora officinarum».</w:t>
      </w:r>
    </w:p>
    <w:p w:rsidR="00BB551C" w:rsidRPr="00C5642F" w:rsidRDefault="00740EC3" w:rsidP="00E17C57">
      <w:pPr>
        <w:pStyle w:val="ListParagraph"/>
        <w:numPr>
          <w:ilvl w:val="0"/>
          <w:numId w:val="23"/>
        </w:numPr>
        <w:rPr>
          <w:rFonts w:ascii="Verdana" w:hAnsi="Verdana"/>
          <w:sz w:val="18"/>
          <w:szCs w:val="18"/>
        </w:rPr>
      </w:pPr>
      <w:r>
        <w:rPr>
          <w:rFonts w:ascii="Verdana" w:hAnsi="Verdana"/>
          <w:sz w:val="18"/>
        </w:rPr>
        <w:t>Η φράση «Pausinystalia yohimbe ή Coynanthe yohimbe» αντικαθίσταται από τη φράση «Pausinystalia yohimbe ή Corynanthe yohimbe».</w:t>
      </w:r>
    </w:p>
    <w:p w:rsidR="00740EC3" w:rsidRPr="00C5642F" w:rsidRDefault="00BB551C" w:rsidP="00E17C57">
      <w:pPr>
        <w:pStyle w:val="ListParagraph"/>
        <w:numPr>
          <w:ilvl w:val="0"/>
          <w:numId w:val="23"/>
        </w:numPr>
        <w:rPr>
          <w:rFonts w:ascii="Verdana" w:hAnsi="Verdana"/>
          <w:sz w:val="18"/>
          <w:szCs w:val="18"/>
        </w:rPr>
      </w:pPr>
      <w:r>
        <w:rPr>
          <w:rFonts w:ascii="Verdana" w:hAnsi="Verdana"/>
          <w:sz w:val="18"/>
        </w:rPr>
        <w:t>Η δεύτερη στήλη και οι αριθμοί «1» που περιέχει διαγράφονται.</w:t>
      </w:r>
    </w:p>
    <w:p w:rsidR="007E7D62" w:rsidRDefault="007E7D62" w:rsidP="00E17C57">
      <w:pPr>
        <w:ind w:left="2268"/>
        <w:rPr>
          <w:rFonts w:ascii="Verdana" w:hAnsi="Verdana"/>
          <w:sz w:val="18"/>
          <w:szCs w:val="18"/>
        </w:rPr>
      </w:pPr>
    </w:p>
    <w:p w:rsidR="00E17C57" w:rsidRDefault="00E17C57" w:rsidP="00E17C57">
      <w:pPr>
        <w:ind w:left="2268"/>
        <w:rPr>
          <w:rFonts w:ascii="Verdana" w:hAnsi="Verdana"/>
          <w:sz w:val="18"/>
          <w:szCs w:val="18"/>
        </w:rPr>
      </w:pPr>
    </w:p>
    <w:p w:rsidR="00F517C1" w:rsidRPr="00F517C1" w:rsidRDefault="00F517C1" w:rsidP="00E17C57">
      <w:pPr>
        <w:keepNext/>
        <w:keepLines/>
        <w:ind w:left="2268"/>
        <w:rPr>
          <w:rFonts w:ascii="Verdana" w:hAnsi="Verdana"/>
          <w:b/>
          <w:sz w:val="18"/>
          <w:szCs w:val="18"/>
        </w:rPr>
      </w:pPr>
      <w:r>
        <w:rPr>
          <w:rFonts w:ascii="Verdana" w:hAnsi="Verdana"/>
          <w:b/>
          <w:sz w:val="18"/>
        </w:rPr>
        <w:t>Άρθρο II</w:t>
      </w:r>
    </w:p>
    <w:p w:rsidR="00F517C1" w:rsidRDefault="00F517C1" w:rsidP="00E17C57">
      <w:pPr>
        <w:keepNext/>
        <w:keepLines/>
        <w:ind w:left="2268"/>
        <w:rPr>
          <w:rFonts w:ascii="Verdana" w:hAnsi="Verdana"/>
          <w:sz w:val="18"/>
          <w:szCs w:val="18"/>
        </w:rPr>
      </w:pPr>
    </w:p>
    <w:p w:rsidR="00F517C1" w:rsidRDefault="008E734A" w:rsidP="00E17C57">
      <w:pPr>
        <w:keepNext/>
        <w:keepLines/>
        <w:ind w:left="2268"/>
        <w:rPr>
          <w:rFonts w:ascii="Verdana" w:hAnsi="Verdana"/>
          <w:sz w:val="18"/>
          <w:szCs w:val="18"/>
        </w:rPr>
      </w:pPr>
      <w:r>
        <w:rPr>
          <w:rFonts w:ascii="Verdana" w:hAnsi="Verdana"/>
          <w:sz w:val="18"/>
        </w:rPr>
        <w:t>Στην κατηγορία Γ-22 του παραρτήματος της απόφασης του νόμου περί εμπορευμάτων σχετικά με τα διοικητικά πρόστιμα προστίθεται μετά το στοιχείο Γ-22.4 το εξής νέο στοιχείο:</w:t>
      </w:r>
    </w:p>
    <w:tbl>
      <w:tblPr>
        <w:tblStyle w:val="TableGrid"/>
        <w:tblW w:w="0" w:type="auto"/>
        <w:tblInd w:w="2268" w:type="dxa"/>
        <w:tblLook w:val="04A0" w:firstRow="1" w:lastRow="0" w:firstColumn="1" w:lastColumn="0" w:noHBand="0" w:noVBand="1"/>
      </w:tblPr>
      <w:tblGrid>
        <w:gridCol w:w="1081"/>
        <w:gridCol w:w="3658"/>
        <w:gridCol w:w="831"/>
        <w:gridCol w:w="979"/>
        <w:gridCol w:w="402"/>
      </w:tblGrid>
      <w:tr w:rsidR="001960C4" w:rsidTr="00E17C57">
        <w:trPr>
          <w:cantSplit/>
        </w:trPr>
        <w:tc>
          <w:tcPr>
            <w:tcW w:w="1101" w:type="dxa"/>
          </w:tcPr>
          <w:p w:rsidR="001960C4" w:rsidRDefault="001960C4" w:rsidP="00E17C57">
            <w:pPr>
              <w:rPr>
                <w:rFonts w:ascii="Verdana" w:hAnsi="Verdana"/>
                <w:sz w:val="18"/>
                <w:szCs w:val="18"/>
              </w:rPr>
            </w:pPr>
            <w:r>
              <w:rPr>
                <w:rFonts w:ascii="Verdana" w:hAnsi="Verdana"/>
                <w:sz w:val="18"/>
              </w:rPr>
              <w:t>Γ-22.4.1</w:t>
            </w:r>
          </w:p>
        </w:tc>
        <w:tc>
          <w:tcPr>
            <w:tcW w:w="3827" w:type="dxa"/>
          </w:tcPr>
          <w:p w:rsidR="001960C4" w:rsidRDefault="001960C4" w:rsidP="00E17C57">
            <w:pPr>
              <w:rPr>
                <w:rFonts w:ascii="Verdana" w:hAnsi="Verdana"/>
                <w:sz w:val="18"/>
                <w:szCs w:val="18"/>
              </w:rPr>
            </w:pPr>
            <w:r>
              <w:rPr>
                <w:rFonts w:ascii="Verdana" w:hAnsi="Verdana"/>
                <w:sz w:val="18"/>
              </w:rPr>
              <w:t>άρθρο 2 σε συνδυασμό με το άρθρο 4 παράγραφος 4</w:t>
            </w:r>
          </w:p>
        </w:tc>
        <w:tc>
          <w:tcPr>
            <w:tcW w:w="842" w:type="dxa"/>
          </w:tcPr>
          <w:p w:rsidR="001960C4" w:rsidRDefault="001960C4" w:rsidP="00E17C57">
            <w:pPr>
              <w:rPr>
                <w:rFonts w:ascii="Verdana" w:hAnsi="Verdana"/>
                <w:sz w:val="18"/>
                <w:szCs w:val="18"/>
              </w:rPr>
            </w:pPr>
            <w:r>
              <w:rPr>
                <w:rFonts w:ascii="Verdana" w:hAnsi="Verdana"/>
                <w:sz w:val="18"/>
              </w:rPr>
              <w:t>525 ευρώ</w:t>
            </w:r>
          </w:p>
        </w:tc>
        <w:tc>
          <w:tcPr>
            <w:tcW w:w="1001" w:type="dxa"/>
          </w:tcPr>
          <w:p w:rsidR="001960C4" w:rsidRDefault="001960C4" w:rsidP="00E17C57">
            <w:pPr>
              <w:rPr>
                <w:rFonts w:ascii="Verdana" w:hAnsi="Verdana"/>
                <w:sz w:val="18"/>
                <w:szCs w:val="18"/>
              </w:rPr>
            </w:pPr>
            <w:r>
              <w:rPr>
                <w:rFonts w:ascii="Verdana" w:hAnsi="Verdana"/>
                <w:sz w:val="18"/>
              </w:rPr>
              <w:t>1 050 ευρώ</w:t>
            </w:r>
          </w:p>
        </w:tc>
        <w:tc>
          <w:tcPr>
            <w:tcW w:w="406" w:type="dxa"/>
          </w:tcPr>
          <w:p w:rsidR="001960C4" w:rsidRDefault="001960C4" w:rsidP="00E17C57">
            <w:pPr>
              <w:rPr>
                <w:rFonts w:ascii="Verdana" w:hAnsi="Verdana"/>
                <w:sz w:val="18"/>
                <w:szCs w:val="18"/>
              </w:rPr>
            </w:pPr>
            <w:r>
              <w:rPr>
                <w:rFonts w:ascii="Verdana" w:hAnsi="Verdana"/>
                <w:sz w:val="18"/>
              </w:rPr>
              <w:t>X</w:t>
            </w:r>
          </w:p>
        </w:tc>
      </w:tr>
    </w:tbl>
    <w:p w:rsidR="00B67E83" w:rsidRDefault="00B67E83" w:rsidP="00E17C57">
      <w:pPr>
        <w:ind w:left="2268"/>
        <w:rPr>
          <w:rFonts w:ascii="Verdana" w:hAnsi="Verdana"/>
          <w:sz w:val="18"/>
          <w:szCs w:val="18"/>
        </w:rPr>
      </w:pPr>
    </w:p>
    <w:p w:rsidR="001960C4" w:rsidRDefault="001960C4" w:rsidP="00E17C57">
      <w:pPr>
        <w:ind w:left="2268"/>
        <w:rPr>
          <w:rFonts w:ascii="Verdana" w:hAnsi="Verdana"/>
          <w:sz w:val="18"/>
          <w:szCs w:val="18"/>
        </w:rPr>
      </w:pPr>
    </w:p>
    <w:p w:rsidR="00B56093" w:rsidRPr="00B56093" w:rsidRDefault="00F517C1" w:rsidP="00E17C57">
      <w:pPr>
        <w:keepNext/>
        <w:keepLines/>
        <w:ind w:left="2268"/>
        <w:rPr>
          <w:rFonts w:ascii="Verdana" w:hAnsi="Verdana"/>
          <w:b/>
          <w:sz w:val="18"/>
          <w:szCs w:val="18"/>
        </w:rPr>
      </w:pPr>
      <w:r>
        <w:rPr>
          <w:rFonts w:ascii="Verdana" w:hAnsi="Verdana"/>
          <w:b/>
          <w:sz w:val="18"/>
        </w:rPr>
        <w:t>Άρθρο IIΙ</w:t>
      </w:r>
    </w:p>
    <w:p w:rsidR="00B56093" w:rsidRDefault="00B56093" w:rsidP="00E17C57">
      <w:pPr>
        <w:keepNext/>
        <w:keepLines/>
        <w:ind w:left="2268"/>
        <w:rPr>
          <w:rFonts w:ascii="Verdana" w:hAnsi="Verdana"/>
          <w:sz w:val="18"/>
          <w:szCs w:val="18"/>
        </w:rPr>
      </w:pPr>
    </w:p>
    <w:p w:rsidR="00D9610F" w:rsidRDefault="00D9610F" w:rsidP="00E17C57">
      <w:pPr>
        <w:ind w:left="2836" w:hanging="568"/>
        <w:rPr>
          <w:rFonts w:ascii="Verdana" w:hAnsi="Verdana"/>
          <w:sz w:val="18"/>
          <w:szCs w:val="18"/>
        </w:rPr>
      </w:pPr>
      <w:r>
        <w:rPr>
          <w:rFonts w:ascii="Verdana" w:hAnsi="Verdana"/>
          <w:sz w:val="18"/>
        </w:rPr>
        <w:t>Η παρούσα απόφαση τίθεται σε ισχύ την 1η Ιανουαρίου 2020.</w:t>
      </w:r>
    </w:p>
    <w:p w:rsidR="003143CD" w:rsidRPr="008F0589" w:rsidRDefault="003143CD" w:rsidP="00E17C57">
      <w:pPr>
        <w:ind w:left="2268"/>
        <w:rPr>
          <w:rFonts w:ascii="Verdana" w:hAnsi="Verdana"/>
          <w:sz w:val="18"/>
          <w:szCs w:val="18"/>
        </w:rPr>
      </w:pPr>
    </w:p>
    <w:p w:rsidR="003143CD" w:rsidRDefault="007E7D62" w:rsidP="00E17C57">
      <w:pPr>
        <w:ind w:left="2268"/>
        <w:rPr>
          <w:rFonts w:ascii="Verdana" w:hAnsi="Verdana"/>
          <w:snapToGrid w:val="0"/>
          <w:sz w:val="18"/>
          <w:szCs w:val="18"/>
        </w:rPr>
      </w:pPr>
      <w:r>
        <w:rPr>
          <w:rFonts w:ascii="Verdana" w:hAnsi="Verdana"/>
          <w:snapToGrid w:val="0"/>
          <w:sz w:val="18"/>
        </w:rPr>
        <w:t>Ορίζεται ότι η παρούσα απόφαση δημοσιεύεται μαζί με τη σχετική αιτιολογική έκθεση στην Εφημερίδα της Κυβερνήσεως (Staatsblad).</w:t>
      </w:r>
    </w:p>
    <w:p w:rsidR="003143CD" w:rsidRDefault="003143CD" w:rsidP="00E17C57">
      <w:pPr>
        <w:ind w:left="2268"/>
        <w:rPr>
          <w:rFonts w:ascii="Verdana" w:hAnsi="Verdana"/>
          <w:snapToGrid w:val="0"/>
          <w:sz w:val="18"/>
          <w:szCs w:val="18"/>
        </w:rPr>
      </w:pPr>
    </w:p>
    <w:p w:rsidR="003143CD" w:rsidRDefault="003143CD" w:rsidP="00E17C57">
      <w:pPr>
        <w:tabs>
          <w:tab w:val="left" w:pos="2268"/>
        </w:tabs>
        <w:ind w:left="2268"/>
        <w:rPr>
          <w:rFonts w:ascii="Verdana" w:hAnsi="Verdana"/>
          <w:kern w:val="2"/>
          <w:sz w:val="18"/>
          <w:szCs w:val="18"/>
        </w:rPr>
      </w:pPr>
      <w:r>
        <w:rPr>
          <w:rFonts w:ascii="Verdana" w:hAnsi="Verdana"/>
          <w:kern w:val="2"/>
          <w:sz w:val="18"/>
        </w:rPr>
        <w:t>Ο υπουργός Υγείας,</w:t>
      </w: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Pr="005B4FAB" w:rsidRDefault="003143CD" w:rsidP="00E17C57">
      <w:pPr>
        <w:tabs>
          <w:tab w:val="left" w:pos="2268"/>
        </w:tabs>
        <w:ind w:left="2268"/>
        <w:rPr>
          <w:rFonts w:ascii="Verdana" w:hAnsi="Verdana"/>
          <w:kern w:val="2"/>
          <w:sz w:val="18"/>
          <w:szCs w:val="18"/>
        </w:rPr>
      </w:pPr>
      <w:r>
        <w:rPr>
          <w:rFonts w:ascii="Verdana" w:hAnsi="Verdana"/>
          <w:kern w:val="2"/>
          <w:sz w:val="18"/>
        </w:rPr>
        <w:lastRenderedPageBreak/>
        <w:t>B.J. Bruins</w:t>
      </w:r>
    </w:p>
    <w:p w:rsidR="005B43ED" w:rsidRPr="00176336" w:rsidRDefault="007E7D62" w:rsidP="00E17C57">
      <w:pPr>
        <w:keepNext/>
        <w:keepLines/>
        <w:pageBreakBefore/>
        <w:tabs>
          <w:tab w:val="left" w:pos="2268"/>
        </w:tabs>
        <w:ind w:left="2268"/>
        <w:rPr>
          <w:rFonts w:ascii="Verdana" w:hAnsi="Verdana"/>
          <w:sz w:val="18"/>
          <w:szCs w:val="18"/>
        </w:rPr>
      </w:pPr>
      <w:r>
        <w:rPr>
          <w:rFonts w:ascii="Verdana" w:hAnsi="Verdana"/>
          <w:b/>
          <w:sz w:val="18"/>
        </w:rPr>
        <w:lastRenderedPageBreak/>
        <w:t>Αιτιολογική έκθεση</w:t>
      </w:r>
    </w:p>
    <w:p w:rsidR="00B24606" w:rsidRPr="00176336" w:rsidRDefault="00B24606" w:rsidP="00E17C57">
      <w:pPr>
        <w:keepNext/>
        <w:keepLines/>
        <w:tabs>
          <w:tab w:val="left" w:pos="2268"/>
        </w:tabs>
        <w:ind w:left="2268"/>
        <w:rPr>
          <w:rFonts w:ascii="Verdana" w:hAnsi="Verdana"/>
          <w:kern w:val="2"/>
          <w:sz w:val="18"/>
          <w:szCs w:val="18"/>
        </w:rPr>
      </w:pPr>
    </w:p>
    <w:p w:rsidR="0064439B" w:rsidRPr="00F07731" w:rsidRDefault="00F07731" w:rsidP="00E17C57">
      <w:pPr>
        <w:keepNext/>
        <w:keepLines/>
        <w:tabs>
          <w:tab w:val="left" w:pos="2268"/>
        </w:tabs>
        <w:ind w:left="2268"/>
        <w:rPr>
          <w:rFonts w:ascii="Verdana" w:hAnsi="Verdana"/>
          <w:b/>
          <w:kern w:val="2"/>
          <w:sz w:val="18"/>
          <w:szCs w:val="18"/>
        </w:rPr>
      </w:pPr>
      <w:r>
        <w:rPr>
          <w:rFonts w:ascii="Verdana" w:hAnsi="Verdana"/>
          <w:b/>
          <w:kern w:val="2"/>
          <w:sz w:val="18"/>
        </w:rPr>
        <w:t>1. Γενικά</w:t>
      </w:r>
    </w:p>
    <w:p w:rsidR="00B24606" w:rsidRPr="00176336" w:rsidRDefault="00B24606" w:rsidP="00E17C57">
      <w:pPr>
        <w:keepNext/>
        <w:keepLines/>
        <w:tabs>
          <w:tab w:val="left" w:pos="2268"/>
        </w:tabs>
        <w:ind w:left="2268"/>
        <w:rPr>
          <w:rFonts w:ascii="Verdana" w:hAnsi="Verdana"/>
          <w:kern w:val="2"/>
          <w:sz w:val="18"/>
          <w:szCs w:val="18"/>
        </w:rPr>
      </w:pPr>
    </w:p>
    <w:p w:rsidR="00B428D8" w:rsidRDefault="00B24606" w:rsidP="00E17C57">
      <w:pPr>
        <w:tabs>
          <w:tab w:val="left" w:pos="2268"/>
        </w:tabs>
        <w:ind w:left="2268"/>
        <w:rPr>
          <w:rFonts w:ascii="Verdana" w:hAnsi="Verdana"/>
          <w:kern w:val="2"/>
          <w:sz w:val="18"/>
          <w:szCs w:val="18"/>
        </w:rPr>
      </w:pPr>
      <w:r>
        <w:rPr>
          <w:rFonts w:ascii="Verdana" w:hAnsi="Verdana"/>
          <w:kern w:val="2"/>
          <w:sz w:val="18"/>
        </w:rPr>
        <w:t>Η απόφαση του νόμου περί εμπορευμάτων σχετικά με τα φυτικά παρασκευάσματα ορίζει απαιτήσεις σχετικά με τα φυτικά παρασκευάσματα με σκοπό την προστασία της δημόσιας υγείας. Βάσει των εκτιμήσεων κινδύνου των φυτών, η απόφαση συμπληρώνεται με επιβολή απαγόρευσης για ορισμένα φυτά. Ακόμα, επιλέγεται να συμπεριληφθεί επίσης στην απόφαση απαγόρευση στην ύπαρξη επιβλαβών ουσιών από φυτά και μύκητες σε φυτικά παρασκευάσματα (άρθρο Ι μέρος Α σημείο 2). Με τον τρόπο αυτό αυξάνεται η εκτελεσιμότητα της απόφασης του νόμου περί εμπορευμάτων σχετικά με τα φυτικά παρασκευάσματα. Έτσι, βελτιώνεται η προστασία των καταναλωτών από προϊόντα που μπορεί να είναι επιβλαβή για την υγεία.</w:t>
      </w:r>
    </w:p>
    <w:p w:rsidR="003B5162" w:rsidRDefault="003B5162" w:rsidP="00E17C57">
      <w:pPr>
        <w:tabs>
          <w:tab w:val="left" w:pos="2268"/>
        </w:tabs>
        <w:ind w:left="2268"/>
        <w:rPr>
          <w:rFonts w:ascii="Verdana" w:hAnsi="Verdana"/>
          <w:kern w:val="2"/>
          <w:sz w:val="18"/>
          <w:szCs w:val="18"/>
        </w:rPr>
      </w:pPr>
    </w:p>
    <w:p w:rsidR="003B5162" w:rsidRPr="003B5162" w:rsidRDefault="003B5162" w:rsidP="00E17C57">
      <w:pPr>
        <w:tabs>
          <w:tab w:val="left" w:pos="2268"/>
        </w:tabs>
        <w:ind w:left="2268"/>
        <w:rPr>
          <w:rFonts w:ascii="Verdana" w:hAnsi="Verdana"/>
          <w:kern w:val="2"/>
          <w:sz w:val="18"/>
          <w:szCs w:val="18"/>
        </w:rPr>
      </w:pPr>
      <w:r>
        <w:rPr>
          <w:rFonts w:ascii="Verdana" w:hAnsi="Verdana"/>
          <w:kern w:val="2"/>
          <w:sz w:val="18"/>
        </w:rPr>
        <w:t>Στο άρθρο 13δ του νόμου περί εμπορευμάτων περιλαμβάνεται ρήτρα αμοιβαίας αναγνώρισης. Η αρχή της αμοιβαίας αναγνώρισης συνεπάγεται ότι κράτος μέλος της ΕΕ δεν μπορεί να απαγορεύει την πώληση στην επικράτειά του εμπορευμάτων τα οποία έχουν νομίμως διατεθεί στο εμπόριο σε άλλο κράτος μέλος της ΕΕ, διότι αυτά τα εμπορεύματα δεν πληρούν τους εθνικούς κανόνες. Εν προκειμένω, είναι σημαντικό τα εμπορεύματα άλλου κράτους μέλους της ΕΕ να παρέχουν τουλάχιστον ισότιμο επίπεδο προστασίας. Ως εκ τούτου, η εμπορία προϊόντων με ισότιμο επίπεδο προστασίας, τα οποία προέρχονται από άλλα κράτη μέλη της ΕΕ και υπάγονται στο πεδίο εφαρμογής της παρούσας απόφασης, δεν απαγορεύεται λόγω απαιτήσεων που τίθενται στην απόφαση.</w:t>
      </w:r>
    </w:p>
    <w:p w:rsidR="003B5162" w:rsidRPr="003B5162" w:rsidRDefault="003B5162" w:rsidP="00E17C57">
      <w:pPr>
        <w:tabs>
          <w:tab w:val="left" w:pos="2268"/>
        </w:tabs>
        <w:ind w:left="2268"/>
        <w:rPr>
          <w:rFonts w:ascii="Verdana" w:hAnsi="Verdana"/>
          <w:kern w:val="2"/>
          <w:sz w:val="18"/>
          <w:szCs w:val="18"/>
        </w:rPr>
      </w:pPr>
    </w:p>
    <w:p w:rsidR="003B5162" w:rsidRDefault="003B5162" w:rsidP="00E17C57">
      <w:pPr>
        <w:tabs>
          <w:tab w:val="left" w:pos="2268"/>
        </w:tabs>
        <w:ind w:left="2268"/>
        <w:rPr>
          <w:rFonts w:ascii="Verdana" w:hAnsi="Verdana"/>
          <w:kern w:val="2"/>
          <w:sz w:val="18"/>
          <w:szCs w:val="18"/>
        </w:rPr>
      </w:pPr>
      <w:r>
        <w:rPr>
          <w:rFonts w:ascii="Verdana" w:hAnsi="Verdana"/>
          <w:kern w:val="2"/>
          <w:sz w:val="18"/>
        </w:rPr>
        <w:t>Οι απαιτήσεις που τίθενται για τα εμπορεύματα στην παρούσα απόφαση δικαιολογούνται για λόγους προστασίας των συμφερόντων των καταναλωτών από επισφαλή προϊόντα.</w:t>
      </w:r>
    </w:p>
    <w:p w:rsidR="00E17C57" w:rsidRPr="003B5162" w:rsidRDefault="00E17C57" w:rsidP="00E17C57">
      <w:pPr>
        <w:tabs>
          <w:tab w:val="left" w:pos="2268"/>
        </w:tabs>
        <w:ind w:left="2268"/>
        <w:rPr>
          <w:rFonts w:ascii="Verdana" w:hAnsi="Verdana"/>
          <w:kern w:val="2"/>
          <w:sz w:val="18"/>
          <w:szCs w:val="18"/>
        </w:rPr>
      </w:pPr>
    </w:p>
    <w:p w:rsidR="00B428D8" w:rsidRPr="00F07731" w:rsidRDefault="00F07731" w:rsidP="00E17C57">
      <w:pPr>
        <w:keepNext/>
        <w:keepLines/>
        <w:tabs>
          <w:tab w:val="left" w:pos="2268"/>
        </w:tabs>
        <w:ind w:left="2268"/>
        <w:rPr>
          <w:rFonts w:ascii="Verdana" w:hAnsi="Verdana"/>
          <w:b/>
          <w:kern w:val="2"/>
          <w:sz w:val="18"/>
          <w:szCs w:val="18"/>
        </w:rPr>
      </w:pPr>
      <w:r>
        <w:rPr>
          <w:rFonts w:ascii="Verdana" w:hAnsi="Verdana"/>
          <w:b/>
          <w:kern w:val="2"/>
          <w:sz w:val="18"/>
        </w:rPr>
        <w:t>2. Επιπτώσεις για την κανονιστική επιβάρυνση</w:t>
      </w:r>
    </w:p>
    <w:p w:rsidR="00B428D8" w:rsidRDefault="00B428D8" w:rsidP="00E17C57">
      <w:pPr>
        <w:keepNext/>
        <w:keepLines/>
        <w:tabs>
          <w:tab w:val="left" w:pos="2268"/>
        </w:tabs>
        <w:ind w:left="2268"/>
        <w:rPr>
          <w:rFonts w:ascii="Verdana" w:hAnsi="Verdana"/>
          <w:kern w:val="2"/>
          <w:sz w:val="18"/>
          <w:szCs w:val="18"/>
        </w:rPr>
      </w:pPr>
    </w:p>
    <w:p w:rsidR="00B428D8" w:rsidRDefault="00B428D8" w:rsidP="00E17C57">
      <w:pPr>
        <w:tabs>
          <w:tab w:val="left" w:pos="2268"/>
        </w:tabs>
        <w:ind w:left="2268"/>
        <w:rPr>
          <w:rFonts w:ascii="Verdana" w:hAnsi="Verdana"/>
          <w:kern w:val="2"/>
          <w:sz w:val="18"/>
          <w:szCs w:val="18"/>
        </w:rPr>
      </w:pPr>
      <w:r>
        <w:rPr>
          <w:rFonts w:ascii="Verdana" w:hAnsi="Verdana"/>
          <w:kern w:val="2"/>
          <w:sz w:val="18"/>
        </w:rPr>
        <w:t xml:space="preserve">Η παρούσα απόφαση αναμένεται να έχει περιορισμένες επιπτώσεις για την κανονιστική επιβάρυνση των επιχειρήσεων. Η ζήτηση από τον κλάδο καταδεικνύει ότι η ποσότητα των προϊόντων που πρέπει να υποβληθούν σε προσαρμογή είναι περιορισμένη. Με δεδομένο τον μεγάλο χρόνο προετοιμασίας της παρούσας τροποποίησης, στο πλαίσιο της οποίας διενεργήθηκαν πολλαπλές διαβουλεύσεις με τα μέρη, οι κατασκευαστές είχαν επιπλέον ήδη επαρκή χρόνο ώστε να μεριμνήσουν για τη συμμόρφωση των προϊόντων με τις νέες απαιτήσεις. Το κόστος κοινοποίησης είναι μηδενικό. Το αποτέλεσμα του ελέγχου του γνωμοδοτικού οργανισμού ελέγχου κανονιστικών επιβαρύνσεων (ATR) είναι διαθέσιμο στην ανάλυση και το συμπέρασμα αναφορικά με τις επιπτώσεις για την κανονιστική επιβάρυνση. </w:t>
      </w:r>
    </w:p>
    <w:p w:rsidR="00B428D8" w:rsidRDefault="00B428D8" w:rsidP="00E17C57">
      <w:pPr>
        <w:tabs>
          <w:tab w:val="left" w:pos="2268"/>
        </w:tabs>
        <w:ind w:left="2268"/>
        <w:rPr>
          <w:rFonts w:ascii="Verdana" w:hAnsi="Verdana"/>
          <w:kern w:val="2"/>
          <w:sz w:val="18"/>
          <w:szCs w:val="18"/>
        </w:rPr>
      </w:pPr>
    </w:p>
    <w:p w:rsidR="00B428D8" w:rsidRPr="00F07731" w:rsidRDefault="00F07731" w:rsidP="00E17C57">
      <w:pPr>
        <w:keepNext/>
        <w:keepLines/>
        <w:tabs>
          <w:tab w:val="left" w:pos="2268"/>
        </w:tabs>
        <w:ind w:left="2268"/>
        <w:rPr>
          <w:rFonts w:ascii="Verdana" w:hAnsi="Verdana"/>
          <w:b/>
          <w:kern w:val="2"/>
          <w:sz w:val="18"/>
          <w:szCs w:val="18"/>
        </w:rPr>
      </w:pPr>
      <w:r>
        <w:rPr>
          <w:rFonts w:ascii="Verdana" w:hAnsi="Verdana"/>
          <w:b/>
          <w:kern w:val="2"/>
          <w:sz w:val="18"/>
        </w:rPr>
        <w:t>3. Συμβούλιο ρύθμισης του νόμου περί εμπορευμάτων (ROW)</w:t>
      </w:r>
    </w:p>
    <w:p w:rsidR="00B428D8" w:rsidRPr="008F0589" w:rsidRDefault="00B428D8" w:rsidP="00E17C57">
      <w:pPr>
        <w:keepNext/>
        <w:keepLines/>
        <w:tabs>
          <w:tab w:val="left" w:pos="2268"/>
        </w:tabs>
        <w:ind w:left="2268"/>
        <w:rPr>
          <w:rFonts w:ascii="Verdana" w:hAnsi="Verdana"/>
          <w:kern w:val="2"/>
          <w:sz w:val="18"/>
          <w:szCs w:val="18"/>
        </w:rPr>
      </w:pPr>
    </w:p>
    <w:p w:rsidR="00B428D8" w:rsidRDefault="00B428D8" w:rsidP="00E17C57">
      <w:pPr>
        <w:tabs>
          <w:tab w:val="left" w:pos="2268"/>
        </w:tabs>
        <w:ind w:left="2268"/>
        <w:rPr>
          <w:rFonts w:ascii="Verdana" w:hAnsi="Verdana"/>
          <w:kern w:val="2"/>
          <w:sz w:val="18"/>
          <w:szCs w:val="18"/>
        </w:rPr>
      </w:pPr>
      <w:r>
        <w:rPr>
          <w:rFonts w:ascii="Verdana" w:hAnsi="Verdana"/>
          <w:kern w:val="2"/>
          <w:sz w:val="18"/>
        </w:rPr>
        <w:t>Το σχέδιο της παρούσας απόφασης έχει υποβληθεί στους συμμετέχοντες στο τακτικό συμβούλιο για τον νόμο περί εμπορευμάτων (ROW)</w:t>
      </w:r>
      <w:r>
        <w:rPr>
          <w:rStyle w:val="FootnoteReference"/>
          <w:rFonts w:ascii="Verdana" w:hAnsi="Verdana"/>
          <w:kern w:val="2"/>
          <w:sz w:val="18"/>
        </w:rPr>
        <w:footnoteReference w:id="1"/>
      </w:r>
      <w:r>
        <w:rPr>
          <w:rFonts w:ascii="Verdana" w:hAnsi="Verdana"/>
          <w:kern w:val="2"/>
          <w:sz w:val="18"/>
        </w:rPr>
        <w:t xml:space="preserve">. Από τις εργασίες αυτού προέκυψε ότι μια απαγόρευση στην ύπαρξη συνεφρίνης σε </w:t>
      </w:r>
      <w:r>
        <w:rPr>
          <w:rFonts w:ascii="Verdana" w:hAnsi="Verdana"/>
          <w:kern w:val="2"/>
          <w:sz w:val="18"/>
        </w:rPr>
        <w:lastRenderedPageBreak/>
        <w:t>φυτικά παρασκευάσματα δεν ήταν εφικτή, δεδομένου ότι η ουσία αυτή υπάρχει εκ φύσεως στα τρόφιμα (μεταξύ άλλων στη μαρμελάδα πορτοκάλι). Προκειμένου να διασφαλισθεί ότι οι καταναλωτές δεν θα εκτεθούν σε ποσότητες συνεφρίνης επιβλαβείς για την υγεία, ζητήθηκε από το Βασιλικό Ινστιτούτο Δημόσιας Υγείας και Περιβάλλοντος (εφεξής: RIVM) και την Υπηρεσία Εκτιμήσεων Κινδύνου και Έρευνας (εφεξής: BuRO) της Ολλανδικής Αρχής Τροφίμων και Εμπορευμάτων (εφεξής: NVWA) να γνωμοδοτήσουν σχετικά με τη μέγιστη ποσότητα συνεφρίνης στα φυτικά παρασκευάσματα. Με βάση την έκθεση του RIVM</w:t>
      </w:r>
      <w:r>
        <w:rPr>
          <w:rStyle w:val="FootnoteReference"/>
          <w:rFonts w:ascii="Verdana" w:hAnsi="Verdana"/>
          <w:kern w:val="2"/>
          <w:sz w:val="18"/>
        </w:rPr>
        <w:footnoteReference w:id="2"/>
      </w:r>
      <w:r>
        <w:rPr>
          <w:rFonts w:ascii="Verdana" w:hAnsi="Verdana"/>
          <w:kern w:val="2"/>
          <w:sz w:val="18"/>
        </w:rPr>
        <w:t>, η BuRO</w:t>
      </w:r>
      <w:r>
        <w:rPr>
          <w:rStyle w:val="FootnoteReference"/>
          <w:rFonts w:ascii="Verdana" w:hAnsi="Verdana"/>
          <w:kern w:val="2"/>
          <w:sz w:val="18"/>
        </w:rPr>
        <w:footnoteReference w:id="3"/>
      </w:r>
      <w:r>
        <w:rPr>
          <w:rFonts w:ascii="Verdana" w:hAnsi="Verdana"/>
          <w:kern w:val="2"/>
          <w:sz w:val="18"/>
        </w:rPr>
        <w:t xml:space="preserve"> συνιστά να περιοριστεί η μέγιστη ποσότητα συνεφρίνης στα φυτικά παρασκευάσματα σε μέγιστη λήψη 27 mg π-συνεφρίνης ημερησίως για χρήση σύμφωνα με τις οδηγίες χρήσης. Επιπλέον, απαγορεύεται η χρήση της μ-συνεφρίνης και της ο-συνεφρίνης στα φυτικά παρασκευάσματα. </w:t>
      </w:r>
    </w:p>
    <w:p w:rsidR="008E734A" w:rsidRDefault="00586978" w:rsidP="00E17C57">
      <w:pPr>
        <w:tabs>
          <w:tab w:val="left" w:pos="2268"/>
        </w:tabs>
        <w:ind w:left="2268"/>
        <w:rPr>
          <w:rFonts w:ascii="Verdana" w:hAnsi="Verdana"/>
          <w:kern w:val="2"/>
          <w:sz w:val="18"/>
          <w:szCs w:val="18"/>
        </w:rPr>
      </w:pPr>
      <w:r>
        <w:rPr>
          <w:rFonts w:ascii="Verdana" w:hAnsi="Verdana"/>
          <w:kern w:val="2"/>
          <w:sz w:val="18"/>
        </w:rPr>
        <w:t>Επίσης, το συμβούλιο ROW συζήτησε τι ακριβώς θα πρέπει να νοείται εφεξής με τον όρο «παράγωγα». Ετέθη το ερώτημα εάν είναι όντως αναγκαία η προσθήκη αυτή και, εάν ναι, ποιος θα ήταν ένας καλός ορισμός. Εξετάσθηκε και διαπιστώθηκε ότι είναι δυνατή η ύπαρξη πολλών παραγώγων της επιβλαβούς ουσίας και, ως εκ τούτου, αποφασίστηκε να συνεχιστεί η χρήση του όρου αυτού. Εν προκειμένω, νοείται η χρήση ουσιών που προέρχονται από μιαν άλλη ουσία.</w:t>
      </w:r>
    </w:p>
    <w:p w:rsidR="00A27E62" w:rsidRDefault="00A27E62" w:rsidP="00E17C57">
      <w:pPr>
        <w:tabs>
          <w:tab w:val="left" w:pos="2268"/>
        </w:tabs>
        <w:ind w:left="2268"/>
        <w:rPr>
          <w:rFonts w:ascii="Verdana" w:hAnsi="Verdana"/>
          <w:kern w:val="2"/>
          <w:sz w:val="18"/>
          <w:szCs w:val="18"/>
        </w:rPr>
      </w:pPr>
    </w:p>
    <w:p w:rsidR="00A27E62" w:rsidRDefault="00F07731" w:rsidP="00E17C57">
      <w:pPr>
        <w:keepNext/>
        <w:keepLines/>
        <w:tabs>
          <w:tab w:val="left" w:pos="2268"/>
        </w:tabs>
        <w:ind w:left="2268"/>
        <w:rPr>
          <w:rFonts w:ascii="Verdana" w:hAnsi="Verdana"/>
          <w:b/>
          <w:kern w:val="2"/>
          <w:sz w:val="18"/>
          <w:szCs w:val="18"/>
        </w:rPr>
      </w:pPr>
      <w:r>
        <w:rPr>
          <w:rFonts w:ascii="Verdana" w:hAnsi="Verdana"/>
          <w:b/>
          <w:kern w:val="2"/>
          <w:sz w:val="18"/>
        </w:rPr>
        <w:t>4. Εκτελεσιμότητα και εφαρμοσιμότητα</w:t>
      </w:r>
    </w:p>
    <w:p w:rsidR="00E17C57" w:rsidRDefault="00E17C57" w:rsidP="00E17C57">
      <w:pPr>
        <w:keepNext/>
        <w:keepLines/>
        <w:tabs>
          <w:tab w:val="left" w:pos="2268"/>
        </w:tabs>
        <w:ind w:left="2268"/>
        <w:rPr>
          <w:rFonts w:ascii="Verdana" w:hAnsi="Verdana"/>
          <w:kern w:val="2"/>
          <w:sz w:val="18"/>
          <w:szCs w:val="18"/>
        </w:rPr>
      </w:pPr>
    </w:p>
    <w:p w:rsidR="00A27E62" w:rsidRDefault="00A27E62" w:rsidP="00E17C57">
      <w:pPr>
        <w:tabs>
          <w:tab w:val="left" w:pos="2268"/>
        </w:tabs>
        <w:ind w:left="2268"/>
        <w:rPr>
          <w:rFonts w:ascii="Verdana" w:hAnsi="Verdana"/>
          <w:kern w:val="2"/>
          <w:sz w:val="18"/>
          <w:szCs w:val="18"/>
        </w:rPr>
      </w:pPr>
      <w:r>
        <w:rPr>
          <w:rFonts w:ascii="Verdana" w:hAnsi="Verdana"/>
          <w:kern w:val="2"/>
          <w:sz w:val="18"/>
        </w:rPr>
        <w:t xml:space="preserve">Το σχέδιο της παρούσας απόφασης υποβλήθηκε σε αξιολόγηση από την Ολλανδική Αρχή Τροφίμων και Εμπορευμάτων (NVWA) ως προς την εκτελεσιμότητα, την εφαρμοσιμότητα και τη θωράκιση του έναντι της απάτης. Η NVWA θεωρεί το σχέδιο απόφασης εκτελέσιμο και εφαρμόσιμο. Το σχέδιο απόφασης δεν οδήγησε σε παρατηρήσεις σχετικά με τη θωράκιση έναντι της απάτης. </w:t>
      </w:r>
    </w:p>
    <w:p w:rsidR="00586978" w:rsidRDefault="00586978" w:rsidP="00E17C57">
      <w:pPr>
        <w:tabs>
          <w:tab w:val="left" w:pos="2268"/>
        </w:tabs>
        <w:ind w:left="2268"/>
        <w:rPr>
          <w:rFonts w:ascii="Verdana" w:hAnsi="Verdana"/>
          <w:kern w:val="2"/>
          <w:sz w:val="18"/>
          <w:szCs w:val="18"/>
        </w:rPr>
      </w:pPr>
    </w:p>
    <w:p w:rsidR="008E734A" w:rsidRDefault="00F07731" w:rsidP="00E17C57">
      <w:pPr>
        <w:keepNext/>
        <w:keepLines/>
        <w:tabs>
          <w:tab w:val="left" w:pos="2268"/>
        </w:tabs>
        <w:ind w:left="2268"/>
        <w:rPr>
          <w:rFonts w:ascii="Verdana" w:hAnsi="Verdana"/>
          <w:b/>
          <w:kern w:val="2"/>
          <w:sz w:val="18"/>
          <w:szCs w:val="18"/>
        </w:rPr>
      </w:pPr>
      <w:r>
        <w:rPr>
          <w:rFonts w:ascii="Verdana" w:hAnsi="Verdana"/>
          <w:b/>
          <w:kern w:val="2"/>
          <w:sz w:val="18"/>
        </w:rPr>
        <w:t>5. Πρόταση</w:t>
      </w:r>
    </w:p>
    <w:p w:rsidR="00E17C57" w:rsidRDefault="00E17C57" w:rsidP="00E17C57">
      <w:pPr>
        <w:keepNext/>
        <w:keepLines/>
        <w:tabs>
          <w:tab w:val="left" w:pos="2268"/>
        </w:tabs>
        <w:ind w:left="2268"/>
        <w:rPr>
          <w:rFonts w:ascii="Verdana" w:hAnsi="Verdana"/>
          <w:kern w:val="2"/>
          <w:sz w:val="18"/>
          <w:szCs w:val="18"/>
        </w:rPr>
      </w:pPr>
    </w:p>
    <w:p w:rsidR="008E734A" w:rsidRPr="008E734A" w:rsidRDefault="008E734A" w:rsidP="00E17C57">
      <w:pPr>
        <w:tabs>
          <w:tab w:val="left" w:pos="2268"/>
        </w:tabs>
        <w:ind w:left="2268"/>
        <w:rPr>
          <w:rFonts w:ascii="Verdana" w:hAnsi="Verdana"/>
          <w:kern w:val="2"/>
          <w:sz w:val="18"/>
          <w:szCs w:val="18"/>
        </w:rPr>
      </w:pPr>
      <w:r>
        <w:rPr>
          <w:rFonts w:ascii="Verdana" w:hAnsi="Verdana"/>
          <w:kern w:val="2"/>
          <w:sz w:val="18"/>
        </w:rPr>
        <w:t xml:space="preserve">Σύμφωνα με το άρθρο 32β παράγραφος 2 του νόμου περί εμπορευμάτων, σχέδιο της παρούσας γενικής διοικητικής πράξης εστάλη στις </w:t>
      </w:r>
      <w:r>
        <w:rPr>
          <w:rFonts w:ascii="Verdana" w:hAnsi="Verdana"/>
          <w:b/>
          <w:kern w:val="2"/>
          <w:sz w:val="18"/>
        </w:rPr>
        <w:t>(ημερομηνία)</w:t>
      </w:r>
      <w:r>
        <w:rPr>
          <w:rFonts w:ascii="Verdana" w:hAnsi="Verdana"/>
          <w:kern w:val="2"/>
          <w:sz w:val="18"/>
        </w:rPr>
        <w:t xml:space="preserve"> τόσο στην Άνω όσο και στην Κάτω Βουλή (πρακτικά της Βουλής </w:t>
      </w:r>
      <w:r>
        <w:rPr>
          <w:rFonts w:ascii="Verdana" w:hAnsi="Verdana"/>
          <w:b/>
          <w:kern w:val="2"/>
          <w:sz w:val="18"/>
        </w:rPr>
        <w:t>Να συμπληρωθεί</w:t>
      </w:r>
      <w:r>
        <w:rPr>
          <w:rFonts w:ascii="Verdana" w:hAnsi="Verdana"/>
          <w:kern w:val="2"/>
          <w:sz w:val="18"/>
        </w:rPr>
        <w:t>).</w:t>
      </w:r>
    </w:p>
    <w:p w:rsidR="00610A2C" w:rsidRDefault="00610A2C" w:rsidP="00E17C57">
      <w:pPr>
        <w:tabs>
          <w:tab w:val="left" w:pos="2268"/>
        </w:tabs>
        <w:ind w:left="2268"/>
        <w:rPr>
          <w:rFonts w:ascii="Verdana" w:hAnsi="Verdana"/>
          <w:kern w:val="2"/>
          <w:sz w:val="18"/>
          <w:szCs w:val="18"/>
        </w:rPr>
      </w:pPr>
    </w:p>
    <w:p w:rsidR="00B428D8" w:rsidRPr="008F0589" w:rsidRDefault="00F07731" w:rsidP="00E17C57">
      <w:pPr>
        <w:keepNext/>
        <w:keepLines/>
        <w:tabs>
          <w:tab w:val="left" w:pos="2268"/>
        </w:tabs>
        <w:ind w:left="2268"/>
        <w:rPr>
          <w:rFonts w:ascii="Verdana" w:hAnsi="Verdana"/>
          <w:kern w:val="2"/>
          <w:sz w:val="18"/>
          <w:szCs w:val="18"/>
        </w:rPr>
      </w:pPr>
      <w:r>
        <w:rPr>
          <w:rFonts w:ascii="Verdana" w:hAnsi="Verdana"/>
          <w:b/>
          <w:kern w:val="2"/>
          <w:sz w:val="18"/>
        </w:rPr>
        <w:t>6. Κοινοποίηση</w:t>
      </w:r>
    </w:p>
    <w:p w:rsidR="00E17C57" w:rsidRDefault="00E17C57" w:rsidP="00E17C57">
      <w:pPr>
        <w:keepNext/>
        <w:keepLines/>
        <w:tabs>
          <w:tab w:val="left" w:pos="2268"/>
        </w:tabs>
        <w:ind w:left="2268"/>
        <w:rPr>
          <w:rFonts w:ascii="Verdana" w:hAnsi="Verdana"/>
          <w:sz w:val="18"/>
          <w:szCs w:val="18"/>
        </w:rPr>
      </w:pPr>
    </w:p>
    <w:p w:rsidR="00B428D8" w:rsidRDefault="009345F8" w:rsidP="00E17C57">
      <w:pPr>
        <w:tabs>
          <w:tab w:val="left" w:pos="2268"/>
        </w:tabs>
        <w:ind w:left="2268"/>
        <w:rPr>
          <w:rFonts w:ascii="Verdana" w:hAnsi="Verdana"/>
          <w:sz w:val="18"/>
          <w:szCs w:val="18"/>
        </w:rPr>
      </w:pPr>
      <w:r>
        <w:rPr>
          <w:rFonts w:ascii="Verdana" w:hAnsi="Verdana"/>
          <w:sz w:val="18"/>
        </w:rPr>
        <w:t>Το σχέδιο της παρούσας απόφασης κοινοποιήθηκε την ... στην Ευρωπαϊκή Επιτροπή κατ' εφαρμογή του άρθρου 5 παράγραφος 1 της οδηγίας (ΕΕ) 2015/1535</w:t>
      </w:r>
      <w:r>
        <w:rPr>
          <w:rStyle w:val="FootnoteReference"/>
          <w:rFonts w:ascii="Verdana" w:hAnsi="Verdana"/>
          <w:sz w:val="18"/>
        </w:rPr>
        <w:footnoteReference w:id="4"/>
      </w:r>
      <w:r>
        <w:rPr>
          <w:rFonts w:ascii="Verdana" w:hAnsi="Verdana"/>
          <w:sz w:val="18"/>
        </w:rPr>
        <w:t xml:space="preserve">. Η κοινοποίηση στην Ευρωπαϊκή Επιτροπή είναι αναγκαία, διότι το άρθρο Ι της παρούσας απόφασης περιέχει τεχνικές προδιαγραφές κατά την έννοια της οδηγίας (ΕΕ) 2015/1535. Σε συνέχεια της κοινοποίησης </w:t>
      </w:r>
    </w:p>
    <w:p w:rsidR="00E17C57" w:rsidRPr="00BB02A9" w:rsidRDefault="00E17C57" w:rsidP="00E17C57">
      <w:pPr>
        <w:tabs>
          <w:tab w:val="left" w:pos="2268"/>
        </w:tabs>
        <w:ind w:left="2268"/>
        <w:rPr>
          <w:rFonts w:ascii="Verdana" w:hAnsi="Verdana"/>
          <w:kern w:val="2"/>
          <w:sz w:val="18"/>
          <w:szCs w:val="18"/>
        </w:rPr>
      </w:pPr>
    </w:p>
    <w:p w:rsidR="00B428D8" w:rsidRPr="008F0589" w:rsidRDefault="00B428D8" w:rsidP="00E17C57">
      <w:pPr>
        <w:tabs>
          <w:tab w:val="left" w:pos="2268"/>
        </w:tabs>
        <w:ind w:left="2268"/>
        <w:rPr>
          <w:rFonts w:ascii="Verdana" w:hAnsi="Verdana"/>
          <w:kern w:val="2"/>
          <w:sz w:val="18"/>
          <w:szCs w:val="18"/>
        </w:rPr>
      </w:pPr>
      <w:r>
        <w:rPr>
          <w:rFonts w:ascii="Verdana" w:hAnsi="Verdana"/>
          <w:kern w:val="2"/>
          <w:sz w:val="18"/>
        </w:rPr>
        <w:t>Στον βαθμό που το σχέδιο απόφασης περιέχει ποσοτικούς περιορισμούς των εισαγωγών ή μέτρα ισοδύναμης ισχύος κατά την έννοια του άρθρου 34 της Συνθήκης για τη λειτουργία της Ευρωπαϊκής Ένωσης, αυτά τα μέτρα δικαιολογούνται με βάση την ανάγκη προστασίας της δημόσιας υγείας βάσει του άρθρου 36 της Συνθήκης.</w:t>
      </w:r>
    </w:p>
    <w:p w:rsidR="005E47AF" w:rsidRPr="005C6A30" w:rsidRDefault="005E47AF" w:rsidP="00E17C57">
      <w:pPr>
        <w:tabs>
          <w:tab w:val="left" w:pos="2268"/>
        </w:tabs>
        <w:ind w:left="2268"/>
        <w:rPr>
          <w:rFonts w:ascii="Verdana" w:hAnsi="Verdana"/>
          <w:kern w:val="2"/>
          <w:sz w:val="18"/>
          <w:szCs w:val="18"/>
        </w:rPr>
      </w:pPr>
    </w:p>
    <w:p w:rsidR="00A82D46" w:rsidRPr="005C6A30" w:rsidRDefault="00F07731" w:rsidP="00E17C57">
      <w:pPr>
        <w:keepNext/>
        <w:keepLines/>
        <w:tabs>
          <w:tab w:val="left" w:pos="2268"/>
        </w:tabs>
        <w:ind w:left="2268"/>
        <w:rPr>
          <w:rFonts w:ascii="Verdana" w:hAnsi="Verdana"/>
          <w:b/>
          <w:kern w:val="2"/>
          <w:sz w:val="18"/>
          <w:szCs w:val="18"/>
        </w:rPr>
      </w:pPr>
      <w:r>
        <w:rPr>
          <w:rFonts w:ascii="Verdana" w:hAnsi="Verdana"/>
          <w:b/>
          <w:kern w:val="2"/>
          <w:sz w:val="18"/>
        </w:rPr>
        <w:t>7. Παρατηρήσεις κατ’ άρθρο</w:t>
      </w:r>
    </w:p>
    <w:p w:rsidR="00F120A1" w:rsidRPr="005C6A30" w:rsidRDefault="00F120A1" w:rsidP="00E17C57">
      <w:pPr>
        <w:keepNext/>
        <w:keepLines/>
        <w:tabs>
          <w:tab w:val="left" w:pos="2268"/>
        </w:tabs>
        <w:ind w:left="2268"/>
        <w:rPr>
          <w:rFonts w:ascii="Verdana" w:hAnsi="Verdana"/>
          <w:kern w:val="2"/>
          <w:sz w:val="18"/>
          <w:szCs w:val="18"/>
        </w:rPr>
      </w:pPr>
    </w:p>
    <w:p w:rsidR="0095665C" w:rsidRPr="00AD2E4A" w:rsidRDefault="0095665C" w:rsidP="00E17C57">
      <w:pPr>
        <w:keepNext/>
        <w:keepLines/>
        <w:tabs>
          <w:tab w:val="left" w:pos="2268"/>
        </w:tabs>
        <w:ind w:left="2268"/>
        <w:rPr>
          <w:rFonts w:ascii="Verdana" w:hAnsi="Verdana"/>
          <w:i/>
          <w:kern w:val="2"/>
          <w:sz w:val="18"/>
          <w:szCs w:val="18"/>
        </w:rPr>
      </w:pPr>
      <w:r>
        <w:rPr>
          <w:rFonts w:ascii="Verdana" w:hAnsi="Verdana"/>
          <w:i/>
          <w:kern w:val="2"/>
          <w:sz w:val="18"/>
        </w:rPr>
        <w:t>Άρθρο I μέρος Α σημεία 1 και 4 και μέρος Δ σημείο 2</w:t>
      </w:r>
    </w:p>
    <w:p w:rsidR="00670294" w:rsidRDefault="00FC0162" w:rsidP="00E17C57">
      <w:pPr>
        <w:tabs>
          <w:tab w:val="left" w:pos="2268"/>
        </w:tabs>
        <w:ind w:left="2268"/>
        <w:rPr>
          <w:rFonts w:ascii="Verdana" w:hAnsi="Verdana"/>
          <w:kern w:val="2"/>
          <w:sz w:val="18"/>
          <w:szCs w:val="18"/>
        </w:rPr>
      </w:pPr>
      <w:r>
        <w:rPr>
          <w:rFonts w:ascii="Verdana" w:hAnsi="Verdana"/>
          <w:kern w:val="2"/>
          <w:sz w:val="18"/>
        </w:rPr>
        <w:t>Με την παρούσα τροποποίηση επιτυγχάνεται βελτίωση της εκτελεσιμότητας. Ως την έναρξη ισχύος της παρούσας απόφασης, το άρθρο 4 παράγραφος 1 της απόφασης του νόμου περί εμπορευμάτων σχετικά με τα φυτικά παρασκευάσματα είχε την ακόλουθη μορφή:</w:t>
      </w:r>
    </w:p>
    <w:p w:rsidR="00670294" w:rsidRPr="009345F8" w:rsidRDefault="00670294" w:rsidP="00E17C57">
      <w:pPr>
        <w:tabs>
          <w:tab w:val="left" w:pos="2268"/>
        </w:tabs>
        <w:ind w:left="2268"/>
        <w:rPr>
          <w:rFonts w:ascii="Verdana" w:hAnsi="Verdana"/>
          <w:i/>
          <w:kern w:val="2"/>
          <w:sz w:val="18"/>
          <w:szCs w:val="18"/>
        </w:rPr>
      </w:pPr>
      <w:r>
        <w:rPr>
          <w:rFonts w:ascii="Verdana" w:hAnsi="Verdana"/>
          <w:i/>
          <w:kern w:val="2"/>
          <w:sz w:val="18"/>
        </w:rPr>
        <w:t xml:space="preserve">Η ποσότητα των τοξικών αλκαλοειδών πυρρολιζιδίνης των φυτικών παρασκευασμάτων που αποτελούνται από υλικά που προέρχονται εξ ολοκλήρου ή εν μέρει από φυτά, κατά την έννοια του μέρους Ι του παραρτήματος, ή από άλλα φυτά που θεωρείται ότι περιέχουν τοξικά αλκαλοειδή πυρρολιζιδίνης δεν υπερβαίνει το 1 µg ανά κιλό ή ανά λίτρο. </w:t>
      </w:r>
    </w:p>
    <w:p w:rsidR="00670294" w:rsidRDefault="00670294" w:rsidP="00E17C57">
      <w:pPr>
        <w:tabs>
          <w:tab w:val="left" w:pos="2268"/>
        </w:tabs>
        <w:ind w:left="2268"/>
        <w:rPr>
          <w:rFonts w:ascii="Verdana" w:hAnsi="Verdana"/>
          <w:kern w:val="2"/>
          <w:sz w:val="18"/>
          <w:szCs w:val="18"/>
        </w:rPr>
      </w:pPr>
    </w:p>
    <w:p w:rsidR="00670294" w:rsidRDefault="00670294" w:rsidP="00E17C57">
      <w:pPr>
        <w:tabs>
          <w:tab w:val="left" w:pos="2268"/>
        </w:tabs>
        <w:ind w:left="2268"/>
        <w:rPr>
          <w:rFonts w:ascii="Verdana" w:hAnsi="Verdana"/>
          <w:kern w:val="2"/>
          <w:sz w:val="18"/>
          <w:szCs w:val="18"/>
        </w:rPr>
      </w:pPr>
      <w:r>
        <w:rPr>
          <w:rFonts w:ascii="Verdana" w:hAnsi="Verdana"/>
          <w:kern w:val="2"/>
          <w:sz w:val="18"/>
        </w:rPr>
        <w:t xml:space="preserve">Με τη διατύπωση αυτή, ο επιφορτισμένος με τον έλεγχο υπάλληλος δεν αρκούσε να διαπιστώσει την ύπαρξη υπερβολικά υψηλής ποσότητας τοξικών αλκαλοειδών πυρρολιζιδίνης σε ένα φυτικό παρασκεύασμα. Έπρεπε να αποδείξει επίσης την προέλευση αυτών. Αυτό δημιουργούσε προβλήματα κατά τον έλεγχο της συμμόρφωσης με την εν λόγω διάταξη. </w:t>
      </w:r>
    </w:p>
    <w:p w:rsidR="00670294" w:rsidRDefault="00670294" w:rsidP="00E17C57">
      <w:pPr>
        <w:tabs>
          <w:tab w:val="left" w:pos="2268"/>
        </w:tabs>
        <w:ind w:left="2268"/>
        <w:rPr>
          <w:rFonts w:ascii="Verdana" w:hAnsi="Verdana"/>
          <w:kern w:val="2"/>
          <w:sz w:val="18"/>
          <w:szCs w:val="18"/>
        </w:rPr>
      </w:pPr>
    </w:p>
    <w:p w:rsidR="00670294" w:rsidRPr="00B71129" w:rsidRDefault="00BB02A9" w:rsidP="00E17C57">
      <w:pPr>
        <w:tabs>
          <w:tab w:val="left" w:pos="2268"/>
        </w:tabs>
        <w:ind w:left="2268"/>
        <w:rPr>
          <w:rFonts w:ascii="Verdana" w:hAnsi="Verdana"/>
          <w:kern w:val="2"/>
          <w:sz w:val="18"/>
          <w:szCs w:val="18"/>
        </w:rPr>
      </w:pPr>
      <w:r>
        <w:rPr>
          <w:rFonts w:ascii="Verdana" w:hAnsi="Verdana"/>
          <w:kern w:val="2"/>
          <w:sz w:val="18"/>
        </w:rPr>
        <w:t xml:space="preserve">Με το άρθρο Ι μέρος Α σημείο 1 της παρούσας απόφασης επέρχεται τροποποίηση του άρθρου 4 παράγραφος 1 ώστε να πάψουν να υφίστανται τα προβλήματα που περιγράφονται στο προηγούμενο εδάφιο. Με την παράγραφο 1 τίθεται τώρα μέγιστη ποσότητα όσον αφορά τα τοξικά αλκαλοειδή πυρρολιζιδίνης στα φυτικά παρασκευάσματα, ανεξαρτήτως της προέλευσής τους. Ως εκ τούτου, μπορεί να διαγραφεί το μέρος Ι του παραρτήματος (άρθρο Ι μέρος Δ σημείο 2). </w:t>
      </w:r>
    </w:p>
    <w:p w:rsidR="00AB3B66" w:rsidRPr="00B71129" w:rsidRDefault="00AB3B66" w:rsidP="00E17C57">
      <w:pPr>
        <w:tabs>
          <w:tab w:val="left" w:pos="2268"/>
        </w:tabs>
        <w:ind w:left="2268"/>
        <w:rPr>
          <w:rFonts w:ascii="Verdana" w:hAnsi="Verdana"/>
          <w:kern w:val="2"/>
          <w:sz w:val="18"/>
          <w:szCs w:val="18"/>
        </w:rPr>
      </w:pPr>
    </w:p>
    <w:p w:rsidR="00430B87" w:rsidRPr="0042448A" w:rsidRDefault="00430B87" w:rsidP="00E17C57">
      <w:pPr>
        <w:ind w:left="2268"/>
        <w:rPr>
          <w:rFonts w:ascii="Verdana" w:hAnsi="Verdana"/>
          <w:sz w:val="18"/>
          <w:szCs w:val="18"/>
        </w:rPr>
      </w:pPr>
      <w:r>
        <w:rPr>
          <w:rFonts w:ascii="Verdana" w:hAnsi="Verdana"/>
          <w:sz w:val="18"/>
        </w:rPr>
        <w:t>Αναμένεται ότι σε σύντομο χρονικό διάστημα, θα συμπεριληφθούν οι απαιτήσεις σχετικά με τη μέγιστη ποσότητα αλκαλοειδών πυρρολιζιδίνης στα συμπληρώματα τροφίμων και τα φυτικά παρασκευάσματα που προβλέπονται στον κανονισμό (ΕΚ) 1881/2006</w:t>
      </w:r>
      <w:r>
        <w:rPr>
          <w:rStyle w:val="FootnoteReference"/>
          <w:rFonts w:ascii="Verdana" w:hAnsi="Verdana"/>
          <w:sz w:val="18"/>
        </w:rPr>
        <w:footnoteReference w:id="5"/>
      </w:r>
      <w:r>
        <w:rPr>
          <w:rFonts w:ascii="Verdana" w:hAnsi="Verdana"/>
          <w:sz w:val="18"/>
        </w:rPr>
        <w:t>. Εν αναμονή αυτού, προστίθεται νέα παράγραφος 6 στο άρθρο 4 της απόφασης του νόμου περί εμπορευμάτων σχετικά με τα φυτικά παρασκευάσματα, από την οποία απορρέει ότι η παράγραφος 1 δεν ισχύει εφόσον ισχύουν οι κανόνες που θεσπίζονται μέσω του κανονισμού (ΕΚ) 1881/2006. Με τη διάταξη αυτή αντιμετωπίζεται η μελλοντική διεύρυνση των διατάξεων του κανονισμού (ΕΚ) 1881/2006 αναφορικά με τα αλκαλοειδή πυρρολιζιδίνης.</w:t>
      </w:r>
    </w:p>
    <w:p w:rsidR="00430B87" w:rsidRPr="0042448A" w:rsidRDefault="00430B87" w:rsidP="00E17C57">
      <w:pPr>
        <w:ind w:left="2268"/>
        <w:rPr>
          <w:rFonts w:ascii="Verdana" w:hAnsi="Verdana"/>
          <w:sz w:val="18"/>
          <w:szCs w:val="18"/>
        </w:rPr>
      </w:pPr>
    </w:p>
    <w:p w:rsidR="00430B87" w:rsidRDefault="00430B87" w:rsidP="00E17C57">
      <w:pPr>
        <w:ind w:left="2268"/>
        <w:rPr>
          <w:rFonts w:ascii="Verdana" w:hAnsi="Verdana"/>
          <w:sz w:val="18"/>
          <w:szCs w:val="18"/>
        </w:rPr>
      </w:pPr>
      <w:r>
        <w:rPr>
          <w:rFonts w:ascii="Verdana" w:hAnsi="Verdana"/>
          <w:sz w:val="18"/>
        </w:rPr>
        <w:t>Για άλλα φυτικά παρασκευάσματα που δεν περιλαμβάνονται στο παράρτημα του κανονισμού (ΕΚ) 1881/2006, εξακολουθεί να ισχύει το ανώτατο όριο του άρθρου 4 παράγραφος 1 της απόφασης του νόμου περί εμπορευμάτων σχετικά με τα φυτικά παρασκευάσματα, και πιο συγκεκριμένα: 1 µg/kg ή ανά λίτρο.</w:t>
      </w:r>
    </w:p>
    <w:p w:rsidR="00E17C57" w:rsidRPr="00B71129" w:rsidRDefault="00E17C57" w:rsidP="00E17C57">
      <w:pPr>
        <w:ind w:left="2268"/>
        <w:rPr>
          <w:rFonts w:ascii="Verdana" w:hAnsi="Verdana"/>
          <w:sz w:val="18"/>
          <w:szCs w:val="18"/>
        </w:rPr>
      </w:pPr>
    </w:p>
    <w:p w:rsidR="00FC0162" w:rsidRPr="00B71129" w:rsidRDefault="00FC0162" w:rsidP="00E17C57">
      <w:pPr>
        <w:keepNext/>
        <w:keepLines/>
        <w:tabs>
          <w:tab w:val="left" w:pos="2268"/>
        </w:tabs>
        <w:ind w:left="2268"/>
        <w:rPr>
          <w:rFonts w:ascii="Verdana" w:hAnsi="Verdana"/>
          <w:i/>
          <w:kern w:val="2"/>
          <w:sz w:val="18"/>
          <w:szCs w:val="18"/>
        </w:rPr>
      </w:pPr>
      <w:r>
        <w:rPr>
          <w:rFonts w:ascii="Verdana" w:hAnsi="Verdana"/>
          <w:i/>
          <w:kern w:val="2"/>
          <w:sz w:val="18"/>
        </w:rPr>
        <w:t>Άρθρο I μέρος Α σημείο 2</w:t>
      </w:r>
    </w:p>
    <w:p w:rsidR="00FC0162" w:rsidRDefault="00FC0162" w:rsidP="00E17C57">
      <w:pPr>
        <w:tabs>
          <w:tab w:val="left" w:pos="2268"/>
        </w:tabs>
        <w:ind w:left="2268"/>
        <w:rPr>
          <w:rFonts w:ascii="Verdana" w:hAnsi="Verdana"/>
          <w:kern w:val="2"/>
          <w:sz w:val="18"/>
          <w:szCs w:val="18"/>
        </w:rPr>
      </w:pPr>
      <w:r>
        <w:rPr>
          <w:rFonts w:ascii="Verdana" w:hAnsi="Verdana"/>
          <w:kern w:val="2"/>
          <w:sz w:val="18"/>
        </w:rPr>
        <w:t>Στο άρθρο 4 παράγραφος 2 της απόφασης του νόμου περί εμπορευμάτων σχετικά με τα φυτικά παρασκευάσματα αναφέρεται σειρά ουσιών που δεν επιτρέπεται να είναι παρούσες στα φυτικά παρασκευάσματα με σκοπό την προστασία της δημόσιας υγείας. Με βάση την έρευνα</w:t>
      </w:r>
      <w:r>
        <w:rPr>
          <w:rStyle w:val="FootnoteReference"/>
          <w:rFonts w:ascii="Verdana" w:hAnsi="Verdana"/>
          <w:kern w:val="2"/>
          <w:sz w:val="18"/>
        </w:rPr>
        <w:footnoteReference w:id="6"/>
      </w:r>
      <w:r>
        <w:rPr>
          <w:rFonts w:ascii="Verdana" w:hAnsi="Verdana"/>
          <w:kern w:val="2"/>
          <w:sz w:val="18"/>
        </w:rPr>
        <w:t>, το RIVM συνέστησε διεύρυνση του εν λόγω καταλόγου ώστε να συμπεριληφθούν και ορισμένες άλλες ουσίες, με δεδομένες τις (πολύ) τοξικές ιδιότητες που φαίνεται να έχουν αυτές. Αυτές οι συστάσεις ακολουθήθηκαν. Ως εκ τούτου, οι εν λόγω ουσίες προστέθηκαν στο άρθρο 4 παράγραφος 2 της απόφασης του νόμου περί εμπορευμάτων σχετικά με τα φυτικά παρασκευάσματα. Τα παλαιά στοιχεία α) και β) (αριστολοχικά οξέα και αλκαλοϊδή του φυτού γιοχίμπε ή παράγωγα αυτών) προστίθενται στη συνέχεια με αλφαβητική σειρά στον νέο κατάλογο.</w:t>
      </w:r>
    </w:p>
    <w:p w:rsidR="00FC0162" w:rsidRDefault="00FC0162" w:rsidP="00E17C57">
      <w:pPr>
        <w:tabs>
          <w:tab w:val="left" w:pos="2268"/>
        </w:tabs>
        <w:ind w:left="2268"/>
        <w:rPr>
          <w:rFonts w:ascii="Verdana" w:hAnsi="Verdana"/>
          <w:kern w:val="2"/>
          <w:sz w:val="18"/>
          <w:szCs w:val="18"/>
        </w:rPr>
      </w:pPr>
    </w:p>
    <w:p w:rsidR="00FC0162" w:rsidRDefault="00FC0162" w:rsidP="00E17C57">
      <w:pPr>
        <w:tabs>
          <w:tab w:val="left" w:pos="2268"/>
        </w:tabs>
        <w:ind w:left="2268"/>
        <w:rPr>
          <w:rFonts w:ascii="Verdana" w:hAnsi="Verdana"/>
          <w:kern w:val="2"/>
          <w:sz w:val="18"/>
          <w:szCs w:val="18"/>
        </w:rPr>
      </w:pPr>
      <w:r>
        <w:rPr>
          <w:rFonts w:ascii="Verdana" w:hAnsi="Verdana"/>
          <w:kern w:val="2"/>
          <w:sz w:val="18"/>
        </w:rPr>
        <w:t>Το νέο στοιχείο ζ) αφορά το έλαιο που λαμβάνεται από το φυτό Artemisia absinthium. Στο στοιχείο αυτό ορίζεται ότι η απαγόρευση της ύπαρξης του εν λόγω ελαίου στα φυτικά παρασκευάσματα δεν ισχύει για την ύπαρξη θουιόνης σε ποτά που προέρχονται από είδη του φυτού Artemisia, εφόσον η ύπαρξη αυτή επιτρέπεται από το άρθρο 6 παράγραφος 2 και το παράρτημα ΙΙΙ μέρος Β του κανονισμού (ΕΚ) 1334/2008</w:t>
      </w:r>
      <w:r>
        <w:rPr>
          <w:rStyle w:val="FootnoteReference"/>
          <w:rFonts w:ascii="Verdana" w:hAnsi="Verdana"/>
          <w:kern w:val="2"/>
          <w:sz w:val="18"/>
        </w:rPr>
        <w:footnoteReference w:id="7"/>
      </w:r>
      <w:r>
        <w:rPr>
          <w:rFonts w:ascii="Verdana" w:hAnsi="Verdana"/>
          <w:kern w:val="2"/>
          <w:sz w:val="18"/>
        </w:rPr>
        <w:t xml:space="preserve">. </w:t>
      </w:r>
    </w:p>
    <w:p w:rsidR="00670294" w:rsidRDefault="00670294" w:rsidP="00E17C57">
      <w:pPr>
        <w:tabs>
          <w:tab w:val="left" w:pos="2268"/>
        </w:tabs>
        <w:ind w:left="2268"/>
        <w:rPr>
          <w:rFonts w:ascii="Verdana" w:hAnsi="Verdana"/>
          <w:kern w:val="2"/>
          <w:sz w:val="18"/>
          <w:szCs w:val="18"/>
        </w:rPr>
      </w:pPr>
    </w:p>
    <w:p w:rsidR="00AD2E4A" w:rsidRPr="00AD2E4A" w:rsidRDefault="00AD2E4A" w:rsidP="00E17C57">
      <w:pPr>
        <w:keepNext/>
        <w:keepLines/>
        <w:tabs>
          <w:tab w:val="left" w:pos="2268"/>
        </w:tabs>
        <w:ind w:left="2268"/>
        <w:rPr>
          <w:rFonts w:ascii="Verdana" w:hAnsi="Verdana"/>
          <w:i/>
          <w:kern w:val="2"/>
          <w:sz w:val="18"/>
          <w:szCs w:val="18"/>
        </w:rPr>
      </w:pPr>
      <w:r>
        <w:rPr>
          <w:rFonts w:ascii="Verdana" w:hAnsi="Verdana"/>
          <w:i/>
          <w:kern w:val="2"/>
          <w:sz w:val="18"/>
        </w:rPr>
        <w:t>Άρθρο I μέρος Α σημείο 3 και μέρος Δ σημεία 1 και 3</w:t>
      </w:r>
    </w:p>
    <w:p w:rsidR="00670294" w:rsidRDefault="005D7072" w:rsidP="00E17C57">
      <w:pPr>
        <w:tabs>
          <w:tab w:val="left" w:pos="2268"/>
        </w:tabs>
        <w:ind w:left="2268"/>
        <w:rPr>
          <w:rFonts w:ascii="Verdana" w:hAnsi="Verdana"/>
          <w:kern w:val="2"/>
          <w:sz w:val="18"/>
          <w:szCs w:val="18"/>
        </w:rPr>
      </w:pPr>
      <w:r>
        <w:rPr>
          <w:rFonts w:ascii="Verdana" w:hAnsi="Verdana"/>
          <w:kern w:val="2"/>
          <w:sz w:val="18"/>
        </w:rPr>
        <w:t>Κατά το χρονικό σημείο έναρξης ισχύος της παρούσας απόφασης, το παράρτημα της απόφασης του νόμου περί εμπορευμάτων σχετικά με τα φυτικά παρασκευάσματα περιλαμβάνει μόνο το μέρος ΙΙ αυτού, το οποίο χαρακτηρίζεται «το παράρτημα». Ως εκ τούτου, η παραπομπή στο άρθρο 4 μέρος 3 της απόφασης του νόμου περί εμπορευμάτων σχετικά με τα φυτικά παρασκευάσματα στο μέρος ΙΙ του παραρτήματος τροποποιείται σε παραπομπή στο «παράρτημα».</w:t>
      </w:r>
    </w:p>
    <w:p w:rsidR="00B561EB" w:rsidRDefault="00B561EB" w:rsidP="00E17C57">
      <w:pPr>
        <w:tabs>
          <w:tab w:val="left" w:pos="2268"/>
        </w:tabs>
        <w:ind w:left="2268"/>
        <w:rPr>
          <w:rFonts w:ascii="Verdana" w:hAnsi="Verdana"/>
          <w:kern w:val="2"/>
          <w:sz w:val="18"/>
          <w:szCs w:val="18"/>
        </w:rPr>
      </w:pPr>
    </w:p>
    <w:p w:rsidR="005059AF" w:rsidRPr="00485F0F" w:rsidRDefault="00485F0F" w:rsidP="00E17C57">
      <w:pPr>
        <w:keepNext/>
        <w:keepLines/>
        <w:tabs>
          <w:tab w:val="left" w:pos="2268"/>
        </w:tabs>
        <w:ind w:left="2268"/>
        <w:rPr>
          <w:rFonts w:ascii="Verdana" w:hAnsi="Verdana"/>
          <w:i/>
          <w:kern w:val="2"/>
          <w:sz w:val="18"/>
          <w:szCs w:val="18"/>
        </w:rPr>
      </w:pPr>
      <w:r>
        <w:rPr>
          <w:rFonts w:ascii="Verdana" w:hAnsi="Verdana"/>
          <w:i/>
          <w:kern w:val="2"/>
          <w:sz w:val="18"/>
        </w:rPr>
        <w:t>Άρθρο I μέρος Α σημείο 4</w:t>
      </w:r>
    </w:p>
    <w:p w:rsidR="003C006F" w:rsidRPr="00C5642F" w:rsidRDefault="003C006F" w:rsidP="00E17C57">
      <w:pPr>
        <w:tabs>
          <w:tab w:val="left" w:pos="2268"/>
        </w:tabs>
        <w:ind w:left="2268"/>
        <w:rPr>
          <w:rFonts w:ascii="Verdana" w:hAnsi="Verdana"/>
          <w:kern w:val="2"/>
          <w:sz w:val="18"/>
          <w:szCs w:val="18"/>
        </w:rPr>
      </w:pPr>
      <w:r>
        <w:rPr>
          <w:rFonts w:ascii="Verdana" w:hAnsi="Verdana"/>
          <w:kern w:val="2"/>
          <w:sz w:val="18"/>
        </w:rPr>
        <w:t>Με βάση την προαναφερθείσα έκθεση του RIVM και τη σύσταση της BuRO σχετικά με τη συνεφρίνη που βασίστηκε στην εν λόγω έκθεση, αποφασίστηκε να επιβληθεί απαγόρευση στην προσθήκη μ-συνεφρίνης και ο-συνεφρίνης στα φυτικά παρασκευάσματα. Με βάση τη σύσταση της BuRO, η μέγιστη ημερήσια ποσότητα των 27 mg π-συνεφρίνης συνεπάγεται λήψη αυτής από τα τρόφιμα. Αυτή η μέγιστη ποσότητα περιλαμβάνεται στο άρθρο 4 παράγραφος 4.</w:t>
      </w:r>
    </w:p>
    <w:p w:rsidR="008250DF" w:rsidRPr="008250DF" w:rsidRDefault="008250DF" w:rsidP="00E17C57">
      <w:pPr>
        <w:tabs>
          <w:tab w:val="left" w:pos="2268"/>
        </w:tabs>
        <w:ind w:left="2268"/>
        <w:rPr>
          <w:rFonts w:ascii="Verdana" w:hAnsi="Verdana"/>
          <w:kern w:val="2"/>
          <w:sz w:val="18"/>
          <w:szCs w:val="18"/>
        </w:rPr>
      </w:pPr>
      <w:r>
        <w:rPr>
          <w:rFonts w:ascii="Verdana" w:hAnsi="Verdana"/>
          <w:kern w:val="2"/>
          <w:sz w:val="18"/>
        </w:rPr>
        <w:t>Το φυτό Ricinus communis συμπεριελήφθη στο μέρος ΙΙ του παραρτήματος της απόφασης του νόμου περί εμπορευμάτων σχετικά με τα φυτικά παρασκευάσματα. Με το ισχύον άρθρο 4 παράγραφος 3 ορίζεται ότι τα φυτικά παρασκευάσματα δεν επιτρέπεται να περιέχουν καμία ουσία που προέρχεται εξ ολοκλήρου ή εν μέρει από το φυτό Ricinus communis. Ωστόσο, από την έρευνα του RIVM</w:t>
      </w:r>
      <w:r>
        <w:rPr>
          <w:rStyle w:val="FootnoteReference"/>
          <w:rFonts w:ascii="Verdana" w:hAnsi="Verdana"/>
          <w:kern w:val="2"/>
          <w:sz w:val="18"/>
        </w:rPr>
        <w:footnoteReference w:id="8"/>
      </w:r>
      <w:r>
        <w:rPr>
          <w:rFonts w:ascii="Verdana" w:hAnsi="Verdana"/>
          <w:kern w:val="2"/>
          <w:sz w:val="18"/>
        </w:rPr>
        <w:t xml:space="preserve"> προέκυψε ότι η λήψη έως 0,4 g ημερησίως ελαίου που λαμβάνεται από τους σπόρους του φυτού Ricinus communis δεν είναι επιβλαβής για τη δημόσια υγεία. Για τους λόγους αυτούς, στο άρθρο 4 της απόφασης του νόμου περί εμπορευμάτων σχετικά με τα φυτικά παρασκευάσματα προστέθηκε νέα παράγραφος 5, με την οποία επιτρέπονται τα ανωτέρω. </w:t>
      </w:r>
    </w:p>
    <w:p w:rsidR="00FC5154" w:rsidRDefault="00FC5154" w:rsidP="00E17C57">
      <w:pPr>
        <w:tabs>
          <w:tab w:val="left" w:pos="2268"/>
        </w:tabs>
        <w:ind w:left="2268"/>
        <w:rPr>
          <w:rFonts w:ascii="Verdana" w:hAnsi="Verdana"/>
          <w:kern w:val="2"/>
          <w:sz w:val="18"/>
          <w:szCs w:val="18"/>
        </w:rPr>
      </w:pPr>
    </w:p>
    <w:p w:rsidR="002714CE" w:rsidRPr="002714CE" w:rsidRDefault="002714CE" w:rsidP="00E17C57">
      <w:pPr>
        <w:keepNext/>
        <w:keepLines/>
        <w:tabs>
          <w:tab w:val="left" w:pos="2268"/>
        </w:tabs>
        <w:ind w:left="2268"/>
        <w:rPr>
          <w:rFonts w:ascii="Verdana" w:hAnsi="Verdana"/>
          <w:i/>
          <w:kern w:val="2"/>
          <w:sz w:val="18"/>
          <w:szCs w:val="18"/>
        </w:rPr>
      </w:pPr>
      <w:r>
        <w:rPr>
          <w:rFonts w:ascii="Verdana" w:hAnsi="Verdana"/>
          <w:i/>
          <w:kern w:val="2"/>
          <w:sz w:val="18"/>
        </w:rPr>
        <w:t>Άρθρο I μέρος Β</w:t>
      </w:r>
    </w:p>
    <w:p w:rsidR="002714CE" w:rsidRPr="003D0C77" w:rsidRDefault="002714CE" w:rsidP="00E17C57">
      <w:pPr>
        <w:tabs>
          <w:tab w:val="left" w:pos="2268"/>
        </w:tabs>
        <w:ind w:left="2268"/>
        <w:rPr>
          <w:rFonts w:ascii="Verdana" w:hAnsi="Verdana"/>
          <w:kern w:val="2"/>
          <w:sz w:val="18"/>
          <w:szCs w:val="18"/>
        </w:rPr>
      </w:pPr>
      <w:r>
        <w:rPr>
          <w:rFonts w:ascii="Verdana" w:hAnsi="Verdana"/>
          <w:kern w:val="2"/>
          <w:sz w:val="18"/>
        </w:rPr>
        <w:t xml:space="preserve">Στο άρθρο 6 προστίθεται νέα παράγραφος 3. Με αυτήν δημιουργείται η δυνατότητα ορισμού ειδικότερων κανόνων μέσω υπουργικού διατάγματος σχετικά με τις συστάσεις περί χρήσης και δοσολογίας κατά την έννοια των παραγράφων 1 και 2. Αυτές θα χρησιμοποιηθούν για ουσίες που σε περίπτωση συγκεκριμένης χρήσης και δοσολογίας μπορεί να επιφέρουν επιβλαβείς επιπτώσεις για την υγεία. Μέσω σύστασης περί χρήσης και δοσολογίας, οι καταναλωτές μπορούν να προειδοποιούνται σχετικά. </w:t>
      </w:r>
    </w:p>
    <w:p w:rsidR="00FC5154" w:rsidRDefault="00FC5154" w:rsidP="00E17C57">
      <w:pPr>
        <w:tabs>
          <w:tab w:val="left" w:pos="2268"/>
        </w:tabs>
        <w:ind w:left="2268"/>
        <w:rPr>
          <w:rFonts w:ascii="Verdana" w:hAnsi="Verdana"/>
          <w:kern w:val="2"/>
          <w:sz w:val="18"/>
          <w:szCs w:val="18"/>
        </w:rPr>
      </w:pPr>
    </w:p>
    <w:p w:rsidR="003143CD" w:rsidRPr="003143CD" w:rsidRDefault="003143CD" w:rsidP="00E17C57">
      <w:pPr>
        <w:keepNext/>
        <w:keepLines/>
        <w:tabs>
          <w:tab w:val="left" w:pos="2268"/>
        </w:tabs>
        <w:ind w:left="2268"/>
        <w:rPr>
          <w:rFonts w:ascii="Verdana" w:hAnsi="Verdana"/>
          <w:i/>
          <w:kern w:val="2"/>
          <w:sz w:val="18"/>
          <w:szCs w:val="18"/>
        </w:rPr>
      </w:pPr>
      <w:r>
        <w:rPr>
          <w:rFonts w:ascii="Verdana" w:hAnsi="Verdana"/>
          <w:i/>
          <w:kern w:val="2"/>
          <w:sz w:val="18"/>
        </w:rPr>
        <w:t>Άρθρο I μέρος Γ και μέρος Δ σημείο 10</w:t>
      </w:r>
    </w:p>
    <w:p w:rsidR="003143CD" w:rsidRDefault="003143CD" w:rsidP="00E17C57">
      <w:pPr>
        <w:tabs>
          <w:tab w:val="left" w:pos="2268"/>
        </w:tabs>
        <w:ind w:left="2268"/>
        <w:rPr>
          <w:rFonts w:ascii="Verdana" w:hAnsi="Verdana"/>
          <w:kern w:val="2"/>
          <w:sz w:val="18"/>
          <w:szCs w:val="18"/>
        </w:rPr>
      </w:pPr>
      <w:r>
        <w:rPr>
          <w:rFonts w:ascii="Verdana" w:hAnsi="Verdana"/>
          <w:kern w:val="2"/>
          <w:sz w:val="18"/>
        </w:rPr>
        <w:t>Η παρούσα τροποποίηση αφορά μεταβατικές διατάξεις που υποβλήθηκαν σε επεξεργασία.</w:t>
      </w:r>
    </w:p>
    <w:p w:rsidR="00E17C57" w:rsidRDefault="00E17C57" w:rsidP="00E17C57">
      <w:pPr>
        <w:tabs>
          <w:tab w:val="left" w:pos="2268"/>
        </w:tabs>
        <w:ind w:left="2268"/>
        <w:rPr>
          <w:rFonts w:ascii="Verdana" w:hAnsi="Verdana"/>
          <w:kern w:val="2"/>
          <w:sz w:val="18"/>
          <w:szCs w:val="18"/>
        </w:rPr>
      </w:pPr>
    </w:p>
    <w:p w:rsidR="00DE4D7B" w:rsidRPr="00DE4D7B" w:rsidRDefault="00773541" w:rsidP="00E17C57">
      <w:pPr>
        <w:keepNext/>
        <w:keepLines/>
        <w:tabs>
          <w:tab w:val="left" w:pos="2268"/>
        </w:tabs>
        <w:ind w:left="2268"/>
        <w:rPr>
          <w:rFonts w:ascii="Verdana" w:hAnsi="Verdana"/>
          <w:i/>
          <w:kern w:val="2"/>
          <w:sz w:val="18"/>
          <w:szCs w:val="18"/>
        </w:rPr>
      </w:pPr>
      <w:r>
        <w:rPr>
          <w:rFonts w:ascii="Verdana" w:hAnsi="Verdana"/>
          <w:i/>
          <w:kern w:val="2"/>
          <w:sz w:val="18"/>
        </w:rPr>
        <w:t>Άρθρο I μέρος Δ σημεία 4 έως και 9</w:t>
      </w:r>
    </w:p>
    <w:p w:rsidR="007C6E9D" w:rsidRDefault="007C6E9D" w:rsidP="00E17C57">
      <w:pPr>
        <w:tabs>
          <w:tab w:val="left" w:pos="2268"/>
        </w:tabs>
        <w:ind w:left="2268"/>
        <w:rPr>
          <w:rFonts w:ascii="Verdana" w:hAnsi="Verdana"/>
          <w:kern w:val="2"/>
          <w:sz w:val="18"/>
          <w:szCs w:val="18"/>
        </w:rPr>
      </w:pPr>
      <w:r>
        <w:rPr>
          <w:rFonts w:ascii="Verdana" w:hAnsi="Verdana"/>
          <w:kern w:val="2"/>
          <w:sz w:val="18"/>
        </w:rPr>
        <w:t>Με το τροποποιημένο άρθρο 4 παράγραφος 3 της απόφασης του νόμου περί εμπορευμάτων σχετικά με τα φυτικά παρασκευάσματα ορίζεται ότι τα φυτικά παρασκευάσματα δεν επιτρέπεται να περιέχουν καμία ουσία που προέρχεται εξ ολοκλήρου ή εν μέρει από τα φυτά και τους μύκητες που αναφέρονται στο παράρτημα. Στο παράρτημα (στο πρώην μέρος ΙΙ αυτού) προστίθενται ορισμένα φυτά αναφορικά με τις σοβαρές επιπτώσεις που μπορεί να έχουν για την υγεία (άρθρο Ι μέρος Δ σημείο 4).</w:t>
      </w:r>
    </w:p>
    <w:p w:rsidR="00DD3086" w:rsidRDefault="00DD3086" w:rsidP="00E17C57">
      <w:pPr>
        <w:tabs>
          <w:tab w:val="left" w:pos="2268"/>
        </w:tabs>
        <w:ind w:left="2268"/>
        <w:rPr>
          <w:rFonts w:ascii="Verdana" w:hAnsi="Verdana"/>
          <w:kern w:val="2"/>
          <w:sz w:val="18"/>
          <w:szCs w:val="18"/>
        </w:rPr>
      </w:pPr>
    </w:p>
    <w:p w:rsidR="007F2C23" w:rsidRDefault="00DD3086" w:rsidP="00E17C57">
      <w:pPr>
        <w:tabs>
          <w:tab w:val="left" w:pos="2268"/>
        </w:tabs>
        <w:ind w:left="2268"/>
        <w:rPr>
          <w:rFonts w:ascii="Verdana" w:hAnsi="Verdana"/>
          <w:kern w:val="2"/>
          <w:sz w:val="18"/>
          <w:szCs w:val="18"/>
        </w:rPr>
      </w:pPr>
      <w:r>
        <w:rPr>
          <w:rFonts w:ascii="Verdana" w:hAnsi="Verdana"/>
          <w:kern w:val="2"/>
          <w:sz w:val="18"/>
        </w:rPr>
        <w:t>Με το άρθρο Ι μέρος Δ σημεία 5 έως και 9 της παρούσας απόφασης αποκαθίστανται ορισμένες αδυναμίες που υπήρχαν στο προηγούμενο μέρος ΙΙ του παραρτήματος. Καταρχάς διορθώνονται ορισμένα τυπογραφικά σφάλματα. Κατά δεύτερον, αναφέρεται πλέον ρητά ότι το δηλητηριώδες φυτό Bryonia alba δεν έχει σχέση με το φυτό Brassica nigra (μαύρο σινάπι). Στο παράρτημα περιλαμβάνονταν ασκόπως και τα δύο μαζί στον κατάλογο. Τώρα τοποθετούνται το ένα κάτω από το άλλο, προκειμένου να καταστεί σαφές ότι πρόκειται για δύο διαφορετικά φυτά.</w:t>
      </w:r>
    </w:p>
    <w:p w:rsidR="00E17C57" w:rsidRDefault="00E17C57" w:rsidP="00E17C57">
      <w:pPr>
        <w:tabs>
          <w:tab w:val="left" w:pos="2268"/>
        </w:tabs>
        <w:ind w:left="2268"/>
        <w:rPr>
          <w:rFonts w:ascii="Verdana" w:hAnsi="Verdana"/>
          <w:kern w:val="2"/>
          <w:sz w:val="18"/>
          <w:szCs w:val="18"/>
        </w:rPr>
      </w:pPr>
    </w:p>
    <w:p w:rsidR="007F2C23" w:rsidRPr="00C93CDF" w:rsidRDefault="007F2C23" w:rsidP="00E17C57">
      <w:pPr>
        <w:keepNext/>
        <w:keepLines/>
        <w:tabs>
          <w:tab w:val="left" w:pos="2268"/>
        </w:tabs>
        <w:ind w:left="2268"/>
        <w:rPr>
          <w:rFonts w:ascii="Verdana" w:hAnsi="Verdana"/>
          <w:i/>
          <w:kern w:val="2"/>
          <w:sz w:val="18"/>
          <w:szCs w:val="18"/>
        </w:rPr>
      </w:pPr>
      <w:r>
        <w:rPr>
          <w:rFonts w:ascii="Verdana" w:hAnsi="Verdana"/>
          <w:i/>
          <w:kern w:val="2"/>
          <w:sz w:val="18"/>
        </w:rPr>
        <w:t>Άρθρο II</w:t>
      </w:r>
    </w:p>
    <w:p w:rsidR="003143CD" w:rsidRPr="00C93CDF" w:rsidRDefault="00C93CDF" w:rsidP="00E17C57">
      <w:pPr>
        <w:ind w:left="2268"/>
        <w:rPr>
          <w:rFonts w:ascii="Verdana" w:hAnsi="Verdana"/>
          <w:sz w:val="18"/>
          <w:szCs w:val="18"/>
        </w:rPr>
      </w:pPr>
      <w:r>
        <w:rPr>
          <w:rFonts w:ascii="Verdana" w:hAnsi="Verdana"/>
          <w:sz w:val="18"/>
        </w:rPr>
        <w:t>Το άρθρο 4 παράγραφος 5 της απόφασης του νόμου περί εμπορευμάτων σχετικά με τα φυτικά παρασκευάσματα προστίθεται στο παράρτημα της απόφασης του νόμου περί εμπορευμάτων σχετικά με τα διοικητικά πρόστιμα ώστε τυχόν παραβίαση αυτού να μπορεί να τιμωρηθεί με διοικητικό πρόστιμο.</w:t>
      </w:r>
    </w:p>
    <w:p w:rsidR="007F2C23" w:rsidRDefault="007F2C23"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r>
        <w:rPr>
          <w:rFonts w:ascii="Verdana" w:hAnsi="Verdana"/>
          <w:kern w:val="2"/>
          <w:sz w:val="18"/>
        </w:rPr>
        <w:t>Ο υπουργός Υγείας,</w:t>
      </w: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Pr="005B4FAB" w:rsidRDefault="003143CD" w:rsidP="00E17C57">
      <w:pPr>
        <w:tabs>
          <w:tab w:val="left" w:pos="2268"/>
        </w:tabs>
        <w:ind w:left="2268"/>
        <w:rPr>
          <w:rFonts w:ascii="Verdana" w:hAnsi="Verdana"/>
          <w:kern w:val="2"/>
          <w:sz w:val="18"/>
          <w:szCs w:val="18"/>
        </w:rPr>
      </w:pPr>
      <w:r>
        <w:rPr>
          <w:rFonts w:ascii="Verdana" w:hAnsi="Verdana"/>
          <w:kern w:val="2"/>
          <w:sz w:val="18"/>
        </w:rPr>
        <w:t>B.J. Bruins</w:t>
      </w:r>
    </w:p>
    <w:sectPr w:rsidR="003143CD" w:rsidRPr="005B4FAB" w:rsidSect="00E17C57">
      <w:headerReference w:type="default" r:id="rId8"/>
      <w:footerReference w:type="default" r:id="rId9"/>
      <w:headerReference w:type="first" r:id="rId10"/>
      <w:footerReference w:type="first" r:id="rId11"/>
      <w:pgSz w:w="11906" w:h="16838" w:code="9"/>
      <w:pgMar w:top="1763" w:right="1826" w:bottom="1134" w:left="851" w:header="0" w:footer="45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7D4" w:rsidRDefault="00D107D4">
      <w:r>
        <w:separator/>
      </w:r>
    </w:p>
  </w:endnote>
  <w:endnote w:type="continuationSeparator" w:id="0">
    <w:p w:rsidR="00D107D4" w:rsidRDefault="00D1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reekNumbers">
    <w:panose1 w:val="02010101010101010101"/>
    <w:charset w:val="00"/>
    <w:family w:val="auto"/>
    <w:pitch w:val="variable"/>
    <w:sig w:usb0="C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027" w:usb1="00000040" w:usb2="00000000" w:usb3="00000000" w:csb0="0000001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380"/>
      <w:docPartObj>
        <w:docPartGallery w:val="Page Numbers (Bottom of Page)"/>
        <w:docPartUnique/>
      </w:docPartObj>
    </w:sdtPr>
    <w:sdtEndPr/>
    <w:sdtContent>
      <w:p w:rsidR="002E5EAB" w:rsidRDefault="00567EE1">
        <w:pPr>
          <w:pStyle w:val="Footer"/>
          <w:jc w:val="right"/>
        </w:pPr>
        <w:r>
          <w:rPr>
            <w:noProof/>
          </w:rPr>
          <w:fldChar w:fldCharType="begin"/>
        </w:r>
        <w:r>
          <w:rPr>
            <w:noProof/>
          </w:rPr>
          <w:instrText xml:space="preserve"> PAGE   \* MERGEFORMAT </w:instrText>
        </w:r>
        <w:r>
          <w:rPr>
            <w:noProof/>
          </w:rPr>
          <w:fldChar w:fldCharType="separate"/>
        </w:r>
        <w:r w:rsidR="00AA2FE0">
          <w:rPr>
            <w:noProof/>
          </w:rPr>
          <w:t>10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663189"/>
      <w:docPartObj>
        <w:docPartGallery w:val="Page Numbers (Bottom of Page)"/>
        <w:docPartUnique/>
      </w:docPartObj>
    </w:sdtPr>
    <w:sdtEndPr/>
    <w:sdtContent>
      <w:p w:rsidR="002E5EAB" w:rsidRDefault="00567EE1">
        <w:pPr>
          <w:pStyle w:val="Footer"/>
          <w:jc w:val="right"/>
        </w:pPr>
        <w:r>
          <w:rPr>
            <w:noProof/>
          </w:rPr>
          <w:fldChar w:fldCharType="begin"/>
        </w:r>
        <w:r>
          <w:rPr>
            <w:noProof/>
          </w:rPr>
          <w:instrText xml:space="preserve"> PAGE   \* MERGEFORMAT </w:instrText>
        </w:r>
        <w:r>
          <w:rPr>
            <w:noProof/>
          </w:rPr>
          <w:fldChar w:fldCharType="separate"/>
        </w:r>
        <w:r w:rsidR="00AA2FE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7D4" w:rsidRDefault="00D107D4">
      <w:r>
        <w:separator/>
      </w:r>
    </w:p>
  </w:footnote>
  <w:footnote w:type="continuationSeparator" w:id="0">
    <w:p w:rsidR="00D107D4" w:rsidRDefault="00D107D4">
      <w:r>
        <w:continuationSeparator/>
      </w:r>
    </w:p>
  </w:footnote>
  <w:footnote w:id="1">
    <w:p w:rsidR="002E5EAB" w:rsidRPr="004B6695" w:rsidRDefault="002E5EAB" w:rsidP="00B428D8">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Στο συμβούλιο ROW συμμετέχουν εκπρόσωποι επιχειρήσεων (βιομηχανίας και εμπορίου), καταναλωτών, υπουργείων (ιδίως του υπουργείου Δημόσιας Υγείας, Πρόνοιας και Αθλητισμού και του υπουργείου Γεωργίας, Φυσικού Περιβάλλοντος και Ποιότητας των Τροφίμων) και της Ολλανδικής Αρχής Τροφίμων και Εμπορευμάτων.</w:t>
      </w:r>
    </w:p>
  </w:footnote>
  <w:footnote w:id="2">
    <w:p w:rsidR="002E5EAB" w:rsidRPr="00AA2FE0" w:rsidRDefault="002E5EAB">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Εκτίμηση κινδύνου της συνεφρίνης (Risk assessment of synephrine), RIVM, 14 Μαρτίου 2018, https://www.rivm.nl/Documenten_en_publicaties/Wetenschappelijk/Rapporten/2018/maart/Risk_assessment_of_synephrine.</w:t>
      </w:r>
    </w:p>
  </w:footnote>
  <w:footnote w:id="3">
    <w:p w:rsidR="002E5EAB" w:rsidRPr="004B6695" w:rsidRDefault="002E5EAB">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Γνωμοδότηση της BuRO σχετικά με τη μέγιστη λήψη συνεφρίνης από φυτικά παρασκευάσματα της 26ης Μαρτίου 2018.</w:t>
      </w:r>
    </w:p>
  </w:footnote>
  <w:footnote w:id="4">
    <w:p w:rsidR="002E5EAB" w:rsidRPr="004B6695" w:rsidRDefault="002E5EAB" w:rsidP="009345F8">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(ΕΕ 2015, L 241).</w:t>
      </w:r>
    </w:p>
  </w:footnote>
  <w:footnote w:id="5">
    <w:p w:rsidR="00430B87" w:rsidRPr="004B6695" w:rsidRDefault="00430B87" w:rsidP="00430B87">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Κανονισμός (ΕΚ) αριθ. 1881/2006 της Επιτροπής, της 19ης Δεκεμβρίου 2006, για καθορισμό μέγιστων επιτρεπτών επιπέδων για ορισμένες ουσίες οι οποίες επιμολύνουν τα τρόφιμα (ΕΕ 2006, L 364).</w:t>
      </w:r>
    </w:p>
  </w:footnote>
  <w:footnote w:id="6">
    <w:p w:rsidR="002E5EAB" w:rsidRPr="004B6695" w:rsidRDefault="002E5EAB" w:rsidP="00FC0162">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RIVM (2008)· Εκτίμηση ειδών του κινεζικού ακόνιτου. Βασιλικό Ινστιτούτο Δημόσιας Υγείας και Περιβάλλοντος, Κέντρο Ουσιών και Εκτιμήσεων Κινδύνου (SIR), Bilthoven, 5 Δεκεμβρίου 2008.</w:t>
      </w:r>
    </w:p>
    <w:p w:rsidR="002E5EAB" w:rsidRPr="004B6695" w:rsidRDefault="002E5EAB" w:rsidP="00FC0162">
      <w:pPr>
        <w:pStyle w:val="FootnoteText"/>
        <w:rPr>
          <w:rFonts w:ascii="Verdana" w:hAnsi="Verdana"/>
          <w:sz w:val="16"/>
          <w:szCs w:val="16"/>
        </w:rPr>
      </w:pPr>
      <w:r>
        <w:rPr>
          <w:rFonts w:ascii="Verdana" w:hAnsi="Verdana"/>
          <w:sz w:val="16"/>
        </w:rPr>
        <w:t>RIVM (2011)· Εκτίμηση των κινδύνων για την υγεία από σειρά συγκεκριμένων ουσιών στα φυτικά παρασκευάσματα. Βασιλικό Ινστιτούτο Δημόσιας Υγείας και Περιβάλλοντος, Κέντρο Ουσιών και Εκτιμήσεων Κινδύνου (SIR), Bilthoven, 30 Μαρτίου 2011.</w:t>
      </w:r>
    </w:p>
    <w:p w:rsidR="002E5EAB" w:rsidRPr="004B6695" w:rsidRDefault="002E5EAB" w:rsidP="00FC0162">
      <w:pPr>
        <w:pStyle w:val="FootnoteText"/>
        <w:rPr>
          <w:rFonts w:ascii="Verdana" w:hAnsi="Verdana"/>
          <w:sz w:val="16"/>
          <w:szCs w:val="16"/>
        </w:rPr>
      </w:pPr>
      <w:r>
        <w:rPr>
          <w:rFonts w:ascii="Verdana" w:hAnsi="Verdana"/>
          <w:sz w:val="16"/>
        </w:rPr>
        <w:t xml:space="preserve">RIVM (2009)· Εκτίμηση των κινδύνων για την υγεία από τα «απαγορευμένα φυτά»· αριθμός έκθεσης 320011002. Βασιλικό Ινστιτούτο Δημόσιας Υγείας και Περιβάλλοντος, Κέντρο Ουσιών και Εκτιμήσεων Κινδύνου (SIR), Bilthoven, 15 Ιουνίου 2009. </w:t>
      </w:r>
    </w:p>
    <w:p w:rsidR="002E5EAB" w:rsidRPr="004B6695" w:rsidRDefault="002E5EAB" w:rsidP="00FC0162">
      <w:pPr>
        <w:pStyle w:val="FootnoteText"/>
        <w:rPr>
          <w:rFonts w:ascii="Verdana" w:hAnsi="Verdana"/>
          <w:sz w:val="16"/>
          <w:szCs w:val="16"/>
        </w:rPr>
      </w:pPr>
      <w:r>
        <w:rPr>
          <w:rFonts w:ascii="Verdana" w:hAnsi="Verdana"/>
          <w:sz w:val="16"/>
        </w:rPr>
        <w:t>RIVM (2009)· Εκτίμηση κινδύνου του φυτού Pilocarpus jaborandi. Βασιλικό Ινστιτούτο Δημόσιας Υγείας και Περιβάλλοντος, Κέντρο Ουσιών και Εκτιμήσεων Κινδύνου (SIR), Bilthoven, 14 Δεκεμβρίου 2009.</w:t>
      </w:r>
    </w:p>
    <w:p w:rsidR="002E5EAB" w:rsidRPr="004B6695" w:rsidRDefault="002E5EAB" w:rsidP="008E734A">
      <w:pPr>
        <w:pStyle w:val="FootnoteText"/>
        <w:rPr>
          <w:rFonts w:ascii="Verdana" w:hAnsi="Verdana"/>
          <w:sz w:val="16"/>
          <w:szCs w:val="16"/>
        </w:rPr>
      </w:pPr>
      <w:r>
        <w:rPr>
          <w:rFonts w:ascii="Verdana" w:hAnsi="Verdana"/>
          <w:sz w:val="16"/>
        </w:rPr>
        <w:t>RIVM (2010)· Εκτίμηση του αιτήματος κατάργησης της απόφασης του νόμου περί εμπορευμάτων σχετικά με τα φυτικά παρασκευάσματα για το ρετσινόλαδο. Βασιλικό Ινστιτούτο Δημόσιας Υγείας και Περιβάλλοντος, Κέντρο Ουσιών και Εκτιμήσεων Κινδύνου (SIR), Bilthoven, 20 Δεκεμβρίου 2010.</w:t>
      </w:r>
    </w:p>
  </w:footnote>
  <w:footnote w:id="7">
    <w:p w:rsidR="002E5EAB" w:rsidRPr="004B6695" w:rsidRDefault="002E5EAB" w:rsidP="008E734A">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Κανονισμός (ΕΚ) αριθ. 1334/2013 του Ευρωπαϊκού Κοινοβουλίου και του Συμβουλίου της 16ης Δεκεμβρίου 2008 για αρωματικές ύλες και ορισμένα συστατικά τροφίμων με αρωματικές ιδιότητες που χρησιμοποιούνται εντός και επί των τροφίμων και για την τροποποίηση του κανονισμού (ΕΟΚ) αριθ. 1601/91 του Συμβουλίου, του κανονισμού (ΕΚ) αριθ. 2232/96, του κανονισμού (ΕΚ) αριθ. 110/2008 και της οδηγίας 2000/13/ΕΚ (ΕΕ 2008, L 354).</w:t>
      </w:r>
    </w:p>
  </w:footnote>
  <w:footnote w:id="8">
    <w:p w:rsidR="002E5EAB" w:rsidRPr="004B6695" w:rsidRDefault="002E5EAB" w:rsidP="008E734A">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RIVM (2010)· Εκτίμηση του αιτήματος κατάργησης της απόφασης του νόμου περί εμπορευμάτων σχετικά με τα φυτικά παρασκευάσματα για το ρετσινόλαδο. Βασιλικό Ινστιτούτο Δημόσιας Υγείας και Περιβάλλοντος, Κέντρο Ουσιών και Εκτιμήσεων Κινδύνου (SIR), Bilthoven, 20 Δεκεμβρίου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AB" w:rsidRDefault="002E5EAB">
    <w:pPr>
      <w:pStyle w:val="Header"/>
      <w:spacing w:before="15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AB" w:rsidRDefault="002E5EAB">
    <w:pPr>
      <w:pStyle w:val="Header"/>
      <w:spacing w:before="1762" w:line="26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8B080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BBC7D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92CD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D42AF3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B4278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0A25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56266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E243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30C6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14032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64F44"/>
    <w:multiLevelType w:val="hybridMultilevel"/>
    <w:tmpl w:val="A8C2BD74"/>
    <w:lvl w:ilvl="0" w:tplc="C8FE2FB6">
      <w:start w:val="1"/>
      <w:numFmt w:val="decimal"/>
      <w:lvlText w:val="%1."/>
      <w:lvlJc w:val="left"/>
      <w:pPr>
        <w:ind w:left="2628" w:hanging="360"/>
      </w:pPr>
      <w:rPr>
        <w:rFonts w:hint="default"/>
      </w:rPr>
    </w:lvl>
    <w:lvl w:ilvl="1" w:tplc="04130019">
      <w:start w:val="1"/>
      <w:numFmt w:val="lowerLetter"/>
      <w:lvlText w:val="%2."/>
      <w:lvlJc w:val="left"/>
      <w:pPr>
        <w:ind w:left="3621"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1" w15:restartNumberingAfterBreak="0">
    <w:nsid w:val="09C574D1"/>
    <w:multiLevelType w:val="hybridMultilevel"/>
    <w:tmpl w:val="2F88DA6A"/>
    <w:lvl w:ilvl="0" w:tplc="C8FE2FB6">
      <w:start w:val="1"/>
      <w:numFmt w:val="decimal"/>
      <w:lvlText w:val="%1."/>
      <w:lvlJc w:val="left"/>
      <w:pPr>
        <w:ind w:left="2628" w:hanging="36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2" w15:restartNumberingAfterBreak="0">
    <w:nsid w:val="1A1A0FCE"/>
    <w:multiLevelType w:val="hybridMultilevel"/>
    <w:tmpl w:val="3D6CD478"/>
    <w:lvl w:ilvl="0" w:tplc="0413000F">
      <w:start w:val="1"/>
      <w:numFmt w:val="decimal"/>
      <w:lvlText w:val="%1."/>
      <w:lvlJc w:val="left"/>
      <w:pPr>
        <w:ind w:left="2988" w:hanging="360"/>
      </w:pPr>
      <w:rPr>
        <w:rFonts w:hint="default"/>
      </w:rPr>
    </w:lvl>
    <w:lvl w:ilvl="1" w:tplc="343C30F0">
      <w:start w:val="1"/>
      <w:numFmt w:val="lowerLetter"/>
      <w:lvlText w:val="%2)"/>
      <w:lvlJc w:val="left"/>
      <w:pPr>
        <w:ind w:left="3708" w:hanging="360"/>
      </w:pPr>
      <w:rPr>
        <w:rFonts w:ascii="GreekNumbers" w:hAnsi="GreekNumbers" w:hint="default"/>
      </w:rPr>
    </w:lvl>
    <w:lvl w:ilvl="2" w:tplc="0413001B" w:tentative="1">
      <w:start w:val="1"/>
      <w:numFmt w:val="lowerRoman"/>
      <w:lvlText w:val="%3."/>
      <w:lvlJc w:val="right"/>
      <w:pPr>
        <w:ind w:left="4428" w:hanging="180"/>
      </w:pPr>
    </w:lvl>
    <w:lvl w:ilvl="3" w:tplc="0413000F" w:tentative="1">
      <w:start w:val="1"/>
      <w:numFmt w:val="decimal"/>
      <w:lvlText w:val="%4."/>
      <w:lvlJc w:val="left"/>
      <w:pPr>
        <w:ind w:left="5148" w:hanging="360"/>
      </w:pPr>
    </w:lvl>
    <w:lvl w:ilvl="4" w:tplc="04130019" w:tentative="1">
      <w:start w:val="1"/>
      <w:numFmt w:val="lowerLetter"/>
      <w:lvlText w:val="%5."/>
      <w:lvlJc w:val="left"/>
      <w:pPr>
        <w:ind w:left="5868" w:hanging="360"/>
      </w:pPr>
    </w:lvl>
    <w:lvl w:ilvl="5" w:tplc="0413001B" w:tentative="1">
      <w:start w:val="1"/>
      <w:numFmt w:val="lowerRoman"/>
      <w:lvlText w:val="%6."/>
      <w:lvlJc w:val="right"/>
      <w:pPr>
        <w:ind w:left="6588" w:hanging="180"/>
      </w:pPr>
    </w:lvl>
    <w:lvl w:ilvl="6" w:tplc="0413000F" w:tentative="1">
      <w:start w:val="1"/>
      <w:numFmt w:val="decimal"/>
      <w:lvlText w:val="%7."/>
      <w:lvlJc w:val="left"/>
      <w:pPr>
        <w:ind w:left="7308" w:hanging="360"/>
      </w:pPr>
    </w:lvl>
    <w:lvl w:ilvl="7" w:tplc="04130019" w:tentative="1">
      <w:start w:val="1"/>
      <w:numFmt w:val="lowerLetter"/>
      <w:lvlText w:val="%8."/>
      <w:lvlJc w:val="left"/>
      <w:pPr>
        <w:ind w:left="8028" w:hanging="360"/>
      </w:pPr>
    </w:lvl>
    <w:lvl w:ilvl="8" w:tplc="0413001B" w:tentative="1">
      <w:start w:val="1"/>
      <w:numFmt w:val="lowerRoman"/>
      <w:lvlText w:val="%9."/>
      <w:lvlJc w:val="right"/>
      <w:pPr>
        <w:ind w:left="8748" w:hanging="180"/>
      </w:pPr>
    </w:lvl>
  </w:abstractNum>
  <w:abstractNum w:abstractNumId="13" w15:restartNumberingAfterBreak="0">
    <w:nsid w:val="26AA06D4"/>
    <w:multiLevelType w:val="hybridMultilevel"/>
    <w:tmpl w:val="FF7CE7A2"/>
    <w:lvl w:ilvl="0" w:tplc="04130019">
      <w:start w:val="1"/>
      <w:numFmt w:val="decimal"/>
      <w:lvlText w:val="%1."/>
      <w:lvlJc w:val="left"/>
      <w:pPr>
        <w:ind w:left="2628" w:hanging="360"/>
      </w:p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4" w15:restartNumberingAfterBreak="0">
    <w:nsid w:val="3D5A72BB"/>
    <w:multiLevelType w:val="hybridMultilevel"/>
    <w:tmpl w:val="9BC67F08"/>
    <w:lvl w:ilvl="0" w:tplc="0413000F">
      <w:start w:val="1"/>
      <w:numFmt w:val="decimal"/>
      <w:lvlText w:val="%1."/>
      <w:lvlJc w:val="left"/>
      <w:pPr>
        <w:ind w:left="3556" w:hanging="360"/>
      </w:pPr>
    </w:lvl>
    <w:lvl w:ilvl="1" w:tplc="04130019" w:tentative="1">
      <w:start w:val="1"/>
      <w:numFmt w:val="lowerLetter"/>
      <w:lvlText w:val="%2."/>
      <w:lvlJc w:val="left"/>
      <w:pPr>
        <w:ind w:left="4276" w:hanging="360"/>
      </w:pPr>
    </w:lvl>
    <w:lvl w:ilvl="2" w:tplc="0413001B" w:tentative="1">
      <w:start w:val="1"/>
      <w:numFmt w:val="lowerRoman"/>
      <w:lvlText w:val="%3."/>
      <w:lvlJc w:val="right"/>
      <w:pPr>
        <w:ind w:left="4996" w:hanging="180"/>
      </w:pPr>
    </w:lvl>
    <w:lvl w:ilvl="3" w:tplc="0413000F" w:tentative="1">
      <w:start w:val="1"/>
      <w:numFmt w:val="decimal"/>
      <w:lvlText w:val="%4."/>
      <w:lvlJc w:val="left"/>
      <w:pPr>
        <w:ind w:left="5716" w:hanging="360"/>
      </w:pPr>
    </w:lvl>
    <w:lvl w:ilvl="4" w:tplc="04130019" w:tentative="1">
      <w:start w:val="1"/>
      <w:numFmt w:val="lowerLetter"/>
      <w:lvlText w:val="%5."/>
      <w:lvlJc w:val="left"/>
      <w:pPr>
        <w:ind w:left="6436" w:hanging="360"/>
      </w:pPr>
    </w:lvl>
    <w:lvl w:ilvl="5" w:tplc="0413001B" w:tentative="1">
      <w:start w:val="1"/>
      <w:numFmt w:val="lowerRoman"/>
      <w:lvlText w:val="%6."/>
      <w:lvlJc w:val="right"/>
      <w:pPr>
        <w:ind w:left="7156" w:hanging="180"/>
      </w:pPr>
    </w:lvl>
    <w:lvl w:ilvl="6" w:tplc="0413000F" w:tentative="1">
      <w:start w:val="1"/>
      <w:numFmt w:val="decimal"/>
      <w:lvlText w:val="%7."/>
      <w:lvlJc w:val="left"/>
      <w:pPr>
        <w:ind w:left="7876" w:hanging="360"/>
      </w:pPr>
    </w:lvl>
    <w:lvl w:ilvl="7" w:tplc="04130019" w:tentative="1">
      <w:start w:val="1"/>
      <w:numFmt w:val="lowerLetter"/>
      <w:lvlText w:val="%8."/>
      <w:lvlJc w:val="left"/>
      <w:pPr>
        <w:ind w:left="8596" w:hanging="360"/>
      </w:pPr>
    </w:lvl>
    <w:lvl w:ilvl="8" w:tplc="0413001B" w:tentative="1">
      <w:start w:val="1"/>
      <w:numFmt w:val="lowerRoman"/>
      <w:lvlText w:val="%9."/>
      <w:lvlJc w:val="right"/>
      <w:pPr>
        <w:ind w:left="9316" w:hanging="180"/>
      </w:pPr>
    </w:lvl>
  </w:abstractNum>
  <w:abstractNum w:abstractNumId="15" w15:restartNumberingAfterBreak="0">
    <w:nsid w:val="46F72CB3"/>
    <w:multiLevelType w:val="hybridMultilevel"/>
    <w:tmpl w:val="26FCFD12"/>
    <w:lvl w:ilvl="0" w:tplc="2BEA3D76">
      <w:numFmt w:val="bullet"/>
      <w:lvlText w:val="-"/>
      <w:lvlJc w:val="left"/>
      <w:pPr>
        <w:ind w:left="2628" w:hanging="360"/>
      </w:pPr>
      <w:rPr>
        <w:rFonts w:ascii="Verdana" w:eastAsia="Times New Roman" w:hAnsi="Verdana" w:cs="Times New Roman" w:hint="default"/>
      </w:rPr>
    </w:lvl>
    <w:lvl w:ilvl="1" w:tplc="04130003" w:tentative="1">
      <w:start w:val="1"/>
      <w:numFmt w:val="bullet"/>
      <w:lvlText w:val="o"/>
      <w:lvlJc w:val="left"/>
      <w:pPr>
        <w:ind w:left="3348" w:hanging="360"/>
      </w:pPr>
      <w:rPr>
        <w:rFonts w:ascii="Courier New" w:hAnsi="Courier New" w:cs="Courier New" w:hint="default"/>
      </w:rPr>
    </w:lvl>
    <w:lvl w:ilvl="2" w:tplc="04130005" w:tentative="1">
      <w:start w:val="1"/>
      <w:numFmt w:val="bullet"/>
      <w:lvlText w:val=""/>
      <w:lvlJc w:val="left"/>
      <w:pPr>
        <w:ind w:left="4068" w:hanging="360"/>
      </w:pPr>
      <w:rPr>
        <w:rFonts w:ascii="Wingdings" w:hAnsi="Wingdings" w:hint="default"/>
      </w:rPr>
    </w:lvl>
    <w:lvl w:ilvl="3" w:tplc="04130001" w:tentative="1">
      <w:start w:val="1"/>
      <w:numFmt w:val="bullet"/>
      <w:lvlText w:val=""/>
      <w:lvlJc w:val="left"/>
      <w:pPr>
        <w:ind w:left="4788" w:hanging="360"/>
      </w:pPr>
      <w:rPr>
        <w:rFonts w:ascii="Symbol" w:hAnsi="Symbol" w:hint="default"/>
      </w:rPr>
    </w:lvl>
    <w:lvl w:ilvl="4" w:tplc="04130003" w:tentative="1">
      <w:start w:val="1"/>
      <w:numFmt w:val="bullet"/>
      <w:lvlText w:val="o"/>
      <w:lvlJc w:val="left"/>
      <w:pPr>
        <w:ind w:left="5508" w:hanging="360"/>
      </w:pPr>
      <w:rPr>
        <w:rFonts w:ascii="Courier New" w:hAnsi="Courier New" w:cs="Courier New" w:hint="default"/>
      </w:rPr>
    </w:lvl>
    <w:lvl w:ilvl="5" w:tplc="04130005" w:tentative="1">
      <w:start w:val="1"/>
      <w:numFmt w:val="bullet"/>
      <w:lvlText w:val=""/>
      <w:lvlJc w:val="left"/>
      <w:pPr>
        <w:ind w:left="6228" w:hanging="360"/>
      </w:pPr>
      <w:rPr>
        <w:rFonts w:ascii="Wingdings" w:hAnsi="Wingdings" w:hint="default"/>
      </w:rPr>
    </w:lvl>
    <w:lvl w:ilvl="6" w:tplc="04130001" w:tentative="1">
      <w:start w:val="1"/>
      <w:numFmt w:val="bullet"/>
      <w:lvlText w:val=""/>
      <w:lvlJc w:val="left"/>
      <w:pPr>
        <w:ind w:left="6948" w:hanging="360"/>
      </w:pPr>
      <w:rPr>
        <w:rFonts w:ascii="Symbol" w:hAnsi="Symbol" w:hint="default"/>
      </w:rPr>
    </w:lvl>
    <w:lvl w:ilvl="7" w:tplc="04130003" w:tentative="1">
      <w:start w:val="1"/>
      <w:numFmt w:val="bullet"/>
      <w:lvlText w:val="o"/>
      <w:lvlJc w:val="left"/>
      <w:pPr>
        <w:ind w:left="7668" w:hanging="360"/>
      </w:pPr>
      <w:rPr>
        <w:rFonts w:ascii="Courier New" w:hAnsi="Courier New" w:cs="Courier New" w:hint="default"/>
      </w:rPr>
    </w:lvl>
    <w:lvl w:ilvl="8" w:tplc="04130005" w:tentative="1">
      <w:start w:val="1"/>
      <w:numFmt w:val="bullet"/>
      <w:lvlText w:val=""/>
      <w:lvlJc w:val="left"/>
      <w:pPr>
        <w:ind w:left="8388" w:hanging="360"/>
      </w:pPr>
      <w:rPr>
        <w:rFonts w:ascii="Wingdings" w:hAnsi="Wingdings" w:hint="default"/>
      </w:rPr>
    </w:lvl>
  </w:abstractNum>
  <w:abstractNum w:abstractNumId="16" w15:restartNumberingAfterBreak="0">
    <w:nsid w:val="4B0679D7"/>
    <w:multiLevelType w:val="hybridMultilevel"/>
    <w:tmpl w:val="147C4076"/>
    <w:lvl w:ilvl="0" w:tplc="C8FE2FB6">
      <w:start w:val="1"/>
      <w:numFmt w:val="decimal"/>
      <w:lvlText w:val="%1."/>
      <w:lvlJc w:val="left"/>
      <w:pPr>
        <w:ind w:left="2628" w:hanging="360"/>
      </w:pPr>
      <w:rPr>
        <w:rFonts w:hint="default"/>
      </w:rPr>
    </w:lvl>
    <w:lvl w:ilvl="1" w:tplc="04130019">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7" w15:restartNumberingAfterBreak="0">
    <w:nsid w:val="4C8852E2"/>
    <w:multiLevelType w:val="hybridMultilevel"/>
    <w:tmpl w:val="D4F8BAFA"/>
    <w:lvl w:ilvl="0" w:tplc="04130019">
      <w:start w:val="1"/>
      <w:numFmt w:val="decimal"/>
      <w:lvlText w:val="%1."/>
      <w:lvlJc w:val="left"/>
      <w:pPr>
        <w:ind w:left="3556" w:hanging="360"/>
      </w:pPr>
    </w:lvl>
    <w:lvl w:ilvl="1" w:tplc="04130019" w:tentative="1">
      <w:start w:val="1"/>
      <w:numFmt w:val="lowerLetter"/>
      <w:lvlText w:val="%2."/>
      <w:lvlJc w:val="left"/>
      <w:pPr>
        <w:ind w:left="4276" w:hanging="360"/>
      </w:pPr>
    </w:lvl>
    <w:lvl w:ilvl="2" w:tplc="0413001B" w:tentative="1">
      <w:start w:val="1"/>
      <w:numFmt w:val="lowerRoman"/>
      <w:lvlText w:val="%3."/>
      <w:lvlJc w:val="right"/>
      <w:pPr>
        <w:ind w:left="4996" w:hanging="180"/>
      </w:pPr>
    </w:lvl>
    <w:lvl w:ilvl="3" w:tplc="0413000F" w:tentative="1">
      <w:start w:val="1"/>
      <w:numFmt w:val="decimal"/>
      <w:lvlText w:val="%4."/>
      <w:lvlJc w:val="left"/>
      <w:pPr>
        <w:ind w:left="5716" w:hanging="360"/>
      </w:pPr>
    </w:lvl>
    <w:lvl w:ilvl="4" w:tplc="04130019" w:tentative="1">
      <w:start w:val="1"/>
      <w:numFmt w:val="lowerLetter"/>
      <w:lvlText w:val="%5."/>
      <w:lvlJc w:val="left"/>
      <w:pPr>
        <w:ind w:left="6436" w:hanging="360"/>
      </w:pPr>
    </w:lvl>
    <w:lvl w:ilvl="5" w:tplc="0413001B" w:tentative="1">
      <w:start w:val="1"/>
      <w:numFmt w:val="lowerRoman"/>
      <w:lvlText w:val="%6."/>
      <w:lvlJc w:val="right"/>
      <w:pPr>
        <w:ind w:left="7156" w:hanging="180"/>
      </w:pPr>
    </w:lvl>
    <w:lvl w:ilvl="6" w:tplc="0413000F" w:tentative="1">
      <w:start w:val="1"/>
      <w:numFmt w:val="decimal"/>
      <w:lvlText w:val="%7."/>
      <w:lvlJc w:val="left"/>
      <w:pPr>
        <w:ind w:left="7876" w:hanging="360"/>
      </w:pPr>
    </w:lvl>
    <w:lvl w:ilvl="7" w:tplc="04130019" w:tentative="1">
      <w:start w:val="1"/>
      <w:numFmt w:val="lowerLetter"/>
      <w:lvlText w:val="%8."/>
      <w:lvlJc w:val="left"/>
      <w:pPr>
        <w:ind w:left="8596" w:hanging="360"/>
      </w:pPr>
    </w:lvl>
    <w:lvl w:ilvl="8" w:tplc="0413001B" w:tentative="1">
      <w:start w:val="1"/>
      <w:numFmt w:val="lowerRoman"/>
      <w:lvlText w:val="%9."/>
      <w:lvlJc w:val="right"/>
      <w:pPr>
        <w:ind w:left="9316" w:hanging="180"/>
      </w:pPr>
    </w:lvl>
  </w:abstractNum>
  <w:abstractNum w:abstractNumId="18" w15:restartNumberingAfterBreak="0">
    <w:nsid w:val="507B3795"/>
    <w:multiLevelType w:val="hybridMultilevel"/>
    <w:tmpl w:val="FF46A524"/>
    <w:lvl w:ilvl="0" w:tplc="A148D6C0">
      <w:start w:val="1"/>
      <w:numFmt w:val="decimal"/>
      <w:lvlText w:val="%1."/>
      <w:lvlJc w:val="left"/>
      <w:pPr>
        <w:ind w:left="2838" w:hanging="57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9" w15:restartNumberingAfterBreak="0">
    <w:nsid w:val="568E4EC0"/>
    <w:multiLevelType w:val="hybridMultilevel"/>
    <w:tmpl w:val="F878D528"/>
    <w:lvl w:ilvl="0" w:tplc="C02E45FA">
      <w:start w:val="1"/>
      <w:numFmt w:val="decimal"/>
      <w:lvlText w:val="%1."/>
      <w:lvlJc w:val="left"/>
      <w:pPr>
        <w:ind w:left="2628" w:hanging="36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20" w15:restartNumberingAfterBreak="0">
    <w:nsid w:val="7DAE4CB9"/>
    <w:multiLevelType w:val="hybridMultilevel"/>
    <w:tmpl w:val="F85A4AF2"/>
    <w:lvl w:ilvl="0" w:tplc="E8C447CE">
      <w:start w:val="1"/>
      <w:numFmt w:val="decimal"/>
      <w:lvlText w:val="%1."/>
      <w:lvlJc w:val="left"/>
      <w:pPr>
        <w:ind w:left="3198" w:hanging="360"/>
      </w:pPr>
      <w:rPr>
        <w:rFonts w:hint="default"/>
      </w:rPr>
    </w:lvl>
    <w:lvl w:ilvl="1" w:tplc="04130019" w:tentative="1">
      <w:start w:val="1"/>
      <w:numFmt w:val="lowerLetter"/>
      <w:lvlText w:val="%2."/>
      <w:lvlJc w:val="left"/>
      <w:pPr>
        <w:ind w:left="3918" w:hanging="360"/>
      </w:pPr>
    </w:lvl>
    <w:lvl w:ilvl="2" w:tplc="0413001B" w:tentative="1">
      <w:start w:val="1"/>
      <w:numFmt w:val="lowerRoman"/>
      <w:lvlText w:val="%3."/>
      <w:lvlJc w:val="right"/>
      <w:pPr>
        <w:ind w:left="4638" w:hanging="180"/>
      </w:pPr>
    </w:lvl>
    <w:lvl w:ilvl="3" w:tplc="0413000F" w:tentative="1">
      <w:start w:val="1"/>
      <w:numFmt w:val="decimal"/>
      <w:lvlText w:val="%4."/>
      <w:lvlJc w:val="left"/>
      <w:pPr>
        <w:ind w:left="5358" w:hanging="360"/>
      </w:pPr>
    </w:lvl>
    <w:lvl w:ilvl="4" w:tplc="04130019" w:tentative="1">
      <w:start w:val="1"/>
      <w:numFmt w:val="lowerLetter"/>
      <w:lvlText w:val="%5."/>
      <w:lvlJc w:val="left"/>
      <w:pPr>
        <w:ind w:left="6078" w:hanging="360"/>
      </w:pPr>
    </w:lvl>
    <w:lvl w:ilvl="5" w:tplc="0413001B" w:tentative="1">
      <w:start w:val="1"/>
      <w:numFmt w:val="lowerRoman"/>
      <w:lvlText w:val="%6."/>
      <w:lvlJc w:val="right"/>
      <w:pPr>
        <w:ind w:left="6798" w:hanging="180"/>
      </w:pPr>
    </w:lvl>
    <w:lvl w:ilvl="6" w:tplc="0413000F" w:tentative="1">
      <w:start w:val="1"/>
      <w:numFmt w:val="decimal"/>
      <w:lvlText w:val="%7."/>
      <w:lvlJc w:val="left"/>
      <w:pPr>
        <w:ind w:left="7518" w:hanging="360"/>
      </w:pPr>
    </w:lvl>
    <w:lvl w:ilvl="7" w:tplc="04130019" w:tentative="1">
      <w:start w:val="1"/>
      <w:numFmt w:val="lowerLetter"/>
      <w:lvlText w:val="%8."/>
      <w:lvlJc w:val="left"/>
      <w:pPr>
        <w:ind w:left="8238" w:hanging="360"/>
      </w:pPr>
    </w:lvl>
    <w:lvl w:ilvl="8" w:tplc="0413001B" w:tentative="1">
      <w:start w:val="1"/>
      <w:numFmt w:val="lowerRoman"/>
      <w:lvlText w:val="%9."/>
      <w:lvlJc w:val="right"/>
      <w:pPr>
        <w:ind w:left="8958"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2"/>
  </w:num>
  <w:num w:numId="23">
    <w:abstractNumId w:val="10"/>
  </w:num>
  <w:num w:numId="24">
    <w:abstractNumId w:val="11"/>
  </w:num>
  <w:num w:numId="25">
    <w:abstractNumId w:val="15"/>
  </w:num>
  <w:num w:numId="26">
    <w:abstractNumId w:val="13"/>
  </w:num>
  <w:num w:numId="27">
    <w:abstractNumId w:val="14"/>
  </w:num>
  <w:num w:numId="28">
    <w:abstractNumId w:val="17"/>
  </w:num>
  <w:num w:numId="29">
    <w:abstractNumId w:val="18"/>
  </w:num>
  <w:num w:numId="30">
    <w:abstractNumId w:val="2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activeWritingStyle w:appName="MSWord" w:lang="nl-NL" w:vendorID="9" w:dllVersion="512" w:checkStyle="1"/>
  <w:activeWritingStyle w:appName="MSWord" w:lang="nl-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D62"/>
    <w:rsid w:val="000306A1"/>
    <w:rsid w:val="000414C9"/>
    <w:rsid w:val="000446F2"/>
    <w:rsid w:val="0004538B"/>
    <w:rsid w:val="000478B3"/>
    <w:rsid w:val="000552D8"/>
    <w:rsid w:val="00060A6E"/>
    <w:rsid w:val="00060CB2"/>
    <w:rsid w:val="00063390"/>
    <w:rsid w:val="000634DB"/>
    <w:rsid w:val="00093369"/>
    <w:rsid w:val="000A1E70"/>
    <w:rsid w:val="000B2822"/>
    <w:rsid w:val="000C18E4"/>
    <w:rsid w:val="000C37A0"/>
    <w:rsid w:val="000E0515"/>
    <w:rsid w:val="000E23EB"/>
    <w:rsid w:val="000E2EAB"/>
    <w:rsid w:val="001037E8"/>
    <w:rsid w:val="00117420"/>
    <w:rsid w:val="001231D7"/>
    <w:rsid w:val="00145ED0"/>
    <w:rsid w:val="00176336"/>
    <w:rsid w:val="00183469"/>
    <w:rsid w:val="001960C4"/>
    <w:rsid w:val="00196262"/>
    <w:rsid w:val="00196781"/>
    <w:rsid w:val="001C0010"/>
    <w:rsid w:val="001C64DD"/>
    <w:rsid w:val="001E0693"/>
    <w:rsid w:val="001E1936"/>
    <w:rsid w:val="001E6005"/>
    <w:rsid w:val="00223B57"/>
    <w:rsid w:val="00225092"/>
    <w:rsid w:val="002308EC"/>
    <w:rsid w:val="0024053D"/>
    <w:rsid w:val="002476F5"/>
    <w:rsid w:val="00250BDB"/>
    <w:rsid w:val="00256C2B"/>
    <w:rsid w:val="0025703A"/>
    <w:rsid w:val="002708AB"/>
    <w:rsid w:val="002714CE"/>
    <w:rsid w:val="0029085E"/>
    <w:rsid w:val="00292028"/>
    <w:rsid w:val="002921B4"/>
    <w:rsid w:val="00294AEA"/>
    <w:rsid w:val="002A288B"/>
    <w:rsid w:val="002B54FD"/>
    <w:rsid w:val="002C2B74"/>
    <w:rsid w:val="002C445B"/>
    <w:rsid w:val="002D5C67"/>
    <w:rsid w:val="002D79B3"/>
    <w:rsid w:val="002E5EAB"/>
    <w:rsid w:val="002F64D5"/>
    <w:rsid w:val="002F7B3A"/>
    <w:rsid w:val="00305B8E"/>
    <w:rsid w:val="0031322B"/>
    <w:rsid w:val="003143CD"/>
    <w:rsid w:val="00317515"/>
    <w:rsid w:val="0032057A"/>
    <w:rsid w:val="003345ED"/>
    <w:rsid w:val="00345C53"/>
    <w:rsid w:val="003545C4"/>
    <w:rsid w:val="00355E9B"/>
    <w:rsid w:val="00370E07"/>
    <w:rsid w:val="003825F1"/>
    <w:rsid w:val="00392359"/>
    <w:rsid w:val="0039728D"/>
    <w:rsid w:val="003B442C"/>
    <w:rsid w:val="003B5162"/>
    <w:rsid w:val="003C006F"/>
    <w:rsid w:val="003C3169"/>
    <w:rsid w:val="003C7364"/>
    <w:rsid w:val="003D0C77"/>
    <w:rsid w:val="0040189C"/>
    <w:rsid w:val="00401912"/>
    <w:rsid w:val="004165B5"/>
    <w:rsid w:val="00420744"/>
    <w:rsid w:val="00421AAD"/>
    <w:rsid w:val="0042448A"/>
    <w:rsid w:val="0043098B"/>
    <w:rsid w:val="00430B87"/>
    <w:rsid w:val="0044067E"/>
    <w:rsid w:val="00443563"/>
    <w:rsid w:val="0045127A"/>
    <w:rsid w:val="00482F98"/>
    <w:rsid w:val="00485F0F"/>
    <w:rsid w:val="00497A92"/>
    <w:rsid w:val="004B6695"/>
    <w:rsid w:val="004C2327"/>
    <w:rsid w:val="004C3496"/>
    <w:rsid w:val="004E3FE4"/>
    <w:rsid w:val="004E4918"/>
    <w:rsid w:val="00500044"/>
    <w:rsid w:val="005016F0"/>
    <w:rsid w:val="005059AF"/>
    <w:rsid w:val="00510BBD"/>
    <w:rsid w:val="0051720D"/>
    <w:rsid w:val="005333BE"/>
    <w:rsid w:val="005441BF"/>
    <w:rsid w:val="00550AD8"/>
    <w:rsid w:val="00551657"/>
    <w:rsid w:val="00557876"/>
    <w:rsid w:val="0055791C"/>
    <w:rsid w:val="005600DD"/>
    <w:rsid w:val="005621C2"/>
    <w:rsid w:val="00567EE1"/>
    <w:rsid w:val="00583D07"/>
    <w:rsid w:val="00586978"/>
    <w:rsid w:val="00587945"/>
    <w:rsid w:val="00591598"/>
    <w:rsid w:val="00592E9C"/>
    <w:rsid w:val="005A1A2C"/>
    <w:rsid w:val="005A65F6"/>
    <w:rsid w:val="005A7F79"/>
    <w:rsid w:val="005B43ED"/>
    <w:rsid w:val="005B4FAB"/>
    <w:rsid w:val="005C6A30"/>
    <w:rsid w:val="005C714F"/>
    <w:rsid w:val="005D7072"/>
    <w:rsid w:val="005E47AF"/>
    <w:rsid w:val="005E4D39"/>
    <w:rsid w:val="005E52AB"/>
    <w:rsid w:val="005E7B28"/>
    <w:rsid w:val="005F32CF"/>
    <w:rsid w:val="005F794F"/>
    <w:rsid w:val="0060213F"/>
    <w:rsid w:val="00610A2C"/>
    <w:rsid w:val="00615E9D"/>
    <w:rsid w:val="00624543"/>
    <w:rsid w:val="00643157"/>
    <w:rsid w:val="0064439B"/>
    <w:rsid w:val="00646A87"/>
    <w:rsid w:val="00652AEA"/>
    <w:rsid w:val="006636BC"/>
    <w:rsid w:val="00670294"/>
    <w:rsid w:val="0067749E"/>
    <w:rsid w:val="006A4A7D"/>
    <w:rsid w:val="006B479D"/>
    <w:rsid w:val="006E531C"/>
    <w:rsid w:val="006F5217"/>
    <w:rsid w:val="00712DF2"/>
    <w:rsid w:val="00715CA8"/>
    <w:rsid w:val="00727080"/>
    <w:rsid w:val="00730004"/>
    <w:rsid w:val="00731C2B"/>
    <w:rsid w:val="00732703"/>
    <w:rsid w:val="00732DEB"/>
    <w:rsid w:val="00735C87"/>
    <w:rsid w:val="00737E1C"/>
    <w:rsid w:val="00740EC3"/>
    <w:rsid w:val="00757FD1"/>
    <w:rsid w:val="00761835"/>
    <w:rsid w:val="007640A4"/>
    <w:rsid w:val="00773541"/>
    <w:rsid w:val="007747CE"/>
    <w:rsid w:val="00775921"/>
    <w:rsid w:val="00787FE4"/>
    <w:rsid w:val="007A400F"/>
    <w:rsid w:val="007A7A68"/>
    <w:rsid w:val="007C1DC6"/>
    <w:rsid w:val="007C6E9D"/>
    <w:rsid w:val="007C792C"/>
    <w:rsid w:val="007D0DFA"/>
    <w:rsid w:val="007D3727"/>
    <w:rsid w:val="007E2295"/>
    <w:rsid w:val="007E7D62"/>
    <w:rsid w:val="007F08F8"/>
    <w:rsid w:val="007F2C23"/>
    <w:rsid w:val="00811562"/>
    <w:rsid w:val="00816861"/>
    <w:rsid w:val="00817257"/>
    <w:rsid w:val="008179B7"/>
    <w:rsid w:val="008250DF"/>
    <w:rsid w:val="00835F89"/>
    <w:rsid w:val="00837AE7"/>
    <w:rsid w:val="00843D1D"/>
    <w:rsid w:val="008534C5"/>
    <w:rsid w:val="00861CD2"/>
    <w:rsid w:val="008952DA"/>
    <w:rsid w:val="008A041C"/>
    <w:rsid w:val="008A18AA"/>
    <w:rsid w:val="008B033B"/>
    <w:rsid w:val="008B2C8B"/>
    <w:rsid w:val="008C22D4"/>
    <w:rsid w:val="008D0CAF"/>
    <w:rsid w:val="008D38B6"/>
    <w:rsid w:val="008D69EA"/>
    <w:rsid w:val="008E734A"/>
    <w:rsid w:val="008F0589"/>
    <w:rsid w:val="009016D1"/>
    <w:rsid w:val="00932A51"/>
    <w:rsid w:val="009345F8"/>
    <w:rsid w:val="0093487E"/>
    <w:rsid w:val="0095665C"/>
    <w:rsid w:val="00967BB6"/>
    <w:rsid w:val="00967D68"/>
    <w:rsid w:val="009737E5"/>
    <w:rsid w:val="00973FE4"/>
    <w:rsid w:val="009806E1"/>
    <w:rsid w:val="0098275F"/>
    <w:rsid w:val="0098725C"/>
    <w:rsid w:val="009E455E"/>
    <w:rsid w:val="009F3CE5"/>
    <w:rsid w:val="00A04453"/>
    <w:rsid w:val="00A27E62"/>
    <w:rsid w:val="00A31DC6"/>
    <w:rsid w:val="00A33B8D"/>
    <w:rsid w:val="00A351C9"/>
    <w:rsid w:val="00A46CDA"/>
    <w:rsid w:val="00A47007"/>
    <w:rsid w:val="00A5016D"/>
    <w:rsid w:val="00A53898"/>
    <w:rsid w:val="00A67444"/>
    <w:rsid w:val="00A74EF0"/>
    <w:rsid w:val="00A76E98"/>
    <w:rsid w:val="00A82C01"/>
    <w:rsid w:val="00A82D46"/>
    <w:rsid w:val="00A82F87"/>
    <w:rsid w:val="00A97A54"/>
    <w:rsid w:val="00AA2FE0"/>
    <w:rsid w:val="00AA7461"/>
    <w:rsid w:val="00AB3B66"/>
    <w:rsid w:val="00AB4972"/>
    <w:rsid w:val="00AB497F"/>
    <w:rsid w:val="00AD2912"/>
    <w:rsid w:val="00AD2E4A"/>
    <w:rsid w:val="00AE02B0"/>
    <w:rsid w:val="00AF5E53"/>
    <w:rsid w:val="00B01382"/>
    <w:rsid w:val="00B01BA3"/>
    <w:rsid w:val="00B02BEE"/>
    <w:rsid w:val="00B207F7"/>
    <w:rsid w:val="00B24606"/>
    <w:rsid w:val="00B32311"/>
    <w:rsid w:val="00B34ABB"/>
    <w:rsid w:val="00B41683"/>
    <w:rsid w:val="00B41BE2"/>
    <w:rsid w:val="00B428D8"/>
    <w:rsid w:val="00B44ECE"/>
    <w:rsid w:val="00B46E21"/>
    <w:rsid w:val="00B5019B"/>
    <w:rsid w:val="00B556CF"/>
    <w:rsid w:val="00B56093"/>
    <w:rsid w:val="00B561EB"/>
    <w:rsid w:val="00B64698"/>
    <w:rsid w:val="00B67E83"/>
    <w:rsid w:val="00B71129"/>
    <w:rsid w:val="00B72FAF"/>
    <w:rsid w:val="00B80666"/>
    <w:rsid w:val="00B874E0"/>
    <w:rsid w:val="00BB02A9"/>
    <w:rsid w:val="00BB07D4"/>
    <w:rsid w:val="00BB11AA"/>
    <w:rsid w:val="00BB551C"/>
    <w:rsid w:val="00BB70CC"/>
    <w:rsid w:val="00BB7CCF"/>
    <w:rsid w:val="00BC6861"/>
    <w:rsid w:val="00BD2594"/>
    <w:rsid w:val="00BF3143"/>
    <w:rsid w:val="00BF3F64"/>
    <w:rsid w:val="00C4141A"/>
    <w:rsid w:val="00C4350A"/>
    <w:rsid w:val="00C50FE3"/>
    <w:rsid w:val="00C53758"/>
    <w:rsid w:val="00C5642F"/>
    <w:rsid w:val="00C61D5C"/>
    <w:rsid w:val="00C778A3"/>
    <w:rsid w:val="00C82775"/>
    <w:rsid w:val="00C93CDF"/>
    <w:rsid w:val="00CA2E3C"/>
    <w:rsid w:val="00CB5A04"/>
    <w:rsid w:val="00CC5BEA"/>
    <w:rsid w:val="00CD5C43"/>
    <w:rsid w:val="00CE5084"/>
    <w:rsid w:val="00CE52C4"/>
    <w:rsid w:val="00D107D4"/>
    <w:rsid w:val="00D4549F"/>
    <w:rsid w:val="00D50F33"/>
    <w:rsid w:val="00D62430"/>
    <w:rsid w:val="00D65AD6"/>
    <w:rsid w:val="00D8580E"/>
    <w:rsid w:val="00D91AE4"/>
    <w:rsid w:val="00D9610F"/>
    <w:rsid w:val="00DA0E75"/>
    <w:rsid w:val="00DA4178"/>
    <w:rsid w:val="00DB2C45"/>
    <w:rsid w:val="00DC2C4E"/>
    <w:rsid w:val="00DD3086"/>
    <w:rsid w:val="00DE3374"/>
    <w:rsid w:val="00DE4D7B"/>
    <w:rsid w:val="00E14DAF"/>
    <w:rsid w:val="00E17C57"/>
    <w:rsid w:val="00E22A5E"/>
    <w:rsid w:val="00E24A62"/>
    <w:rsid w:val="00E26DBD"/>
    <w:rsid w:val="00E27C82"/>
    <w:rsid w:val="00E33217"/>
    <w:rsid w:val="00E35889"/>
    <w:rsid w:val="00E42020"/>
    <w:rsid w:val="00E44D04"/>
    <w:rsid w:val="00E8182F"/>
    <w:rsid w:val="00E836EA"/>
    <w:rsid w:val="00EA51D7"/>
    <w:rsid w:val="00EA722D"/>
    <w:rsid w:val="00EC553A"/>
    <w:rsid w:val="00ED086C"/>
    <w:rsid w:val="00ED310D"/>
    <w:rsid w:val="00EE2253"/>
    <w:rsid w:val="00EE6914"/>
    <w:rsid w:val="00F01BC0"/>
    <w:rsid w:val="00F07731"/>
    <w:rsid w:val="00F120A1"/>
    <w:rsid w:val="00F276AE"/>
    <w:rsid w:val="00F30DC4"/>
    <w:rsid w:val="00F332A7"/>
    <w:rsid w:val="00F517C1"/>
    <w:rsid w:val="00F51F89"/>
    <w:rsid w:val="00F6533C"/>
    <w:rsid w:val="00F804F7"/>
    <w:rsid w:val="00F80EF2"/>
    <w:rsid w:val="00F82ADF"/>
    <w:rsid w:val="00F9308D"/>
    <w:rsid w:val="00F9721E"/>
    <w:rsid w:val="00FA1BC4"/>
    <w:rsid w:val="00FA61EF"/>
    <w:rsid w:val="00FC0162"/>
    <w:rsid w:val="00FC20CC"/>
    <w:rsid w:val="00FC5154"/>
    <w:rsid w:val="00FC6EAD"/>
    <w:rsid w:val="00FE3678"/>
    <w:rsid w:val="00FF6A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D5A0891-2A34-4C83-A61F-B6BDE4A5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el-G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53D"/>
    <w:pPr>
      <w:spacing w:line="260" w:lineRule="exact"/>
    </w:pPr>
    <w:rPr>
      <w:rFonts w:ascii="Univers" w:hAnsi="Univers"/>
    </w:rPr>
  </w:style>
  <w:style w:type="paragraph" w:styleId="Heading1">
    <w:name w:val="heading 1"/>
    <w:basedOn w:val="Normal"/>
    <w:next w:val="Normal"/>
    <w:qFormat/>
    <w:rsid w:val="0024053D"/>
    <w:pPr>
      <w:keepNext/>
      <w:spacing w:before="240" w:after="60" w:line="240" w:lineRule="auto"/>
      <w:outlineLvl w:val="0"/>
    </w:pPr>
    <w:rPr>
      <w:b/>
      <w:kern w:val="28"/>
      <w:sz w:val="28"/>
    </w:rPr>
  </w:style>
  <w:style w:type="paragraph" w:styleId="Heading2">
    <w:name w:val="heading 2"/>
    <w:basedOn w:val="Normal"/>
    <w:next w:val="Normal"/>
    <w:qFormat/>
    <w:rsid w:val="0024053D"/>
    <w:pPr>
      <w:keepNext/>
      <w:spacing w:before="240" w:after="60" w:line="240" w:lineRule="auto"/>
      <w:outlineLvl w:val="1"/>
    </w:pPr>
    <w:rPr>
      <w:rFonts w:ascii="Arial" w:hAnsi="Arial"/>
      <w:b/>
      <w:i/>
      <w:sz w:val="24"/>
    </w:rPr>
  </w:style>
  <w:style w:type="paragraph" w:styleId="Heading3">
    <w:name w:val="heading 3"/>
    <w:basedOn w:val="Normal"/>
    <w:next w:val="Normal"/>
    <w:qFormat/>
    <w:rsid w:val="0024053D"/>
    <w:pPr>
      <w:keepNext/>
      <w:spacing w:before="240" w:after="60" w:line="240" w:lineRule="auto"/>
      <w:outlineLvl w:val="2"/>
    </w:pPr>
    <w:rPr>
      <w:rFonts w:ascii="Arial" w:hAnsi="Arial"/>
      <w:sz w:val="24"/>
    </w:rPr>
  </w:style>
  <w:style w:type="paragraph" w:styleId="Heading4">
    <w:name w:val="heading 4"/>
    <w:basedOn w:val="Normal"/>
    <w:next w:val="Normal"/>
    <w:qFormat/>
    <w:rsid w:val="0024053D"/>
    <w:pPr>
      <w:keepNext/>
      <w:spacing w:before="240" w:after="60" w:line="240" w:lineRule="auto"/>
      <w:outlineLvl w:val="3"/>
    </w:pPr>
    <w:rPr>
      <w:rFonts w:ascii="Arial" w:hAnsi="Arial"/>
      <w:b/>
      <w:sz w:val="24"/>
    </w:rPr>
  </w:style>
  <w:style w:type="paragraph" w:styleId="Heading5">
    <w:name w:val="heading 5"/>
    <w:basedOn w:val="Normal"/>
    <w:next w:val="Normal"/>
    <w:qFormat/>
    <w:rsid w:val="0024053D"/>
    <w:pPr>
      <w:spacing w:before="240" w:after="60" w:line="240" w:lineRule="auto"/>
      <w:outlineLvl w:val="4"/>
    </w:pPr>
    <w:rPr>
      <w:sz w:val="22"/>
    </w:rPr>
  </w:style>
  <w:style w:type="paragraph" w:styleId="Heading6">
    <w:name w:val="heading 6"/>
    <w:basedOn w:val="Normal"/>
    <w:next w:val="Normal"/>
    <w:qFormat/>
    <w:rsid w:val="0024053D"/>
    <w:pPr>
      <w:spacing w:before="240" w:after="60" w:line="240" w:lineRule="auto"/>
      <w:outlineLvl w:val="5"/>
    </w:pPr>
    <w:rPr>
      <w:rFonts w:ascii="Times New Roman" w:hAnsi="Times New Roman"/>
      <w:i/>
      <w:sz w:val="22"/>
    </w:rPr>
  </w:style>
  <w:style w:type="paragraph" w:styleId="Heading7">
    <w:name w:val="heading 7"/>
    <w:basedOn w:val="Normal"/>
    <w:next w:val="Normal"/>
    <w:qFormat/>
    <w:rsid w:val="0024053D"/>
    <w:pPr>
      <w:spacing w:before="240" w:after="60" w:line="240" w:lineRule="auto"/>
      <w:outlineLvl w:val="6"/>
    </w:pPr>
    <w:rPr>
      <w:rFonts w:ascii="Arial" w:hAnsi="Arial"/>
    </w:rPr>
  </w:style>
  <w:style w:type="paragraph" w:styleId="Heading8">
    <w:name w:val="heading 8"/>
    <w:basedOn w:val="Normal"/>
    <w:next w:val="Normal"/>
    <w:qFormat/>
    <w:rsid w:val="0024053D"/>
    <w:pPr>
      <w:spacing w:before="240" w:after="60" w:line="240" w:lineRule="auto"/>
      <w:outlineLvl w:val="7"/>
    </w:pPr>
    <w:rPr>
      <w:rFonts w:ascii="Arial" w:hAnsi="Arial"/>
      <w:i/>
    </w:rPr>
  </w:style>
  <w:style w:type="paragraph" w:styleId="Heading9">
    <w:name w:val="heading 9"/>
    <w:basedOn w:val="Normal"/>
    <w:next w:val="Normal"/>
    <w:qFormat/>
    <w:rsid w:val="0024053D"/>
    <w:p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053D"/>
    <w:pPr>
      <w:tabs>
        <w:tab w:val="center" w:pos="4536"/>
        <w:tab w:val="right" w:pos="9072"/>
      </w:tabs>
      <w:spacing w:line="240" w:lineRule="auto"/>
    </w:pPr>
    <w:rPr>
      <w:spacing w:val="6"/>
      <w:sz w:val="16"/>
    </w:rPr>
  </w:style>
  <w:style w:type="paragraph" w:customStyle="1" w:styleId="Ondertekening">
    <w:name w:val="Ondertekening"/>
    <w:basedOn w:val="Normal"/>
    <w:next w:val="Normal"/>
    <w:rsid w:val="0024053D"/>
    <w:pPr>
      <w:spacing w:before="810" w:line="240" w:lineRule="auto"/>
    </w:pPr>
  </w:style>
  <w:style w:type="paragraph" w:styleId="Footer">
    <w:name w:val="footer"/>
    <w:basedOn w:val="Normal"/>
    <w:link w:val="FooterChar"/>
    <w:uiPriority w:val="99"/>
    <w:rsid w:val="0024053D"/>
    <w:pPr>
      <w:tabs>
        <w:tab w:val="center" w:pos="4536"/>
        <w:tab w:val="right" w:pos="9072"/>
      </w:tabs>
      <w:spacing w:line="240" w:lineRule="auto"/>
    </w:pPr>
  </w:style>
  <w:style w:type="character" w:styleId="PageNumber">
    <w:name w:val="page number"/>
    <w:basedOn w:val="DefaultParagraphFont"/>
    <w:rsid w:val="0024053D"/>
  </w:style>
  <w:style w:type="paragraph" w:styleId="Salutation">
    <w:name w:val="Salutation"/>
    <w:basedOn w:val="Normal"/>
    <w:next w:val="Normal"/>
    <w:rsid w:val="0024053D"/>
    <w:pPr>
      <w:spacing w:line="240" w:lineRule="auto"/>
    </w:pPr>
  </w:style>
  <w:style w:type="paragraph" w:styleId="EnvelopeAddress">
    <w:name w:val="envelope address"/>
    <w:basedOn w:val="Normal"/>
    <w:rsid w:val="0024053D"/>
    <w:pPr>
      <w:framePr w:w="7920" w:h="1980" w:hRule="exact" w:hSpace="141" w:wrap="auto" w:hAnchor="page" w:xAlign="center" w:yAlign="bottom"/>
      <w:spacing w:line="240" w:lineRule="auto"/>
      <w:ind w:left="2880"/>
    </w:pPr>
    <w:rPr>
      <w:rFonts w:ascii="Arial" w:hAnsi="Arial"/>
      <w:sz w:val="24"/>
    </w:rPr>
  </w:style>
  <w:style w:type="paragraph" w:styleId="Closing">
    <w:name w:val="Closing"/>
    <w:basedOn w:val="Normal"/>
    <w:rsid w:val="0024053D"/>
    <w:pPr>
      <w:spacing w:line="240" w:lineRule="auto"/>
      <w:ind w:left="4252"/>
    </w:pPr>
  </w:style>
  <w:style w:type="paragraph" w:styleId="EnvelopeReturn">
    <w:name w:val="envelope return"/>
    <w:basedOn w:val="Normal"/>
    <w:rsid w:val="0024053D"/>
    <w:pPr>
      <w:spacing w:line="240" w:lineRule="auto"/>
    </w:pPr>
    <w:rPr>
      <w:rFonts w:ascii="Arial" w:hAnsi="Arial"/>
    </w:rPr>
  </w:style>
  <w:style w:type="paragraph" w:styleId="MessageHeader">
    <w:name w:val="Message Header"/>
    <w:basedOn w:val="Normal"/>
    <w:rsid w:val="0024053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sz w:val="24"/>
    </w:rPr>
  </w:style>
  <w:style w:type="paragraph" w:styleId="Caption">
    <w:name w:val="caption"/>
    <w:basedOn w:val="Normal"/>
    <w:next w:val="Normal"/>
    <w:qFormat/>
    <w:rsid w:val="0024053D"/>
    <w:pPr>
      <w:spacing w:before="120" w:after="120" w:line="240" w:lineRule="auto"/>
    </w:pPr>
    <w:rPr>
      <w:b/>
    </w:rPr>
  </w:style>
  <w:style w:type="paragraph" w:styleId="BlockText">
    <w:name w:val="Block Text"/>
    <w:basedOn w:val="Normal"/>
    <w:rsid w:val="0024053D"/>
    <w:pPr>
      <w:spacing w:after="120" w:line="240" w:lineRule="auto"/>
      <w:ind w:left="1440" w:right="1440"/>
    </w:pPr>
  </w:style>
  <w:style w:type="paragraph" w:styleId="TableofAuthorities">
    <w:name w:val="table of authorities"/>
    <w:basedOn w:val="Normal"/>
    <w:next w:val="Normal"/>
    <w:semiHidden/>
    <w:rsid w:val="0024053D"/>
    <w:pPr>
      <w:spacing w:line="240" w:lineRule="auto"/>
      <w:ind w:left="200" w:hanging="200"/>
    </w:pPr>
  </w:style>
  <w:style w:type="paragraph" w:styleId="Date">
    <w:name w:val="Date"/>
    <w:basedOn w:val="Normal"/>
    <w:next w:val="Normal"/>
    <w:rsid w:val="0024053D"/>
    <w:pPr>
      <w:spacing w:line="240" w:lineRule="auto"/>
    </w:pPr>
  </w:style>
  <w:style w:type="paragraph" w:styleId="DocumentMap">
    <w:name w:val="Document Map"/>
    <w:basedOn w:val="Normal"/>
    <w:semiHidden/>
    <w:rsid w:val="0024053D"/>
    <w:pPr>
      <w:shd w:val="clear" w:color="auto" w:fill="000080"/>
      <w:spacing w:line="240" w:lineRule="auto"/>
    </w:pPr>
    <w:rPr>
      <w:rFonts w:ascii="Tahoma" w:hAnsi="Tahoma"/>
    </w:rPr>
  </w:style>
  <w:style w:type="paragraph" w:styleId="EndnoteText">
    <w:name w:val="endnote text"/>
    <w:basedOn w:val="Normal"/>
    <w:semiHidden/>
    <w:rsid w:val="0024053D"/>
    <w:pPr>
      <w:spacing w:line="240" w:lineRule="auto"/>
    </w:pPr>
  </w:style>
  <w:style w:type="paragraph" w:styleId="Signature">
    <w:name w:val="Signature"/>
    <w:basedOn w:val="Normal"/>
    <w:rsid w:val="0024053D"/>
    <w:pPr>
      <w:spacing w:line="240" w:lineRule="auto"/>
      <w:ind w:left="4252"/>
    </w:pPr>
  </w:style>
  <w:style w:type="paragraph" w:styleId="Index1">
    <w:name w:val="index 1"/>
    <w:basedOn w:val="Normal"/>
    <w:next w:val="Normal"/>
    <w:semiHidden/>
    <w:rsid w:val="0024053D"/>
    <w:pPr>
      <w:spacing w:line="240" w:lineRule="auto"/>
      <w:ind w:left="200" w:hanging="200"/>
    </w:pPr>
  </w:style>
  <w:style w:type="paragraph" w:styleId="Index2">
    <w:name w:val="index 2"/>
    <w:basedOn w:val="Normal"/>
    <w:next w:val="Normal"/>
    <w:semiHidden/>
    <w:rsid w:val="0024053D"/>
    <w:pPr>
      <w:spacing w:line="240" w:lineRule="auto"/>
      <w:ind w:left="400" w:hanging="200"/>
    </w:pPr>
  </w:style>
  <w:style w:type="paragraph" w:styleId="Index3">
    <w:name w:val="index 3"/>
    <w:basedOn w:val="Normal"/>
    <w:next w:val="Normal"/>
    <w:semiHidden/>
    <w:rsid w:val="0024053D"/>
    <w:pPr>
      <w:spacing w:line="240" w:lineRule="auto"/>
      <w:ind w:left="600" w:hanging="200"/>
    </w:pPr>
  </w:style>
  <w:style w:type="paragraph" w:styleId="Index4">
    <w:name w:val="index 4"/>
    <w:basedOn w:val="Normal"/>
    <w:next w:val="Normal"/>
    <w:semiHidden/>
    <w:rsid w:val="0024053D"/>
    <w:pPr>
      <w:spacing w:line="240" w:lineRule="auto"/>
      <w:ind w:left="800" w:hanging="200"/>
    </w:pPr>
  </w:style>
  <w:style w:type="paragraph" w:styleId="Index5">
    <w:name w:val="index 5"/>
    <w:basedOn w:val="Normal"/>
    <w:next w:val="Normal"/>
    <w:semiHidden/>
    <w:rsid w:val="0024053D"/>
    <w:pPr>
      <w:spacing w:line="240" w:lineRule="auto"/>
      <w:ind w:left="1000" w:hanging="200"/>
    </w:pPr>
  </w:style>
  <w:style w:type="paragraph" w:styleId="Index6">
    <w:name w:val="index 6"/>
    <w:basedOn w:val="Normal"/>
    <w:next w:val="Normal"/>
    <w:semiHidden/>
    <w:rsid w:val="0024053D"/>
    <w:pPr>
      <w:spacing w:line="240" w:lineRule="auto"/>
      <w:ind w:left="1200" w:hanging="200"/>
    </w:pPr>
  </w:style>
  <w:style w:type="paragraph" w:styleId="Index7">
    <w:name w:val="index 7"/>
    <w:basedOn w:val="Normal"/>
    <w:next w:val="Normal"/>
    <w:semiHidden/>
    <w:rsid w:val="0024053D"/>
    <w:pPr>
      <w:spacing w:line="240" w:lineRule="auto"/>
      <w:ind w:left="1400" w:hanging="200"/>
    </w:pPr>
  </w:style>
  <w:style w:type="paragraph" w:styleId="Index8">
    <w:name w:val="index 8"/>
    <w:basedOn w:val="Normal"/>
    <w:next w:val="Normal"/>
    <w:semiHidden/>
    <w:rsid w:val="0024053D"/>
    <w:pPr>
      <w:spacing w:line="240" w:lineRule="auto"/>
      <w:ind w:left="1600" w:hanging="200"/>
    </w:pPr>
  </w:style>
  <w:style w:type="paragraph" w:styleId="Index9">
    <w:name w:val="index 9"/>
    <w:basedOn w:val="Normal"/>
    <w:next w:val="Normal"/>
    <w:semiHidden/>
    <w:rsid w:val="0024053D"/>
    <w:pPr>
      <w:spacing w:line="240" w:lineRule="auto"/>
      <w:ind w:left="1800" w:hanging="200"/>
    </w:pPr>
  </w:style>
  <w:style w:type="paragraph" w:styleId="IndexHeading">
    <w:name w:val="index heading"/>
    <w:basedOn w:val="Normal"/>
    <w:next w:val="Index1"/>
    <w:semiHidden/>
    <w:rsid w:val="0024053D"/>
    <w:pPr>
      <w:spacing w:line="240" w:lineRule="auto"/>
    </w:pPr>
    <w:rPr>
      <w:rFonts w:ascii="Arial" w:hAnsi="Arial"/>
      <w:b/>
    </w:rPr>
  </w:style>
  <w:style w:type="paragraph" w:styleId="TOC1">
    <w:name w:val="toc 1"/>
    <w:basedOn w:val="Normal"/>
    <w:next w:val="Normal"/>
    <w:semiHidden/>
    <w:rsid w:val="0024053D"/>
    <w:pPr>
      <w:spacing w:line="240" w:lineRule="auto"/>
    </w:pPr>
  </w:style>
  <w:style w:type="paragraph" w:styleId="TOC2">
    <w:name w:val="toc 2"/>
    <w:basedOn w:val="Normal"/>
    <w:next w:val="Normal"/>
    <w:semiHidden/>
    <w:rsid w:val="0024053D"/>
    <w:pPr>
      <w:spacing w:line="240" w:lineRule="auto"/>
      <w:ind w:left="200"/>
    </w:pPr>
  </w:style>
  <w:style w:type="paragraph" w:styleId="TOC3">
    <w:name w:val="toc 3"/>
    <w:basedOn w:val="Normal"/>
    <w:next w:val="Normal"/>
    <w:semiHidden/>
    <w:rsid w:val="0024053D"/>
    <w:pPr>
      <w:spacing w:line="240" w:lineRule="auto"/>
      <w:ind w:left="400"/>
    </w:pPr>
  </w:style>
  <w:style w:type="paragraph" w:styleId="TOC4">
    <w:name w:val="toc 4"/>
    <w:basedOn w:val="Normal"/>
    <w:next w:val="Normal"/>
    <w:semiHidden/>
    <w:rsid w:val="0024053D"/>
    <w:pPr>
      <w:spacing w:line="240" w:lineRule="auto"/>
      <w:ind w:left="600"/>
    </w:pPr>
  </w:style>
  <w:style w:type="paragraph" w:styleId="TOC5">
    <w:name w:val="toc 5"/>
    <w:basedOn w:val="Normal"/>
    <w:next w:val="Normal"/>
    <w:semiHidden/>
    <w:rsid w:val="0024053D"/>
    <w:pPr>
      <w:spacing w:line="240" w:lineRule="auto"/>
      <w:ind w:left="800"/>
    </w:pPr>
  </w:style>
  <w:style w:type="paragraph" w:styleId="TOC6">
    <w:name w:val="toc 6"/>
    <w:basedOn w:val="Normal"/>
    <w:next w:val="Normal"/>
    <w:semiHidden/>
    <w:rsid w:val="0024053D"/>
    <w:pPr>
      <w:spacing w:line="240" w:lineRule="auto"/>
      <w:ind w:left="1000"/>
    </w:pPr>
  </w:style>
  <w:style w:type="paragraph" w:styleId="TOC7">
    <w:name w:val="toc 7"/>
    <w:basedOn w:val="Normal"/>
    <w:next w:val="Normal"/>
    <w:semiHidden/>
    <w:rsid w:val="0024053D"/>
    <w:pPr>
      <w:spacing w:line="240" w:lineRule="auto"/>
      <w:ind w:left="1200"/>
    </w:pPr>
  </w:style>
  <w:style w:type="paragraph" w:styleId="TOC8">
    <w:name w:val="toc 8"/>
    <w:basedOn w:val="Normal"/>
    <w:next w:val="Normal"/>
    <w:semiHidden/>
    <w:rsid w:val="0024053D"/>
    <w:pPr>
      <w:spacing w:line="240" w:lineRule="auto"/>
      <w:ind w:left="1400"/>
    </w:pPr>
  </w:style>
  <w:style w:type="paragraph" w:styleId="TOC9">
    <w:name w:val="toc 9"/>
    <w:basedOn w:val="Normal"/>
    <w:next w:val="Normal"/>
    <w:semiHidden/>
    <w:rsid w:val="0024053D"/>
    <w:pPr>
      <w:spacing w:line="240" w:lineRule="auto"/>
      <w:ind w:left="1600"/>
    </w:pPr>
  </w:style>
  <w:style w:type="paragraph" w:styleId="TOAHeading">
    <w:name w:val="toa heading"/>
    <w:basedOn w:val="Normal"/>
    <w:next w:val="Normal"/>
    <w:semiHidden/>
    <w:rsid w:val="0024053D"/>
    <w:pPr>
      <w:spacing w:before="120" w:line="240" w:lineRule="auto"/>
    </w:pPr>
    <w:rPr>
      <w:rFonts w:ascii="Arial" w:hAnsi="Arial"/>
      <w:b/>
      <w:sz w:val="24"/>
    </w:rPr>
  </w:style>
  <w:style w:type="paragraph" w:styleId="List">
    <w:name w:val="List"/>
    <w:basedOn w:val="Normal"/>
    <w:rsid w:val="0024053D"/>
    <w:pPr>
      <w:spacing w:line="240" w:lineRule="auto"/>
      <w:ind w:left="283" w:hanging="283"/>
    </w:pPr>
  </w:style>
  <w:style w:type="paragraph" w:styleId="List2">
    <w:name w:val="List 2"/>
    <w:basedOn w:val="Normal"/>
    <w:rsid w:val="0024053D"/>
    <w:pPr>
      <w:spacing w:line="240" w:lineRule="auto"/>
      <w:ind w:left="566" w:hanging="283"/>
    </w:pPr>
  </w:style>
  <w:style w:type="paragraph" w:styleId="List3">
    <w:name w:val="List 3"/>
    <w:basedOn w:val="Normal"/>
    <w:rsid w:val="0024053D"/>
    <w:pPr>
      <w:spacing w:line="240" w:lineRule="auto"/>
      <w:ind w:left="849" w:hanging="283"/>
    </w:pPr>
  </w:style>
  <w:style w:type="paragraph" w:styleId="List4">
    <w:name w:val="List 4"/>
    <w:basedOn w:val="Normal"/>
    <w:rsid w:val="0024053D"/>
    <w:pPr>
      <w:spacing w:line="240" w:lineRule="auto"/>
      <w:ind w:left="1132" w:hanging="283"/>
    </w:pPr>
  </w:style>
  <w:style w:type="paragraph" w:styleId="List5">
    <w:name w:val="List 5"/>
    <w:basedOn w:val="Normal"/>
    <w:rsid w:val="0024053D"/>
    <w:pPr>
      <w:spacing w:line="240" w:lineRule="auto"/>
      <w:ind w:left="1415" w:hanging="283"/>
    </w:pPr>
  </w:style>
  <w:style w:type="paragraph" w:styleId="TableofFigures">
    <w:name w:val="table of figures"/>
    <w:basedOn w:val="Normal"/>
    <w:next w:val="Normal"/>
    <w:semiHidden/>
    <w:rsid w:val="0024053D"/>
    <w:pPr>
      <w:spacing w:line="240" w:lineRule="auto"/>
      <w:ind w:left="400" w:hanging="400"/>
    </w:pPr>
  </w:style>
  <w:style w:type="paragraph" w:styleId="ListBullet">
    <w:name w:val="List Bullet"/>
    <w:basedOn w:val="Normal"/>
    <w:rsid w:val="0024053D"/>
    <w:pPr>
      <w:numPr>
        <w:numId w:val="11"/>
      </w:numPr>
      <w:spacing w:line="240" w:lineRule="auto"/>
    </w:pPr>
  </w:style>
  <w:style w:type="paragraph" w:styleId="ListBullet2">
    <w:name w:val="List Bullet 2"/>
    <w:basedOn w:val="Normal"/>
    <w:rsid w:val="0024053D"/>
    <w:pPr>
      <w:numPr>
        <w:numId w:val="12"/>
      </w:numPr>
      <w:spacing w:line="240" w:lineRule="auto"/>
    </w:pPr>
  </w:style>
  <w:style w:type="paragraph" w:styleId="ListBullet3">
    <w:name w:val="List Bullet 3"/>
    <w:basedOn w:val="Normal"/>
    <w:rsid w:val="0024053D"/>
    <w:pPr>
      <w:numPr>
        <w:numId w:val="13"/>
      </w:numPr>
      <w:spacing w:line="240" w:lineRule="auto"/>
    </w:pPr>
  </w:style>
  <w:style w:type="paragraph" w:styleId="ListBullet4">
    <w:name w:val="List Bullet 4"/>
    <w:basedOn w:val="Normal"/>
    <w:rsid w:val="0024053D"/>
    <w:pPr>
      <w:numPr>
        <w:numId w:val="14"/>
      </w:numPr>
      <w:spacing w:line="240" w:lineRule="auto"/>
    </w:pPr>
  </w:style>
  <w:style w:type="paragraph" w:styleId="ListBullet5">
    <w:name w:val="List Bullet 5"/>
    <w:basedOn w:val="Normal"/>
    <w:rsid w:val="0024053D"/>
    <w:pPr>
      <w:numPr>
        <w:numId w:val="15"/>
      </w:numPr>
      <w:spacing w:line="240" w:lineRule="auto"/>
    </w:pPr>
  </w:style>
  <w:style w:type="paragraph" w:styleId="ListNumber">
    <w:name w:val="List Number"/>
    <w:basedOn w:val="Normal"/>
    <w:rsid w:val="0024053D"/>
    <w:pPr>
      <w:numPr>
        <w:numId w:val="16"/>
      </w:numPr>
      <w:spacing w:line="240" w:lineRule="auto"/>
    </w:pPr>
  </w:style>
  <w:style w:type="paragraph" w:styleId="ListNumber2">
    <w:name w:val="List Number 2"/>
    <w:basedOn w:val="Normal"/>
    <w:rsid w:val="0024053D"/>
    <w:pPr>
      <w:numPr>
        <w:numId w:val="17"/>
      </w:numPr>
      <w:spacing w:line="240" w:lineRule="auto"/>
    </w:pPr>
  </w:style>
  <w:style w:type="paragraph" w:styleId="ListNumber3">
    <w:name w:val="List Number 3"/>
    <w:basedOn w:val="Normal"/>
    <w:rsid w:val="0024053D"/>
    <w:pPr>
      <w:numPr>
        <w:numId w:val="18"/>
      </w:numPr>
      <w:spacing w:line="240" w:lineRule="auto"/>
    </w:pPr>
  </w:style>
  <w:style w:type="paragraph" w:styleId="ListNumber4">
    <w:name w:val="List Number 4"/>
    <w:basedOn w:val="Normal"/>
    <w:rsid w:val="0024053D"/>
    <w:pPr>
      <w:numPr>
        <w:numId w:val="19"/>
      </w:numPr>
      <w:spacing w:line="240" w:lineRule="auto"/>
    </w:pPr>
  </w:style>
  <w:style w:type="paragraph" w:styleId="ListNumber5">
    <w:name w:val="List Number 5"/>
    <w:basedOn w:val="Normal"/>
    <w:rsid w:val="0024053D"/>
    <w:pPr>
      <w:numPr>
        <w:numId w:val="20"/>
      </w:numPr>
      <w:spacing w:line="240" w:lineRule="auto"/>
    </w:pPr>
  </w:style>
  <w:style w:type="paragraph" w:styleId="ListContinue">
    <w:name w:val="List Continue"/>
    <w:basedOn w:val="Normal"/>
    <w:rsid w:val="0024053D"/>
    <w:pPr>
      <w:spacing w:after="120" w:line="240" w:lineRule="auto"/>
      <w:ind w:left="283"/>
    </w:pPr>
  </w:style>
  <w:style w:type="paragraph" w:styleId="ListContinue2">
    <w:name w:val="List Continue 2"/>
    <w:basedOn w:val="Normal"/>
    <w:rsid w:val="0024053D"/>
    <w:pPr>
      <w:spacing w:after="120" w:line="240" w:lineRule="auto"/>
      <w:ind w:left="566"/>
    </w:pPr>
  </w:style>
  <w:style w:type="paragraph" w:styleId="ListContinue3">
    <w:name w:val="List Continue 3"/>
    <w:basedOn w:val="Normal"/>
    <w:rsid w:val="0024053D"/>
    <w:pPr>
      <w:spacing w:after="120" w:line="240" w:lineRule="auto"/>
      <w:ind w:left="849"/>
    </w:pPr>
  </w:style>
  <w:style w:type="paragraph" w:styleId="ListContinue4">
    <w:name w:val="List Continue 4"/>
    <w:basedOn w:val="Normal"/>
    <w:rsid w:val="0024053D"/>
    <w:pPr>
      <w:spacing w:after="120" w:line="240" w:lineRule="auto"/>
      <w:ind w:left="1132"/>
    </w:pPr>
  </w:style>
  <w:style w:type="paragraph" w:styleId="ListContinue5">
    <w:name w:val="List Continue 5"/>
    <w:basedOn w:val="Normal"/>
    <w:rsid w:val="0024053D"/>
    <w:pPr>
      <w:spacing w:after="120" w:line="240" w:lineRule="auto"/>
      <w:ind w:left="1415"/>
    </w:pPr>
  </w:style>
  <w:style w:type="paragraph" w:styleId="MacroText">
    <w:name w:val="macro"/>
    <w:semiHidden/>
    <w:rsid w:val="0024053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eHeading">
    <w:name w:val="Note Heading"/>
    <w:basedOn w:val="Normal"/>
    <w:next w:val="Normal"/>
    <w:rsid w:val="0024053D"/>
    <w:pPr>
      <w:spacing w:line="240" w:lineRule="auto"/>
    </w:pPr>
  </w:style>
  <w:style w:type="paragraph" w:styleId="PlainText">
    <w:name w:val="Plain Text"/>
    <w:basedOn w:val="Normal"/>
    <w:rsid w:val="0024053D"/>
    <w:pPr>
      <w:spacing w:line="240" w:lineRule="auto"/>
    </w:pPr>
    <w:rPr>
      <w:rFonts w:ascii="Courier New" w:hAnsi="Courier New"/>
    </w:rPr>
  </w:style>
  <w:style w:type="paragraph" w:styleId="BodyText">
    <w:name w:val="Body Text"/>
    <w:basedOn w:val="Normal"/>
    <w:rsid w:val="0024053D"/>
    <w:pPr>
      <w:spacing w:after="120" w:line="240" w:lineRule="auto"/>
    </w:pPr>
  </w:style>
  <w:style w:type="paragraph" w:styleId="BodyText2">
    <w:name w:val="Body Text 2"/>
    <w:basedOn w:val="Normal"/>
    <w:rsid w:val="0024053D"/>
    <w:pPr>
      <w:spacing w:after="120" w:line="480" w:lineRule="auto"/>
    </w:pPr>
  </w:style>
  <w:style w:type="paragraph" w:styleId="BodyText3">
    <w:name w:val="Body Text 3"/>
    <w:basedOn w:val="Normal"/>
    <w:rsid w:val="0024053D"/>
    <w:pPr>
      <w:spacing w:after="120" w:line="240" w:lineRule="auto"/>
    </w:pPr>
    <w:rPr>
      <w:sz w:val="16"/>
    </w:rPr>
  </w:style>
  <w:style w:type="paragraph" w:styleId="BodyTextFirstIndent">
    <w:name w:val="Body Text First Indent"/>
    <w:basedOn w:val="BodyText"/>
    <w:rsid w:val="0024053D"/>
    <w:pPr>
      <w:ind w:firstLine="210"/>
    </w:pPr>
  </w:style>
  <w:style w:type="paragraph" w:styleId="BodyTextIndent">
    <w:name w:val="Body Text Indent"/>
    <w:basedOn w:val="Normal"/>
    <w:rsid w:val="0024053D"/>
    <w:pPr>
      <w:spacing w:after="120" w:line="240" w:lineRule="auto"/>
      <w:ind w:left="283"/>
    </w:pPr>
  </w:style>
  <w:style w:type="paragraph" w:styleId="BodyTextFirstIndent2">
    <w:name w:val="Body Text First Indent 2"/>
    <w:basedOn w:val="BodyTextIndent"/>
    <w:rsid w:val="0024053D"/>
    <w:pPr>
      <w:ind w:firstLine="210"/>
    </w:pPr>
  </w:style>
  <w:style w:type="paragraph" w:styleId="BodyTextIndent2">
    <w:name w:val="Body Text Indent 2"/>
    <w:basedOn w:val="Normal"/>
    <w:rsid w:val="0024053D"/>
    <w:pPr>
      <w:spacing w:after="120" w:line="480" w:lineRule="auto"/>
      <w:ind w:left="283"/>
    </w:pPr>
  </w:style>
  <w:style w:type="paragraph" w:styleId="BodyTextIndent3">
    <w:name w:val="Body Text Indent 3"/>
    <w:basedOn w:val="Normal"/>
    <w:rsid w:val="0024053D"/>
    <w:pPr>
      <w:spacing w:after="120" w:line="240" w:lineRule="auto"/>
      <w:ind w:left="283"/>
    </w:pPr>
    <w:rPr>
      <w:sz w:val="16"/>
    </w:rPr>
  </w:style>
  <w:style w:type="paragraph" w:styleId="NormalIndent">
    <w:name w:val="Normal Indent"/>
    <w:basedOn w:val="Normal"/>
    <w:rsid w:val="0024053D"/>
    <w:pPr>
      <w:spacing w:line="240" w:lineRule="auto"/>
      <w:ind w:left="709"/>
    </w:pPr>
  </w:style>
  <w:style w:type="paragraph" w:styleId="Subtitle">
    <w:name w:val="Subtitle"/>
    <w:basedOn w:val="Normal"/>
    <w:qFormat/>
    <w:rsid w:val="0024053D"/>
    <w:pPr>
      <w:spacing w:after="60" w:line="240" w:lineRule="auto"/>
      <w:jc w:val="center"/>
      <w:outlineLvl w:val="1"/>
    </w:pPr>
    <w:rPr>
      <w:rFonts w:ascii="Arial" w:hAnsi="Arial"/>
      <w:sz w:val="24"/>
    </w:rPr>
  </w:style>
  <w:style w:type="paragraph" w:styleId="CommentText">
    <w:name w:val="annotation text"/>
    <w:basedOn w:val="Normal"/>
    <w:link w:val="CommentTextChar"/>
    <w:uiPriority w:val="99"/>
    <w:semiHidden/>
    <w:rsid w:val="0024053D"/>
    <w:pPr>
      <w:spacing w:line="240" w:lineRule="auto"/>
    </w:pPr>
  </w:style>
  <w:style w:type="paragraph" w:styleId="Title">
    <w:name w:val="Title"/>
    <w:basedOn w:val="Normal"/>
    <w:qFormat/>
    <w:rsid w:val="0024053D"/>
    <w:pPr>
      <w:spacing w:line="240" w:lineRule="auto"/>
    </w:pPr>
    <w:rPr>
      <w:b/>
      <w:sz w:val="36"/>
    </w:rPr>
  </w:style>
  <w:style w:type="paragraph" w:styleId="FootnoteText">
    <w:name w:val="footnote text"/>
    <w:basedOn w:val="Normal"/>
    <w:link w:val="FootnoteTextChar"/>
    <w:uiPriority w:val="99"/>
    <w:semiHidden/>
    <w:rsid w:val="0024053D"/>
    <w:pPr>
      <w:spacing w:line="240" w:lineRule="auto"/>
    </w:pPr>
  </w:style>
  <w:style w:type="paragraph" w:customStyle="1" w:styleId="Hoofdjes">
    <w:name w:val="Hoofdjes"/>
    <w:basedOn w:val="Normal"/>
    <w:rsid w:val="0024053D"/>
    <w:pPr>
      <w:spacing w:line="190" w:lineRule="exact"/>
    </w:pPr>
    <w:rPr>
      <w:spacing w:val="6"/>
      <w:sz w:val="14"/>
    </w:rPr>
  </w:style>
  <w:style w:type="paragraph" w:customStyle="1" w:styleId="Hoofdjesregel13pt">
    <w:name w:val="Hoofdjes regel 13 pt"/>
    <w:basedOn w:val="Hoofdjes"/>
    <w:rsid w:val="0024053D"/>
    <w:pPr>
      <w:spacing w:line="260" w:lineRule="exact"/>
    </w:pPr>
  </w:style>
  <w:style w:type="paragraph" w:customStyle="1" w:styleId="HoofdjesZwart">
    <w:name w:val="HoofdjesZwart"/>
    <w:basedOn w:val="Normal"/>
    <w:rsid w:val="0024053D"/>
    <w:pPr>
      <w:spacing w:line="240" w:lineRule="auto"/>
    </w:pPr>
    <w:rPr>
      <w:spacing w:val="6"/>
      <w:sz w:val="14"/>
    </w:rPr>
  </w:style>
  <w:style w:type="paragraph" w:customStyle="1" w:styleId="Kleinetekst">
    <w:name w:val="Kleine tekst"/>
    <w:basedOn w:val="Normal"/>
    <w:rsid w:val="0024053D"/>
    <w:pPr>
      <w:spacing w:before="57" w:after="57" w:line="240" w:lineRule="auto"/>
    </w:pPr>
    <w:rPr>
      <w:spacing w:val="10"/>
      <w:sz w:val="14"/>
    </w:rPr>
  </w:style>
  <w:style w:type="paragraph" w:customStyle="1" w:styleId="Memohoofd">
    <w:name w:val="Memohoofd"/>
    <w:basedOn w:val="Normal"/>
    <w:rsid w:val="0024053D"/>
    <w:pPr>
      <w:spacing w:line="240" w:lineRule="exact"/>
    </w:pPr>
  </w:style>
  <w:style w:type="paragraph" w:customStyle="1" w:styleId="GroteLetters">
    <w:name w:val="Grote Letters"/>
    <w:basedOn w:val="Normal"/>
    <w:rsid w:val="0024053D"/>
    <w:pPr>
      <w:spacing w:line="364" w:lineRule="exact"/>
    </w:pPr>
    <w:rPr>
      <w:sz w:val="28"/>
    </w:rPr>
  </w:style>
  <w:style w:type="character" w:styleId="FootnoteReference">
    <w:name w:val="footnote reference"/>
    <w:basedOn w:val="DefaultParagraphFont"/>
    <w:uiPriority w:val="99"/>
    <w:semiHidden/>
    <w:rsid w:val="00BB7CCF"/>
    <w:rPr>
      <w:vertAlign w:val="superscript"/>
    </w:rPr>
  </w:style>
  <w:style w:type="character" w:customStyle="1" w:styleId="FooterChar">
    <w:name w:val="Footer Char"/>
    <w:basedOn w:val="DefaultParagraphFont"/>
    <w:link w:val="Footer"/>
    <w:uiPriority w:val="99"/>
    <w:rsid w:val="00BF3F64"/>
    <w:rPr>
      <w:rFonts w:ascii="Univers" w:hAnsi="Univers"/>
    </w:rPr>
  </w:style>
  <w:style w:type="paragraph" w:styleId="ListParagraph">
    <w:name w:val="List Paragraph"/>
    <w:basedOn w:val="Normal"/>
    <w:uiPriority w:val="34"/>
    <w:qFormat/>
    <w:rsid w:val="00225092"/>
    <w:pPr>
      <w:ind w:left="720"/>
      <w:contextualSpacing/>
    </w:pPr>
  </w:style>
  <w:style w:type="character" w:styleId="Hyperlink">
    <w:name w:val="Hyperlink"/>
    <w:basedOn w:val="DefaultParagraphFont"/>
    <w:rsid w:val="00DD3086"/>
    <w:rPr>
      <w:color w:val="0000FF" w:themeColor="hyperlink"/>
      <w:u w:val="single"/>
    </w:rPr>
  </w:style>
  <w:style w:type="character" w:styleId="CommentReference">
    <w:name w:val="annotation reference"/>
    <w:basedOn w:val="DefaultParagraphFont"/>
    <w:uiPriority w:val="99"/>
    <w:rsid w:val="00FA1BC4"/>
    <w:rPr>
      <w:sz w:val="16"/>
      <w:szCs w:val="16"/>
    </w:rPr>
  </w:style>
  <w:style w:type="paragraph" w:styleId="CommentSubject">
    <w:name w:val="annotation subject"/>
    <w:basedOn w:val="CommentText"/>
    <w:next w:val="CommentText"/>
    <w:link w:val="CommentSubjectChar"/>
    <w:rsid w:val="00FA1BC4"/>
    <w:rPr>
      <w:b/>
      <w:bCs/>
    </w:rPr>
  </w:style>
  <w:style w:type="character" w:customStyle="1" w:styleId="CommentTextChar">
    <w:name w:val="Comment Text Char"/>
    <w:basedOn w:val="DefaultParagraphFont"/>
    <w:link w:val="CommentText"/>
    <w:uiPriority w:val="99"/>
    <w:semiHidden/>
    <w:rsid w:val="00FA1BC4"/>
    <w:rPr>
      <w:rFonts w:ascii="Univers" w:hAnsi="Univers"/>
    </w:rPr>
  </w:style>
  <w:style w:type="character" w:customStyle="1" w:styleId="CommentSubjectChar">
    <w:name w:val="Comment Subject Char"/>
    <w:basedOn w:val="CommentTextChar"/>
    <w:link w:val="CommentSubject"/>
    <w:rsid w:val="00FA1BC4"/>
    <w:rPr>
      <w:rFonts w:ascii="Univers" w:hAnsi="Univers"/>
    </w:rPr>
  </w:style>
  <w:style w:type="paragraph" w:styleId="BalloonText">
    <w:name w:val="Balloon Text"/>
    <w:basedOn w:val="Normal"/>
    <w:link w:val="BalloonTextChar"/>
    <w:rsid w:val="00FA1BC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A1BC4"/>
    <w:rPr>
      <w:rFonts w:ascii="Tahoma" w:hAnsi="Tahoma" w:cs="Tahoma"/>
      <w:sz w:val="16"/>
      <w:szCs w:val="16"/>
    </w:rPr>
  </w:style>
  <w:style w:type="paragraph" w:styleId="Revision">
    <w:name w:val="Revision"/>
    <w:hidden/>
    <w:uiPriority w:val="99"/>
    <w:semiHidden/>
    <w:rsid w:val="00F80EF2"/>
    <w:rPr>
      <w:rFonts w:ascii="Univers" w:hAnsi="Univers"/>
    </w:rPr>
  </w:style>
  <w:style w:type="character" w:customStyle="1" w:styleId="FootnoteTextChar">
    <w:name w:val="Footnote Text Char"/>
    <w:basedOn w:val="DefaultParagraphFont"/>
    <w:link w:val="FootnoteText"/>
    <w:uiPriority w:val="99"/>
    <w:semiHidden/>
    <w:rsid w:val="009345F8"/>
    <w:rPr>
      <w:rFonts w:ascii="Univers" w:hAnsi="Univers"/>
    </w:rPr>
  </w:style>
  <w:style w:type="paragraph" w:customStyle="1" w:styleId="Huisstijl-Aanhef">
    <w:name w:val="Huisstijl - Aanhef"/>
    <w:basedOn w:val="Normal"/>
    <w:rsid w:val="00B56093"/>
    <w:pPr>
      <w:widowControl w:val="0"/>
      <w:suppressAutoHyphens/>
      <w:autoSpaceDN w:val="0"/>
      <w:spacing w:before="100" w:after="240" w:line="240" w:lineRule="exact"/>
      <w:textAlignment w:val="baseline"/>
    </w:pPr>
    <w:rPr>
      <w:rFonts w:ascii="Verdana" w:eastAsia="DejaVu Sans" w:hAnsi="Verdana" w:cs="Lohit Hindi"/>
      <w:kern w:val="3"/>
      <w:sz w:val="18"/>
      <w:szCs w:val="24"/>
    </w:rPr>
  </w:style>
  <w:style w:type="table" w:styleId="TableGrid">
    <w:name w:val="Table Grid"/>
    <w:basedOn w:val="TableNormal"/>
    <w:uiPriority w:val="59"/>
    <w:rsid w:val="00B67E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141476">
      <w:bodyDiv w:val="1"/>
      <w:marLeft w:val="0"/>
      <w:marRight w:val="0"/>
      <w:marTop w:val="0"/>
      <w:marBottom w:val="0"/>
      <w:divBdr>
        <w:top w:val="none" w:sz="0" w:space="0" w:color="auto"/>
        <w:left w:val="none" w:sz="0" w:space="0" w:color="auto"/>
        <w:bottom w:val="none" w:sz="0" w:space="0" w:color="auto"/>
        <w:right w:val="none" w:sz="0" w:space="0" w:color="auto"/>
      </w:divBdr>
    </w:div>
    <w:div w:id="1425371885">
      <w:bodyDiv w:val="1"/>
      <w:marLeft w:val="0"/>
      <w:marRight w:val="0"/>
      <w:marTop w:val="0"/>
      <w:marBottom w:val="0"/>
      <w:divBdr>
        <w:top w:val="none" w:sz="0" w:space="0" w:color="auto"/>
        <w:left w:val="none" w:sz="0" w:space="0" w:color="auto"/>
        <w:bottom w:val="none" w:sz="0" w:space="0" w:color="auto"/>
        <w:right w:val="none" w:sz="0" w:space="0" w:color="auto"/>
      </w:divBdr>
    </w:div>
    <w:div w:id="175015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JABLONENSETS\SJABLONEN\VWS\VOORDRACHT%20TBV%20RAAD%20VAN%20STATE.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E7E9C-7909-4261-A3B8-D9D1CCBFD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VOORDRACHT TBV RAAD VAN STATE.DOT</Template>
  <TotalTime>27</TotalTime>
  <Pages>10</Pages>
  <Words>2616</Words>
  <Characters>14624</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Centric Training - (020) 523 04 00</Company>
  <LinksUpToDate>false</LinksUpToDate>
  <CharactersWithSpaces>17206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Beheerder</dc:creator>
  <cp:lastModifiedBy>PETSIMERIS, Christodoulos</cp:lastModifiedBy>
  <cp:revision>3</cp:revision>
  <cp:lastPrinted>2019-05-29T13:48:00Z</cp:lastPrinted>
  <dcterms:created xsi:type="dcterms:W3CDTF">2019-07-08T12:56:00Z</dcterms:created>
  <dcterms:modified xsi:type="dcterms:W3CDTF">2019-07-19T13:53:00Z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Minuut">
    <vt:lpwstr>Origineel</vt:lpwstr>
  </property>
</Properties>
</file>