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C57" w:rsidRPr="00814C17" w:rsidRDefault="00E17C57" w:rsidP="00E17C57">
      <w:pPr>
        <w:spacing w:after="120"/>
        <w:jc w:val="center"/>
        <w:rPr>
          <w:rFonts w:ascii="Courier New" w:hAnsi="Courier New"/>
        </w:rPr>
      </w:pPr>
      <w:r>
        <w:rPr>
          <w:rFonts w:ascii="Courier New" w:hAnsi="Courier New"/>
        </w:rPr>
        <w:t>1. ------IND- 2019 0331 NL- ES- ------ 20190722 --- --- PROJET</w:t>
      </w:r>
    </w:p>
    <w:p w:rsidR="00E27C82" w:rsidRDefault="00E27C82" w:rsidP="00E17C57"/>
    <w:p w:rsidR="00E27C82" w:rsidRPr="00E27C82" w:rsidRDefault="00E27C82" w:rsidP="00E17C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tblGrid>
      <w:tr w:rsidR="007E7D62" w:rsidTr="00E17C57">
        <w:trPr>
          <w:cantSplit/>
        </w:trPr>
        <w:tc>
          <w:tcPr>
            <w:tcW w:w="3189" w:type="dxa"/>
            <w:tcBorders>
              <w:top w:val="nil"/>
              <w:left w:val="nil"/>
              <w:bottom w:val="nil"/>
              <w:right w:val="nil"/>
            </w:tcBorders>
          </w:tcPr>
          <w:p w:rsidR="007E7D62" w:rsidRDefault="007E7D62" w:rsidP="003D0C77">
            <w:pPr>
              <w:ind w:left="567"/>
            </w:pPr>
            <w:r>
              <w:br w:type="page"/>
            </w:r>
            <w:r>
              <w:rPr>
                <w:rFonts w:ascii="Verdana" w:hAnsi="Verdana"/>
                <w:sz w:val="18"/>
              </w:rPr>
              <w:t>Decreto de</w:t>
            </w:r>
            <w:r>
              <w:rPr>
                <w:rFonts w:ascii="Verdana" w:hAnsi="Verdana"/>
                <w:sz w:val="18"/>
              </w:rPr>
              <w:br/>
            </w:r>
            <w:r>
              <w:rPr>
                <w:rFonts w:ascii="Verdana" w:hAnsi="Verdana"/>
                <w:sz w:val="18"/>
              </w:rPr>
              <w:br/>
            </w:r>
            <w:r>
              <w:rPr>
                <w:rFonts w:ascii="Verdana" w:hAnsi="Verdana"/>
                <w:sz w:val="18"/>
              </w:rPr>
              <w:br/>
            </w:r>
            <w:r>
              <w:rPr>
                <w:rFonts w:ascii="Verdana" w:hAnsi="Verdana"/>
                <w:sz w:val="18"/>
              </w:rPr>
              <w:br/>
              <w:t>por el que se modifica el Decreto de la Ley de productos básicos sobre preparados a base de hierbas y el Decreto de la Ley de productos básicos sobre sanciones administrativas en relación con la incorporación de determinadas sustancias nocivas en preparados a base de hierbas y la aplicación de ciertas modificaciones técnicas</w:t>
            </w:r>
          </w:p>
        </w:tc>
      </w:tr>
      <w:tr w:rsidR="00732703" w:rsidTr="00E17C57">
        <w:trPr>
          <w:cantSplit/>
        </w:trPr>
        <w:tc>
          <w:tcPr>
            <w:tcW w:w="3189" w:type="dxa"/>
            <w:tcBorders>
              <w:top w:val="nil"/>
              <w:left w:val="nil"/>
              <w:bottom w:val="nil"/>
              <w:right w:val="nil"/>
            </w:tcBorders>
          </w:tcPr>
          <w:p w:rsidR="00732703" w:rsidRDefault="00732703" w:rsidP="00E17C57"/>
        </w:tc>
      </w:tr>
    </w:tbl>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pStyle w:val="Ondertekening"/>
        <w:spacing w:before="0"/>
        <w:ind w:left="567"/>
      </w:pPr>
    </w:p>
    <w:p w:rsidR="007E7D62" w:rsidRPr="008E734A" w:rsidRDefault="007E7D62" w:rsidP="00E17C57">
      <w:pPr>
        <w:ind w:left="2268"/>
        <w:rPr>
          <w:rFonts w:ascii="Verdana" w:hAnsi="Verdana"/>
          <w:sz w:val="18"/>
          <w:szCs w:val="18"/>
        </w:rPr>
      </w:pPr>
      <w:r>
        <w:rPr>
          <w:rFonts w:ascii="Verdana" w:hAnsi="Verdana"/>
          <w:sz w:val="18"/>
        </w:rPr>
        <w:t>A propuesta del Ministro de Sanidad de 2019, -VGP;</w:t>
      </w:r>
    </w:p>
    <w:p w:rsidR="007E7D62" w:rsidRPr="008E734A" w:rsidRDefault="007E7D62" w:rsidP="00E17C57">
      <w:pPr>
        <w:ind w:left="2268"/>
        <w:rPr>
          <w:rFonts w:ascii="Verdana" w:hAnsi="Verdana"/>
          <w:sz w:val="18"/>
          <w:szCs w:val="18"/>
        </w:rPr>
      </w:pPr>
    </w:p>
    <w:p w:rsidR="007E7D62" w:rsidRPr="008E734A" w:rsidRDefault="007E7D62" w:rsidP="00E17C57">
      <w:pPr>
        <w:ind w:left="2268"/>
        <w:rPr>
          <w:rFonts w:ascii="Verdana" w:hAnsi="Verdana"/>
          <w:sz w:val="18"/>
          <w:szCs w:val="18"/>
        </w:rPr>
      </w:pPr>
      <w:r>
        <w:rPr>
          <w:rFonts w:ascii="Verdana" w:hAnsi="Verdana"/>
          <w:sz w:val="18"/>
        </w:rPr>
        <w:t>Visto el artículo 4, apartado 1, el artículo 8, apartado 1, letra c), y el artículo 14, de la Ley de productos básicos;</w:t>
      </w:r>
    </w:p>
    <w:p w:rsidR="007E7D62" w:rsidRPr="008E734A" w:rsidRDefault="007E7D62" w:rsidP="00E17C57">
      <w:pPr>
        <w:ind w:left="2268"/>
        <w:rPr>
          <w:rFonts w:ascii="Verdana" w:hAnsi="Verdana"/>
          <w:sz w:val="18"/>
          <w:szCs w:val="18"/>
        </w:rPr>
      </w:pPr>
    </w:p>
    <w:p w:rsidR="007E7D62" w:rsidRPr="008E734A" w:rsidRDefault="007E7D62" w:rsidP="00E17C57">
      <w:pPr>
        <w:ind w:left="2268"/>
        <w:rPr>
          <w:rFonts w:ascii="Verdana" w:hAnsi="Verdana"/>
          <w:sz w:val="18"/>
          <w:szCs w:val="18"/>
        </w:rPr>
      </w:pPr>
      <w:r>
        <w:rPr>
          <w:rFonts w:ascii="Verdana" w:hAnsi="Verdana"/>
          <w:sz w:val="18"/>
        </w:rPr>
        <w:t>Oído el dictamen de la Comisión Consultiva del Consejo de Estado (dictamen de ..., n.º ...);</w:t>
      </w:r>
    </w:p>
    <w:p w:rsidR="007E7D62" w:rsidRPr="008F0589" w:rsidRDefault="007E7D62" w:rsidP="00E17C57">
      <w:pPr>
        <w:ind w:left="2268"/>
        <w:rPr>
          <w:rFonts w:ascii="Verdana" w:hAnsi="Verdana"/>
          <w:sz w:val="18"/>
          <w:szCs w:val="18"/>
        </w:rPr>
      </w:pPr>
    </w:p>
    <w:p w:rsidR="007E7D62" w:rsidRPr="008F0589" w:rsidRDefault="007E7D62" w:rsidP="00E17C57">
      <w:pPr>
        <w:ind w:left="2268"/>
        <w:rPr>
          <w:rFonts w:ascii="Verdana" w:hAnsi="Verdana"/>
          <w:sz w:val="18"/>
          <w:szCs w:val="18"/>
        </w:rPr>
      </w:pPr>
      <w:r>
        <w:rPr>
          <w:rFonts w:ascii="Verdana" w:hAnsi="Verdana"/>
          <w:sz w:val="18"/>
        </w:rPr>
        <w:t>Habida cuenta del informe adicional de la Ministro de Sanidad de 2019, -VGP;</w:t>
      </w:r>
    </w:p>
    <w:p w:rsidR="007E7D62" w:rsidRPr="008F0589" w:rsidRDefault="007E7D62" w:rsidP="00E17C57">
      <w:pPr>
        <w:ind w:left="2268"/>
        <w:rPr>
          <w:rFonts w:ascii="Verdana" w:hAnsi="Verdana"/>
          <w:sz w:val="18"/>
          <w:szCs w:val="18"/>
        </w:rPr>
      </w:pPr>
    </w:p>
    <w:p w:rsidR="007E7D62" w:rsidRPr="008F0589" w:rsidRDefault="007E7D62" w:rsidP="00E17C57">
      <w:pPr>
        <w:ind w:left="2268"/>
        <w:rPr>
          <w:rFonts w:ascii="Verdana" w:hAnsi="Verdana"/>
          <w:sz w:val="18"/>
          <w:szCs w:val="18"/>
        </w:rPr>
      </w:pPr>
      <w:r>
        <w:rPr>
          <w:rFonts w:ascii="Verdana" w:hAnsi="Verdana"/>
          <w:sz w:val="18"/>
        </w:rPr>
        <w:t>Por el presente apruebo y decreto lo siguiente:</w:t>
      </w:r>
    </w:p>
    <w:p w:rsidR="007E7D62" w:rsidRPr="008F0589" w:rsidRDefault="007E7D62" w:rsidP="00E17C57">
      <w:pPr>
        <w:ind w:left="2268"/>
        <w:rPr>
          <w:rFonts w:ascii="Verdana" w:hAnsi="Verdana"/>
          <w:sz w:val="18"/>
          <w:szCs w:val="18"/>
        </w:rPr>
      </w:pPr>
    </w:p>
    <w:p w:rsidR="007E7D62" w:rsidRPr="008F0589" w:rsidRDefault="007E7D62" w:rsidP="00E17C57">
      <w:pPr>
        <w:ind w:left="2268"/>
        <w:rPr>
          <w:rFonts w:ascii="Verdana" w:hAnsi="Verdana"/>
          <w:sz w:val="18"/>
          <w:szCs w:val="18"/>
        </w:rPr>
      </w:pPr>
    </w:p>
    <w:p w:rsidR="007E7D62" w:rsidRPr="008F0589" w:rsidRDefault="007E7D62" w:rsidP="00E17C57">
      <w:pPr>
        <w:keepNext/>
        <w:keepLines/>
        <w:ind w:left="2268"/>
        <w:rPr>
          <w:rFonts w:ascii="Verdana" w:hAnsi="Verdana"/>
          <w:b/>
          <w:sz w:val="18"/>
          <w:szCs w:val="18"/>
        </w:rPr>
      </w:pPr>
      <w:r>
        <w:rPr>
          <w:rFonts w:ascii="Verdana" w:hAnsi="Verdana"/>
          <w:b/>
          <w:sz w:val="18"/>
        </w:rPr>
        <w:t>Artículo I</w:t>
      </w:r>
    </w:p>
    <w:p w:rsidR="007E7D62" w:rsidRPr="008F0589" w:rsidRDefault="007E7D62" w:rsidP="00E17C57">
      <w:pPr>
        <w:keepNext/>
        <w:keepLines/>
        <w:ind w:left="2268"/>
        <w:rPr>
          <w:rFonts w:ascii="Verdana" w:hAnsi="Verdana"/>
          <w:sz w:val="18"/>
          <w:szCs w:val="18"/>
        </w:rPr>
      </w:pPr>
    </w:p>
    <w:p w:rsidR="007E7D62" w:rsidRDefault="007E7D62" w:rsidP="00E17C57">
      <w:pPr>
        <w:ind w:left="2268"/>
        <w:rPr>
          <w:rFonts w:ascii="Verdana" w:hAnsi="Verdana"/>
          <w:sz w:val="18"/>
          <w:szCs w:val="18"/>
        </w:rPr>
      </w:pPr>
      <w:r>
        <w:rPr>
          <w:rFonts w:ascii="Verdana" w:hAnsi="Verdana"/>
          <w:sz w:val="18"/>
        </w:rPr>
        <w:t>El Decreto de la Ley de productos básicos sobre preparados a base de hierbas se modifica como sigue:</w:t>
      </w:r>
    </w:p>
    <w:p w:rsidR="00060A6E" w:rsidRDefault="00060A6E" w:rsidP="00E17C57">
      <w:pPr>
        <w:ind w:left="2268"/>
        <w:rPr>
          <w:rFonts w:ascii="Verdana" w:hAnsi="Verdana"/>
          <w:sz w:val="18"/>
          <w:szCs w:val="18"/>
        </w:rPr>
      </w:pPr>
    </w:p>
    <w:p w:rsidR="00060A6E" w:rsidRDefault="00060A6E" w:rsidP="00E17C57">
      <w:pPr>
        <w:keepNext/>
        <w:keepLines/>
        <w:ind w:left="2268"/>
        <w:rPr>
          <w:rFonts w:ascii="Verdana" w:hAnsi="Verdana"/>
          <w:sz w:val="18"/>
          <w:szCs w:val="18"/>
        </w:rPr>
      </w:pPr>
      <w:r>
        <w:rPr>
          <w:rFonts w:ascii="Verdana" w:hAnsi="Verdana"/>
          <w:sz w:val="18"/>
        </w:rPr>
        <w:lastRenderedPageBreak/>
        <w:t>A</w:t>
      </w:r>
    </w:p>
    <w:p w:rsidR="00093369" w:rsidRDefault="00093369" w:rsidP="00E17C57">
      <w:pPr>
        <w:keepNext/>
        <w:keepLines/>
        <w:ind w:left="2268"/>
        <w:rPr>
          <w:rFonts w:ascii="Verdana" w:hAnsi="Verdana"/>
          <w:sz w:val="18"/>
          <w:szCs w:val="18"/>
        </w:rPr>
      </w:pPr>
    </w:p>
    <w:p w:rsidR="000C18E4" w:rsidRDefault="00732703" w:rsidP="00E17C57">
      <w:pPr>
        <w:keepNext/>
        <w:keepLines/>
        <w:ind w:left="2268"/>
        <w:rPr>
          <w:rFonts w:ascii="Verdana" w:hAnsi="Verdana"/>
          <w:sz w:val="18"/>
          <w:szCs w:val="18"/>
        </w:rPr>
      </w:pPr>
      <w:r>
        <w:rPr>
          <w:rFonts w:ascii="Verdana" w:hAnsi="Verdana"/>
          <w:sz w:val="18"/>
        </w:rPr>
        <w:t>El artículo 4 se modifica como sigue:</w:t>
      </w:r>
    </w:p>
    <w:p w:rsidR="00443563" w:rsidRPr="00443563" w:rsidRDefault="00443563" w:rsidP="00E17C57">
      <w:pPr>
        <w:pStyle w:val="ListParagraph"/>
        <w:keepNext/>
        <w:keepLines/>
        <w:numPr>
          <w:ilvl w:val="0"/>
          <w:numId w:val="29"/>
        </w:numPr>
        <w:rPr>
          <w:rFonts w:ascii="Verdana" w:hAnsi="Verdana"/>
          <w:sz w:val="18"/>
          <w:szCs w:val="18"/>
        </w:rPr>
      </w:pPr>
      <w:r>
        <w:rPr>
          <w:rFonts w:ascii="Verdana" w:hAnsi="Verdana"/>
          <w:sz w:val="18"/>
        </w:rPr>
        <w:t>el apartado 1 se reformula como sigue:</w:t>
      </w:r>
    </w:p>
    <w:p w:rsidR="000C18E4" w:rsidRPr="00443563" w:rsidRDefault="0043098B" w:rsidP="00E17C57">
      <w:pPr>
        <w:pStyle w:val="ListParagraph"/>
        <w:numPr>
          <w:ilvl w:val="0"/>
          <w:numId w:val="30"/>
        </w:numPr>
        <w:rPr>
          <w:rFonts w:ascii="Verdana" w:hAnsi="Verdana"/>
          <w:sz w:val="18"/>
          <w:szCs w:val="18"/>
        </w:rPr>
      </w:pPr>
      <w:r>
        <w:rPr>
          <w:rFonts w:ascii="Verdana" w:hAnsi="Verdana"/>
          <w:sz w:val="18"/>
        </w:rPr>
        <w:t>«1. La cantidad de alcaloides de pirrolicidina tóxicos en los preparados a base de hierbas no podrá exceder 1 µg por kilo o por litro, respectivamente.»;</w:t>
      </w:r>
    </w:p>
    <w:p w:rsidR="000C18E4" w:rsidRPr="0043098B" w:rsidRDefault="0043098B" w:rsidP="00E17C57">
      <w:pPr>
        <w:keepNext/>
        <w:keepLines/>
        <w:tabs>
          <w:tab w:val="left" w:pos="2835"/>
        </w:tabs>
        <w:ind w:left="2268"/>
        <w:rPr>
          <w:rFonts w:ascii="Verdana" w:hAnsi="Verdana"/>
          <w:sz w:val="18"/>
          <w:szCs w:val="18"/>
        </w:rPr>
      </w:pPr>
      <w:r>
        <w:rPr>
          <w:rFonts w:ascii="Verdana" w:hAnsi="Verdana"/>
          <w:sz w:val="18"/>
        </w:rPr>
        <w:t>2)</w:t>
      </w:r>
      <w:r>
        <w:tab/>
      </w:r>
      <w:r>
        <w:rPr>
          <w:rFonts w:ascii="Verdana" w:hAnsi="Verdana"/>
          <w:sz w:val="18"/>
        </w:rPr>
        <w:t>el apartado 2 se reformula como sigue:</w:t>
      </w:r>
    </w:p>
    <w:p w:rsidR="00732703" w:rsidRPr="000C18E4" w:rsidRDefault="000C18E4" w:rsidP="00E17C57">
      <w:pPr>
        <w:keepNext/>
        <w:keepLines/>
        <w:ind w:left="2780" w:firstLine="56"/>
        <w:rPr>
          <w:rFonts w:ascii="Verdana" w:hAnsi="Verdana"/>
          <w:sz w:val="18"/>
          <w:szCs w:val="18"/>
        </w:rPr>
      </w:pPr>
      <w:r>
        <w:rPr>
          <w:rFonts w:ascii="Verdana" w:hAnsi="Verdana"/>
          <w:sz w:val="18"/>
        </w:rPr>
        <w:t>«2.</w:t>
      </w:r>
      <w:r>
        <w:tab/>
      </w:r>
      <w:r>
        <w:rPr>
          <w:rFonts w:ascii="Verdana" w:hAnsi="Verdana"/>
          <w:sz w:val="18"/>
        </w:rPr>
        <w:t>Los preparados a base de hierbas no contendrán:</w:t>
      </w:r>
    </w:p>
    <w:p w:rsidR="00060A6E" w:rsidRPr="005016F0" w:rsidRDefault="00BF3143" w:rsidP="00E17C57">
      <w:pPr>
        <w:pStyle w:val="ListParagraph"/>
        <w:numPr>
          <w:ilvl w:val="1"/>
          <w:numId w:val="22"/>
        </w:numPr>
        <w:rPr>
          <w:rFonts w:ascii="Verdana" w:hAnsi="Verdana"/>
          <w:sz w:val="18"/>
          <w:szCs w:val="18"/>
        </w:rPr>
      </w:pPr>
      <w:r>
        <w:rPr>
          <w:rFonts w:ascii="Verdana" w:hAnsi="Verdana"/>
          <w:sz w:val="18"/>
        </w:rPr>
        <w:t>aconitina ni derivados;</w:t>
      </w:r>
    </w:p>
    <w:p w:rsidR="005016F0" w:rsidRDefault="00BF3143" w:rsidP="00E17C57">
      <w:pPr>
        <w:pStyle w:val="ListParagraph"/>
        <w:numPr>
          <w:ilvl w:val="1"/>
          <w:numId w:val="22"/>
        </w:numPr>
        <w:rPr>
          <w:rFonts w:ascii="Verdana" w:hAnsi="Verdana"/>
          <w:sz w:val="18"/>
          <w:szCs w:val="18"/>
        </w:rPr>
      </w:pPr>
      <w:r>
        <w:rPr>
          <w:rFonts w:ascii="Verdana" w:hAnsi="Verdana"/>
          <w:sz w:val="18"/>
        </w:rPr>
        <w:t>ácidos aristolóquicos ni derivados;</w:t>
      </w:r>
    </w:p>
    <w:p w:rsidR="005016F0" w:rsidRDefault="00BF3143" w:rsidP="00E17C57">
      <w:pPr>
        <w:pStyle w:val="ListParagraph"/>
        <w:numPr>
          <w:ilvl w:val="1"/>
          <w:numId w:val="22"/>
        </w:numPr>
        <w:rPr>
          <w:rFonts w:ascii="Verdana" w:hAnsi="Verdana"/>
          <w:sz w:val="18"/>
          <w:szCs w:val="18"/>
        </w:rPr>
      </w:pPr>
      <w:r>
        <w:rPr>
          <w:rFonts w:ascii="Verdana" w:hAnsi="Verdana"/>
          <w:sz w:val="18"/>
        </w:rPr>
        <w:t>atropina ni derivados;</w:t>
      </w:r>
    </w:p>
    <w:p w:rsidR="005016F0" w:rsidRDefault="005016F0" w:rsidP="00E17C57">
      <w:pPr>
        <w:pStyle w:val="ListParagraph"/>
        <w:numPr>
          <w:ilvl w:val="1"/>
          <w:numId w:val="22"/>
        </w:numPr>
        <w:rPr>
          <w:rFonts w:ascii="Verdana" w:hAnsi="Verdana"/>
          <w:sz w:val="18"/>
          <w:szCs w:val="18"/>
        </w:rPr>
      </w:pPr>
      <w:r>
        <w:rPr>
          <w:rFonts w:ascii="Verdana" w:hAnsi="Verdana"/>
          <w:sz w:val="18"/>
        </w:rPr>
        <w:t>colchicina ni derivados;</w:t>
      </w:r>
    </w:p>
    <w:p w:rsidR="005016F0" w:rsidRDefault="005016F0" w:rsidP="00E17C57">
      <w:pPr>
        <w:pStyle w:val="ListParagraph"/>
        <w:numPr>
          <w:ilvl w:val="1"/>
          <w:numId w:val="22"/>
        </w:numPr>
        <w:rPr>
          <w:rFonts w:ascii="Verdana" w:hAnsi="Verdana"/>
          <w:sz w:val="18"/>
          <w:szCs w:val="18"/>
        </w:rPr>
      </w:pPr>
      <w:r>
        <w:rPr>
          <w:rFonts w:ascii="Verdana" w:hAnsi="Verdana"/>
          <w:sz w:val="18"/>
        </w:rPr>
        <w:t>hiosciamina ni derivados;</w:t>
      </w:r>
    </w:p>
    <w:p w:rsidR="005016F0" w:rsidRDefault="00BF3143" w:rsidP="00E17C57">
      <w:pPr>
        <w:pStyle w:val="ListParagraph"/>
        <w:numPr>
          <w:ilvl w:val="1"/>
          <w:numId w:val="22"/>
        </w:numPr>
        <w:rPr>
          <w:rFonts w:ascii="Verdana" w:hAnsi="Verdana"/>
          <w:sz w:val="18"/>
          <w:szCs w:val="18"/>
        </w:rPr>
      </w:pPr>
      <w:r>
        <w:rPr>
          <w:rFonts w:ascii="Verdana" w:hAnsi="Verdana"/>
          <w:sz w:val="18"/>
        </w:rPr>
        <w:t>m ni o-sinefrina, ni derivados;</w:t>
      </w:r>
    </w:p>
    <w:p w:rsidR="00BF3143" w:rsidRPr="005016F0" w:rsidRDefault="00BF3143" w:rsidP="00E17C57">
      <w:pPr>
        <w:pStyle w:val="ListParagraph"/>
        <w:numPr>
          <w:ilvl w:val="1"/>
          <w:numId w:val="22"/>
        </w:numPr>
        <w:rPr>
          <w:rFonts w:ascii="Verdana" w:hAnsi="Verdana"/>
          <w:sz w:val="18"/>
          <w:szCs w:val="18"/>
        </w:rPr>
      </w:pPr>
      <w:r>
        <w:rPr>
          <w:rFonts w:ascii="Verdana" w:hAnsi="Verdana"/>
          <w:sz w:val="18"/>
        </w:rPr>
        <w:t xml:space="preserve">aceite de </w:t>
      </w:r>
      <w:r>
        <w:rPr>
          <w:rFonts w:ascii="Verdana" w:hAnsi="Verdana"/>
          <w:i/>
          <w:sz w:val="18"/>
        </w:rPr>
        <w:t>Artemisia absinthium</w:t>
      </w:r>
      <w:r>
        <w:rPr>
          <w:rFonts w:ascii="Verdana" w:hAnsi="Verdana"/>
          <w:sz w:val="18"/>
        </w:rPr>
        <w:t xml:space="preserve"> (ajenjo), sin perjuicio de las disposiciones del artículo 6, apartado 2, y el anexo III, parte B, del Reglamento (CE) n.º 1334/2008 sobre la autorización para la presencia de tuyona en algunos alimentos compuestos;</w:t>
      </w:r>
    </w:p>
    <w:p w:rsidR="005016F0" w:rsidRPr="00BF3143" w:rsidRDefault="005016F0" w:rsidP="00E17C57">
      <w:pPr>
        <w:pStyle w:val="ListParagraph"/>
        <w:numPr>
          <w:ilvl w:val="1"/>
          <w:numId w:val="22"/>
        </w:numPr>
        <w:rPr>
          <w:rFonts w:ascii="Verdana" w:hAnsi="Verdana"/>
          <w:sz w:val="18"/>
          <w:szCs w:val="18"/>
        </w:rPr>
      </w:pPr>
      <w:r>
        <w:rPr>
          <w:rFonts w:ascii="Verdana" w:hAnsi="Verdana"/>
          <w:sz w:val="18"/>
        </w:rPr>
        <w:t>pilocarpina ni derivados;</w:t>
      </w:r>
    </w:p>
    <w:p w:rsidR="005016F0" w:rsidRDefault="005016F0" w:rsidP="00E17C57">
      <w:pPr>
        <w:pStyle w:val="ListParagraph"/>
        <w:numPr>
          <w:ilvl w:val="1"/>
          <w:numId w:val="22"/>
        </w:numPr>
        <w:rPr>
          <w:rFonts w:ascii="Verdana" w:hAnsi="Verdana"/>
          <w:sz w:val="18"/>
          <w:szCs w:val="18"/>
        </w:rPr>
      </w:pPr>
      <w:r>
        <w:rPr>
          <w:rFonts w:ascii="Verdana" w:hAnsi="Verdana"/>
          <w:sz w:val="18"/>
        </w:rPr>
        <w:t>escopolamina ni derivados;</w:t>
      </w:r>
    </w:p>
    <w:p w:rsidR="005016F0" w:rsidRDefault="005016F0" w:rsidP="00E17C57">
      <w:pPr>
        <w:pStyle w:val="ListParagraph"/>
        <w:numPr>
          <w:ilvl w:val="1"/>
          <w:numId w:val="22"/>
        </w:numPr>
        <w:rPr>
          <w:rFonts w:ascii="Verdana" w:hAnsi="Verdana"/>
          <w:sz w:val="18"/>
          <w:szCs w:val="18"/>
        </w:rPr>
      </w:pPr>
      <w:r>
        <w:rPr>
          <w:rFonts w:ascii="Verdana" w:hAnsi="Verdana"/>
          <w:sz w:val="18"/>
        </w:rPr>
        <w:t>estricnina ni derivados; y</w:t>
      </w:r>
    </w:p>
    <w:p w:rsidR="00BF3143" w:rsidRDefault="00BF3143" w:rsidP="00E17C57">
      <w:pPr>
        <w:pStyle w:val="ListParagraph"/>
        <w:numPr>
          <w:ilvl w:val="1"/>
          <w:numId w:val="22"/>
        </w:numPr>
        <w:rPr>
          <w:rFonts w:ascii="Verdana" w:hAnsi="Verdana"/>
          <w:sz w:val="18"/>
          <w:szCs w:val="18"/>
        </w:rPr>
      </w:pPr>
      <w:r>
        <w:rPr>
          <w:rFonts w:ascii="Verdana" w:hAnsi="Verdana"/>
          <w:sz w:val="18"/>
        </w:rPr>
        <w:t>alcaloides de yohimbina ni derivados.»;</w:t>
      </w:r>
    </w:p>
    <w:p w:rsidR="000E0515" w:rsidRPr="0043098B" w:rsidRDefault="0043098B" w:rsidP="00E17C57">
      <w:pPr>
        <w:ind w:left="2835" w:hanging="567"/>
        <w:rPr>
          <w:rFonts w:ascii="Verdana" w:hAnsi="Verdana"/>
          <w:sz w:val="18"/>
          <w:szCs w:val="18"/>
        </w:rPr>
      </w:pPr>
      <w:r>
        <w:rPr>
          <w:rFonts w:ascii="Verdana" w:hAnsi="Verdana"/>
          <w:sz w:val="18"/>
        </w:rPr>
        <w:t>3)</w:t>
      </w:r>
      <w:r>
        <w:tab/>
      </w:r>
      <w:r>
        <w:rPr>
          <w:rFonts w:ascii="Verdana" w:hAnsi="Verdana"/>
          <w:sz w:val="18"/>
        </w:rPr>
        <w:t>en el apartado 3, se sustituyen las palabras «las plantas mencionadas en la parte II del anexo» por las palabras «las plantas y los hongos mencionados en el anexo»;</w:t>
      </w:r>
    </w:p>
    <w:p w:rsidR="0043098B" w:rsidRDefault="00E17C57" w:rsidP="00E17C57">
      <w:pPr>
        <w:keepNext/>
        <w:keepLines/>
        <w:ind w:left="2836" w:hanging="568"/>
        <w:rPr>
          <w:rFonts w:ascii="Verdana" w:hAnsi="Verdana"/>
          <w:sz w:val="18"/>
          <w:szCs w:val="18"/>
        </w:rPr>
      </w:pPr>
      <w:r>
        <w:rPr>
          <w:rFonts w:ascii="Verdana" w:hAnsi="Verdana"/>
          <w:sz w:val="18"/>
        </w:rPr>
        <w:t>4)</w:t>
      </w:r>
      <w:r>
        <w:tab/>
      </w:r>
      <w:r>
        <w:rPr>
          <w:rFonts w:ascii="Verdana" w:hAnsi="Verdana"/>
          <w:sz w:val="18"/>
        </w:rPr>
        <w:t>se añaden tres nuevos apartados con la siguiente redacción:</w:t>
      </w:r>
    </w:p>
    <w:p w:rsidR="0043098B" w:rsidRDefault="0043098B" w:rsidP="00E17C57">
      <w:pPr>
        <w:ind w:left="3544" w:hanging="708"/>
        <w:rPr>
          <w:rFonts w:ascii="Verdana" w:hAnsi="Verdana"/>
          <w:sz w:val="18"/>
          <w:szCs w:val="18"/>
        </w:rPr>
      </w:pPr>
      <w:r>
        <w:rPr>
          <w:rFonts w:ascii="Verdana" w:hAnsi="Verdana"/>
          <w:sz w:val="18"/>
        </w:rPr>
        <w:t>«4.</w:t>
      </w:r>
      <w:r>
        <w:tab/>
      </w:r>
      <w:r>
        <w:rPr>
          <w:rFonts w:ascii="Verdana" w:hAnsi="Verdana"/>
          <w:sz w:val="18"/>
        </w:rPr>
        <w:t>Los preparados a base de hierbas contendrán un máximo de ingesta diaria de 27 mg de p-sinefrina, de conformidad con las instrucciones de uso.</w:t>
      </w:r>
    </w:p>
    <w:p w:rsidR="0095665C" w:rsidRDefault="0043098B" w:rsidP="00E17C57">
      <w:pPr>
        <w:ind w:left="3544" w:hanging="708"/>
        <w:rPr>
          <w:rFonts w:ascii="Verdana" w:hAnsi="Verdana"/>
          <w:sz w:val="18"/>
          <w:szCs w:val="18"/>
        </w:rPr>
      </w:pPr>
      <w:r>
        <w:rPr>
          <w:rFonts w:ascii="Verdana" w:hAnsi="Verdana"/>
          <w:sz w:val="18"/>
        </w:rPr>
        <w:t>5.</w:t>
      </w:r>
      <w:r>
        <w:tab/>
      </w:r>
      <w:r>
        <w:rPr>
          <w:rFonts w:ascii="Verdana" w:hAnsi="Verdana"/>
          <w:sz w:val="18"/>
        </w:rPr>
        <w:t xml:space="preserve">En contraposición al apartado 3, los preparados a base de hierbas podrán contener aceite extraído de semillas de </w:t>
      </w:r>
      <w:r>
        <w:rPr>
          <w:rFonts w:ascii="Verdana" w:hAnsi="Verdana"/>
          <w:i/>
          <w:sz w:val="18"/>
        </w:rPr>
        <w:t>Ricinus communis</w:t>
      </w:r>
      <w:r>
        <w:rPr>
          <w:rFonts w:ascii="Verdana" w:hAnsi="Verdana"/>
          <w:sz w:val="18"/>
        </w:rPr>
        <w:t xml:space="preserve"> siempre que el uso y las dosis recomendadas estipuladas en virtud del artículo 6, apartado 1, no den lugar a una ingesta de aceite superior a 0,4 g al día.</w:t>
      </w:r>
    </w:p>
    <w:p w:rsidR="00AB3B66" w:rsidRDefault="00AB3B66" w:rsidP="00E17C57">
      <w:pPr>
        <w:ind w:left="3544" w:hanging="708"/>
        <w:rPr>
          <w:rFonts w:ascii="Verdana" w:hAnsi="Verdana"/>
          <w:sz w:val="18"/>
          <w:szCs w:val="18"/>
        </w:rPr>
      </w:pPr>
      <w:r>
        <w:rPr>
          <w:rFonts w:ascii="Verdana" w:hAnsi="Verdana"/>
          <w:sz w:val="18"/>
        </w:rPr>
        <w:t>6.</w:t>
      </w:r>
      <w:r>
        <w:tab/>
      </w:r>
      <w:r>
        <w:rPr>
          <w:rFonts w:ascii="Verdana" w:hAnsi="Verdana"/>
          <w:sz w:val="18"/>
        </w:rPr>
        <w:t>El apartado 1 no se aplicará a las cuestiones cubiertas por las disposiciones del Reglamento (CE) n.º 1881/2006.».</w:t>
      </w:r>
    </w:p>
    <w:p w:rsidR="00D9610F" w:rsidRDefault="00D9610F" w:rsidP="00E17C57">
      <w:pPr>
        <w:ind w:left="2268"/>
        <w:rPr>
          <w:rFonts w:ascii="Verdana" w:hAnsi="Verdana"/>
          <w:sz w:val="18"/>
          <w:szCs w:val="18"/>
        </w:rPr>
      </w:pPr>
    </w:p>
    <w:p w:rsidR="00AB4972" w:rsidRPr="00AB4972" w:rsidRDefault="00AB4972" w:rsidP="00E17C57">
      <w:pPr>
        <w:keepNext/>
        <w:keepLines/>
        <w:ind w:left="2268"/>
        <w:rPr>
          <w:rFonts w:ascii="Verdana" w:hAnsi="Verdana"/>
          <w:sz w:val="18"/>
          <w:szCs w:val="18"/>
        </w:rPr>
      </w:pPr>
      <w:r>
        <w:rPr>
          <w:rFonts w:ascii="Verdana" w:hAnsi="Verdana"/>
          <w:sz w:val="18"/>
        </w:rPr>
        <w:t>B</w:t>
      </w:r>
    </w:p>
    <w:p w:rsidR="00AB4972" w:rsidRDefault="00AB4972" w:rsidP="00E17C57">
      <w:pPr>
        <w:keepNext/>
        <w:keepLines/>
        <w:ind w:left="2268"/>
        <w:rPr>
          <w:rFonts w:ascii="Verdana" w:hAnsi="Verdana"/>
          <w:sz w:val="18"/>
          <w:szCs w:val="18"/>
        </w:rPr>
      </w:pPr>
    </w:p>
    <w:p w:rsidR="003825F1" w:rsidRDefault="003825F1" w:rsidP="00E17C57">
      <w:pPr>
        <w:keepNext/>
        <w:keepLines/>
        <w:ind w:left="2268"/>
        <w:rPr>
          <w:rFonts w:ascii="Verdana" w:hAnsi="Verdana"/>
          <w:sz w:val="18"/>
          <w:szCs w:val="18"/>
        </w:rPr>
      </w:pPr>
      <w:r>
        <w:rPr>
          <w:rFonts w:ascii="Verdana" w:hAnsi="Verdana"/>
          <w:sz w:val="18"/>
        </w:rPr>
        <w:t>En el artículo 6, se añade un apartado con la siguiente redacción:</w:t>
      </w:r>
    </w:p>
    <w:p w:rsidR="003825F1" w:rsidRDefault="003825F1" w:rsidP="00E17C57">
      <w:pPr>
        <w:ind w:left="2836" w:hanging="568"/>
        <w:rPr>
          <w:rFonts w:ascii="Verdana" w:hAnsi="Verdana"/>
          <w:sz w:val="18"/>
          <w:szCs w:val="18"/>
        </w:rPr>
      </w:pPr>
      <w:r>
        <w:rPr>
          <w:rFonts w:ascii="Verdana" w:hAnsi="Verdana"/>
          <w:sz w:val="18"/>
        </w:rPr>
        <w:t xml:space="preserve">«3. </w:t>
      </w:r>
      <w:r>
        <w:tab/>
      </w:r>
      <w:r>
        <w:rPr>
          <w:rFonts w:ascii="Verdana" w:hAnsi="Verdana"/>
          <w:sz w:val="18"/>
        </w:rPr>
        <w:t>El Ministro podrá emitir una orden por la que establezcan normas adicionales sobre el uso y la dosis recomendados, mencionados en los apartados 1 y 2.».</w:t>
      </w:r>
    </w:p>
    <w:p w:rsidR="003825F1" w:rsidRDefault="003825F1" w:rsidP="00E17C57">
      <w:pPr>
        <w:ind w:left="2268"/>
        <w:rPr>
          <w:rFonts w:ascii="Verdana" w:hAnsi="Verdana"/>
          <w:sz w:val="18"/>
          <w:szCs w:val="18"/>
        </w:rPr>
      </w:pPr>
    </w:p>
    <w:p w:rsidR="003825F1" w:rsidRDefault="003825F1" w:rsidP="00E17C57">
      <w:pPr>
        <w:keepNext/>
        <w:keepLines/>
        <w:ind w:left="2268"/>
        <w:rPr>
          <w:rFonts w:ascii="Verdana" w:hAnsi="Verdana"/>
          <w:sz w:val="18"/>
          <w:szCs w:val="18"/>
        </w:rPr>
      </w:pPr>
      <w:r>
        <w:rPr>
          <w:rFonts w:ascii="Verdana" w:hAnsi="Verdana"/>
          <w:sz w:val="18"/>
        </w:rPr>
        <w:t>C</w:t>
      </w:r>
    </w:p>
    <w:p w:rsidR="003825F1" w:rsidRDefault="003825F1" w:rsidP="00E17C57">
      <w:pPr>
        <w:keepNext/>
        <w:keepLines/>
        <w:ind w:left="2268"/>
        <w:rPr>
          <w:rFonts w:ascii="Verdana" w:hAnsi="Verdana"/>
          <w:sz w:val="18"/>
          <w:szCs w:val="18"/>
        </w:rPr>
      </w:pPr>
    </w:p>
    <w:p w:rsidR="00BB07D4" w:rsidRDefault="00BB07D4" w:rsidP="00E17C57">
      <w:pPr>
        <w:ind w:left="2268"/>
        <w:rPr>
          <w:rFonts w:ascii="Verdana" w:hAnsi="Verdana"/>
          <w:sz w:val="18"/>
          <w:szCs w:val="18"/>
        </w:rPr>
      </w:pPr>
      <w:r>
        <w:rPr>
          <w:rFonts w:ascii="Verdana" w:hAnsi="Verdana"/>
          <w:sz w:val="18"/>
        </w:rPr>
        <w:t xml:space="preserve">En el artículo 7, apartado 1, se suprimen las siguientes palabras: «, en el entendimiento de que el artículo 4 (apartados 1 a 3) entrará en vigor el 1 de agosto de 2001 para los preparados a base de hierbas, distintos de los alimentos y las bebidas, destinados exclusivamente para entrar en contacto con diferentes partes de la superficie del cuerpo humano, y que no </w:t>
      </w:r>
      <w:r>
        <w:rPr>
          <w:rFonts w:ascii="Verdana" w:hAnsi="Verdana"/>
          <w:sz w:val="18"/>
        </w:rPr>
        <w:lastRenderedPageBreak/>
        <w:t>contengan plantas distintas de las indicadas en el código 1 de la última columna del anexo.».</w:t>
      </w:r>
    </w:p>
    <w:p w:rsidR="00BB07D4" w:rsidRDefault="00BB07D4" w:rsidP="00E17C57">
      <w:pPr>
        <w:ind w:left="2268"/>
        <w:rPr>
          <w:rFonts w:ascii="Verdana" w:hAnsi="Verdana"/>
          <w:sz w:val="18"/>
          <w:szCs w:val="18"/>
        </w:rPr>
      </w:pPr>
    </w:p>
    <w:p w:rsidR="00BB07D4" w:rsidRDefault="00BB07D4" w:rsidP="00E17C57">
      <w:pPr>
        <w:keepNext/>
        <w:keepLines/>
        <w:ind w:left="2268"/>
        <w:rPr>
          <w:rFonts w:ascii="Verdana" w:hAnsi="Verdana"/>
          <w:sz w:val="18"/>
          <w:szCs w:val="18"/>
        </w:rPr>
      </w:pPr>
      <w:r>
        <w:rPr>
          <w:rFonts w:ascii="Verdana" w:hAnsi="Verdana"/>
          <w:sz w:val="18"/>
        </w:rPr>
        <w:t>D</w:t>
      </w:r>
    </w:p>
    <w:p w:rsidR="00BB07D4" w:rsidRDefault="00BB07D4" w:rsidP="00E17C57">
      <w:pPr>
        <w:keepNext/>
        <w:keepLines/>
        <w:ind w:left="2268"/>
        <w:rPr>
          <w:rFonts w:ascii="Verdana" w:hAnsi="Verdana"/>
          <w:sz w:val="18"/>
          <w:szCs w:val="18"/>
        </w:rPr>
      </w:pPr>
    </w:p>
    <w:p w:rsidR="00BB11AA" w:rsidRDefault="00F6533C" w:rsidP="00E17C57">
      <w:pPr>
        <w:keepNext/>
        <w:keepLines/>
        <w:ind w:left="2268"/>
        <w:rPr>
          <w:rFonts w:ascii="Verdana" w:hAnsi="Verdana"/>
          <w:sz w:val="18"/>
          <w:szCs w:val="18"/>
        </w:rPr>
      </w:pPr>
      <w:r>
        <w:rPr>
          <w:rFonts w:ascii="Verdana" w:hAnsi="Verdana"/>
          <w:sz w:val="18"/>
        </w:rPr>
        <w:t>El anexo se modifica como sigue:</w:t>
      </w:r>
    </w:p>
    <w:p w:rsidR="00F6533C" w:rsidRDefault="00F6533C" w:rsidP="00E17C57">
      <w:pPr>
        <w:pStyle w:val="ListParagraph"/>
        <w:numPr>
          <w:ilvl w:val="0"/>
          <w:numId w:val="23"/>
        </w:numPr>
        <w:rPr>
          <w:rFonts w:ascii="Verdana" w:hAnsi="Verdana"/>
          <w:sz w:val="18"/>
          <w:szCs w:val="18"/>
        </w:rPr>
      </w:pPr>
      <w:bookmarkStart w:id="0" w:name="_GoBack"/>
      <w:bookmarkEnd w:id="0"/>
      <w:r>
        <w:rPr>
          <w:rFonts w:ascii="Verdana" w:hAnsi="Verdana"/>
          <w:sz w:val="18"/>
        </w:rPr>
        <w:t>se sustituyen las palabras «Este anexo corresponde al artículo 4» por las palabras «Este anexo corresponde al artículo 4, apartado 3.»;</w:t>
      </w:r>
    </w:p>
    <w:p w:rsidR="00F6533C" w:rsidRDefault="00BB02A9" w:rsidP="00E17C57">
      <w:pPr>
        <w:pStyle w:val="ListParagraph"/>
        <w:numPr>
          <w:ilvl w:val="0"/>
          <w:numId w:val="23"/>
        </w:numPr>
        <w:rPr>
          <w:rFonts w:ascii="Verdana" w:hAnsi="Verdana"/>
          <w:sz w:val="18"/>
          <w:szCs w:val="18"/>
        </w:rPr>
      </w:pPr>
      <w:r>
        <w:rPr>
          <w:rFonts w:ascii="Verdana" w:hAnsi="Verdana"/>
          <w:sz w:val="18"/>
        </w:rPr>
        <w:t>se suprime la parte I;</w:t>
      </w:r>
    </w:p>
    <w:p w:rsidR="00F6533C" w:rsidRDefault="00BB07D4" w:rsidP="00E17C57">
      <w:pPr>
        <w:pStyle w:val="ListParagraph"/>
        <w:numPr>
          <w:ilvl w:val="0"/>
          <w:numId w:val="23"/>
        </w:numPr>
        <w:rPr>
          <w:rFonts w:ascii="Verdana" w:hAnsi="Verdana"/>
          <w:sz w:val="18"/>
          <w:szCs w:val="18"/>
        </w:rPr>
      </w:pPr>
      <w:r>
        <w:rPr>
          <w:rFonts w:ascii="Verdana" w:hAnsi="Verdana"/>
          <w:sz w:val="18"/>
        </w:rPr>
        <w:t>se sustituyen las palabras «II. Las plantas y los hongos siguientes:» por las palabras «Las plantas y los hongos mencionados en el artículo 4, apartado 3:»;</w:t>
      </w:r>
    </w:p>
    <w:p w:rsidR="00740EC3" w:rsidRDefault="00740EC3" w:rsidP="00E17C57">
      <w:pPr>
        <w:pStyle w:val="ListParagraph"/>
        <w:keepNext/>
        <w:keepLines/>
        <w:numPr>
          <w:ilvl w:val="0"/>
          <w:numId w:val="23"/>
        </w:numPr>
        <w:rPr>
          <w:rFonts w:ascii="Verdana" w:hAnsi="Verdana"/>
          <w:sz w:val="18"/>
          <w:szCs w:val="18"/>
        </w:rPr>
      </w:pPr>
      <w:r>
        <w:rPr>
          <w:rFonts w:ascii="Verdana" w:hAnsi="Verdana"/>
          <w:sz w:val="18"/>
        </w:rPr>
        <w:t>se añaden las siguientes sustancias en orden alfabético:</w:t>
      </w:r>
    </w:p>
    <w:p w:rsidR="00183469" w:rsidRPr="00A27E62" w:rsidRDefault="00740EC3" w:rsidP="00E17C57">
      <w:pPr>
        <w:ind w:left="1919" w:firstLine="709"/>
        <w:rPr>
          <w:rFonts w:ascii="Verdana" w:hAnsi="Verdana"/>
          <w:sz w:val="18"/>
          <w:szCs w:val="18"/>
        </w:rPr>
      </w:pPr>
      <w:r>
        <w:rPr>
          <w:rFonts w:ascii="Verdana" w:hAnsi="Verdana"/>
          <w:sz w:val="18"/>
        </w:rPr>
        <w:t>«</w:t>
      </w:r>
      <w:r>
        <w:rPr>
          <w:rFonts w:ascii="Verdana" w:hAnsi="Verdana"/>
          <w:i/>
          <w:sz w:val="18"/>
        </w:rPr>
        <w:t>Aconitum carmichaelii</w:t>
      </w:r>
      <w:r>
        <w:rPr>
          <w:rFonts w:ascii="Verdana" w:hAnsi="Verdana"/>
          <w:sz w:val="18"/>
        </w:rPr>
        <w:t>;</w:t>
      </w:r>
    </w:p>
    <w:p w:rsidR="00740EC3" w:rsidRPr="00A27E62" w:rsidRDefault="00740EC3" w:rsidP="00E17C57">
      <w:pPr>
        <w:ind w:left="1919" w:firstLine="709"/>
        <w:rPr>
          <w:rFonts w:ascii="Verdana" w:hAnsi="Verdana"/>
          <w:sz w:val="18"/>
          <w:szCs w:val="18"/>
        </w:rPr>
      </w:pPr>
      <w:r>
        <w:rPr>
          <w:rFonts w:ascii="Verdana" w:hAnsi="Verdana"/>
          <w:i/>
          <w:sz w:val="18"/>
        </w:rPr>
        <w:t>Aconitum kusnezoffii</w:t>
      </w:r>
      <w:r>
        <w:rPr>
          <w:rFonts w:ascii="Verdana" w:hAnsi="Verdana"/>
          <w:sz w:val="18"/>
        </w:rPr>
        <w:t>;</w:t>
      </w:r>
    </w:p>
    <w:p w:rsidR="00740EC3" w:rsidRPr="00A27E62" w:rsidRDefault="00740EC3" w:rsidP="00E17C57">
      <w:pPr>
        <w:ind w:left="1919" w:firstLine="709"/>
        <w:rPr>
          <w:rFonts w:ascii="Verdana" w:hAnsi="Verdana"/>
          <w:sz w:val="18"/>
          <w:szCs w:val="18"/>
        </w:rPr>
      </w:pPr>
      <w:r>
        <w:rPr>
          <w:rFonts w:ascii="Verdana" w:hAnsi="Verdana"/>
          <w:i/>
          <w:sz w:val="18"/>
        </w:rPr>
        <w:t>Pilocarpus jaborandi</w:t>
      </w:r>
      <w:r>
        <w:rPr>
          <w:rFonts w:ascii="Verdana" w:hAnsi="Verdana"/>
          <w:sz w:val="18"/>
        </w:rPr>
        <w:t>»;</w:t>
      </w:r>
    </w:p>
    <w:p w:rsidR="00183469" w:rsidRPr="00E17C57" w:rsidRDefault="00BB551C" w:rsidP="00147025">
      <w:pPr>
        <w:pStyle w:val="ListParagraph"/>
        <w:numPr>
          <w:ilvl w:val="0"/>
          <w:numId w:val="23"/>
        </w:numPr>
        <w:rPr>
          <w:rFonts w:ascii="Verdana" w:hAnsi="Verdana"/>
          <w:sz w:val="18"/>
          <w:szCs w:val="18"/>
        </w:rPr>
      </w:pPr>
      <w:r>
        <w:rPr>
          <w:rFonts w:ascii="Verdana" w:hAnsi="Verdana"/>
          <w:sz w:val="18"/>
        </w:rPr>
        <w:t>se sustituyen las palabras «</w:t>
      </w:r>
      <w:r>
        <w:rPr>
          <w:rFonts w:ascii="Verdana" w:hAnsi="Verdana"/>
          <w:i/>
          <w:sz w:val="18"/>
        </w:rPr>
        <w:t>Brassica nigra</w:t>
      </w:r>
      <w:r>
        <w:rPr>
          <w:rFonts w:ascii="Verdana" w:hAnsi="Verdana"/>
          <w:sz w:val="18"/>
        </w:rPr>
        <w:t xml:space="preserve"> (mostaza negra), aparte de su uso en alimentos de las semillas de </w:t>
      </w:r>
      <w:r>
        <w:rPr>
          <w:rFonts w:ascii="Verdana" w:hAnsi="Verdana"/>
          <w:i/>
          <w:sz w:val="18"/>
        </w:rPr>
        <w:t>Bryonia alba</w:t>
      </w:r>
      <w:r>
        <w:rPr>
          <w:rFonts w:ascii="Verdana" w:hAnsi="Verdana"/>
          <w:sz w:val="18"/>
        </w:rPr>
        <w:t xml:space="preserve"> (tuca)» por las palabras «</w:t>
      </w:r>
      <w:r>
        <w:rPr>
          <w:rFonts w:ascii="Verdana" w:hAnsi="Verdana"/>
          <w:i/>
          <w:sz w:val="18"/>
        </w:rPr>
        <w:t>Brassica nigra</w:t>
      </w:r>
      <w:r>
        <w:rPr>
          <w:rFonts w:ascii="Verdana" w:hAnsi="Verdana"/>
          <w:sz w:val="18"/>
        </w:rPr>
        <w:t xml:space="preserve"> (mostaza negra), aparte de su uso en alimentos de las semillas de </w:t>
      </w:r>
      <w:r>
        <w:rPr>
          <w:rFonts w:ascii="Verdana" w:hAnsi="Verdana"/>
          <w:i/>
          <w:sz w:val="18"/>
        </w:rPr>
        <w:t>Bryonia alba</w:t>
      </w:r>
      <w:r>
        <w:rPr>
          <w:rFonts w:ascii="Verdana" w:hAnsi="Verdana"/>
          <w:sz w:val="18"/>
        </w:rPr>
        <w:t xml:space="preserve"> (tuca)»;</w:t>
      </w:r>
    </w:p>
    <w:p w:rsidR="00740EC3" w:rsidRDefault="00740EC3" w:rsidP="00E17C57">
      <w:pPr>
        <w:pStyle w:val="ListParagraph"/>
        <w:numPr>
          <w:ilvl w:val="0"/>
          <w:numId w:val="23"/>
        </w:numPr>
        <w:rPr>
          <w:rFonts w:ascii="Verdana" w:hAnsi="Verdana"/>
          <w:sz w:val="18"/>
          <w:szCs w:val="18"/>
        </w:rPr>
      </w:pPr>
      <w:r>
        <w:rPr>
          <w:rFonts w:ascii="Verdana" w:hAnsi="Verdana"/>
          <w:sz w:val="18"/>
        </w:rPr>
        <w:t>se sustituyen las palabras «</w:t>
      </w:r>
      <w:r>
        <w:rPr>
          <w:rFonts w:ascii="Verdana" w:hAnsi="Verdana"/>
          <w:i/>
          <w:sz w:val="18"/>
        </w:rPr>
        <w:t>Citrullus colocynthidis</w:t>
      </w:r>
      <w:r>
        <w:rPr>
          <w:rFonts w:ascii="Verdana" w:hAnsi="Verdana"/>
          <w:sz w:val="18"/>
        </w:rPr>
        <w:t>» por las palabras «</w:t>
      </w:r>
      <w:r>
        <w:rPr>
          <w:rFonts w:ascii="Verdana" w:hAnsi="Verdana"/>
          <w:i/>
          <w:sz w:val="18"/>
        </w:rPr>
        <w:t>Citrullus colocynthis</w:t>
      </w:r>
      <w:r>
        <w:rPr>
          <w:rFonts w:ascii="Verdana" w:hAnsi="Verdana"/>
          <w:sz w:val="18"/>
        </w:rPr>
        <w:t>»;</w:t>
      </w:r>
    </w:p>
    <w:p w:rsidR="00740EC3" w:rsidRDefault="00740EC3" w:rsidP="00E17C57">
      <w:pPr>
        <w:pStyle w:val="ListParagraph"/>
        <w:numPr>
          <w:ilvl w:val="0"/>
          <w:numId w:val="23"/>
        </w:numPr>
        <w:rPr>
          <w:rFonts w:ascii="Verdana" w:hAnsi="Verdana"/>
          <w:sz w:val="18"/>
          <w:szCs w:val="18"/>
        </w:rPr>
      </w:pPr>
      <w:r>
        <w:rPr>
          <w:rFonts w:ascii="Verdana" w:hAnsi="Verdana"/>
          <w:sz w:val="18"/>
        </w:rPr>
        <w:t>se sustituyen las palabras «</w:t>
      </w:r>
      <w:r>
        <w:rPr>
          <w:rFonts w:ascii="Verdana" w:hAnsi="Verdana"/>
          <w:i/>
          <w:sz w:val="18"/>
        </w:rPr>
        <w:t>Mallotus philipinensis</w:t>
      </w:r>
      <w:r>
        <w:rPr>
          <w:rFonts w:ascii="Verdana" w:hAnsi="Verdana"/>
          <w:sz w:val="18"/>
        </w:rPr>
        <w:t>» por las palabras «</w:t>
      </w:r>
      <w:r>
        <w:rPr>
          <w:rFonts w:ascii="Verdana" w:hAnsi="Verdana"/>
          <w:i/>
          <w:sz w:val="18"/>
        </w:rPr>
        <w:t>Mallotus philippensis</w:t>
      </w:r>
      <w:r>
        <w:rPr>
          <w:rFonts w:ascii="Verdana" w:hAnsi="Verdana"/>
          <w:sz w:val="18"/>
        </w:rPr>
        <w:t>»;</w:t>
      </w:r>
    </w:p>
    <w:p w:rsidR="00740EC3" w:rsidRDefault="00740EC3" w:rsidP="00E17C57">
      <w:pPr>
        <w:pStyle w:val="ListParagraph"/>
        <w:numPr>
          <w:ilvl w:val="0"/>
          <w:numId w:val="23"/>
        </w:numPr>
        <w:rPr>
          <w:rFonts w:ascii="Verdana" w:hAnsi="Verdana"/>
          <w:sz w:val="18"/>
          <w:szCs w:val="18"/>
        </w:rPr>
      </w:pPr>
      <w:r>
        <w:rPr>
          <w:rFonts w:ascii="Verdana" w:hAnsi="Verdana"/>
          <w:sz w:val="18"/>
        </w:rPr>
        <w:t>se sustituyen las palabras «</w:t>
      </w:r>
      <w:r>
        <w:rPr>
          <w:rFonts w:ascii="Verdana" w:hAnsi="Verdana"/>
          <w:i/>
          <w:sz w:val="18"/>
        </w:rPr>
        <w:t>Mandragora officinalis</w:t>
      </w:r>
      <w:r>
        <w:rPr>
          <w:rFonts w:ascii="Verdana" w:hAnsi="Verdana"/>
          <w:sz w:val="18"/>
        </w:rPr>
        <w:t>» por las palabras «</w:t>
      </w:r>
      <w:r>
        <w:rPr>
          <w:rFonts w:ascii="Verdana" w:hAnsi="Verdana"/>
          <w:i/>
          <w:sz w:val="18"/>
        </w:rPr>
        <w:t>Mandragora officinarum</w:t>
      </w:r>
      <w:r>
        <w:rPr>
          <w:rFonts w:ascii="Verdana" w:hAnsi="Verdana"/>
          <w:sz w:val="18"/>
        </w:rPr>
        <w:t>»;</w:t>
      </w:r>
    </w:p>
    <w:p w:rsidR="00BB551C" w:rsidRPr="00C5642F" w:rsidRDefault="00740EC3" w:rsidP="00E17C57">
      <w:pPr>
        <w:pStyle w:val="ListParagraph"/>
        <w:numPr>
          <w:ilvl w:val="0"/>
          <w:numId w:val="23"/>
        </w:numPr>
        <w:rPr>
          <w:rFonts w:ascii="Verdana" w:hAnsi="Verdana"/>
          <w:sz w:val="18"/>
          <w:szCs w:val="18"/>
        </w:rPr>
      </w:pPr>
      <w:r>
        <w:rPr>
          <w:rFonts w:ascii="Verdana" w:hAnsi="Verdana"/>
          <w:sz w:val="18"/>
        </w:rPr>
        <w:t>se sustituyen las palabras «</w:t>
      </w:r>
      <w:r>
        <w:rPr>
          <w:rFonts w:ascii="Verdana" w:hAnsi="Verdana"/>
          <w:i/>
          <w:sz w:val="18"/>
        </w:rPr>
        <w:t>Pausinystalia yohimbe</w:t>
      </w:r>
      <w:r>
        <w:rPr>
          <w:rFonts w:ascii="Verdana" w:hAnsi="Verdana"/>
          <w:sz w:val="18"/>
        </w:rPr>
        <w:t xml:space="preserve"> o </w:t>
      </w:r>
      <w:r>
        <w:rPr>
          <w:rFonts w:ascii="Verdana" w:hAnsi="Verdana"/>
          <w:i/>
          <w:sz w:val="18"/>
        </w:rPr>
        <w:t>Coynanthe yohimbe</w:t>
      </w:r>
      <w:r>
        <w:rPr>
          <w:rFonts w:ascii="Verdana" w:hAnsi="Verdana"/>
          <w:sz w:val="18"/>
        </w:rPr>
        <w:t>» por las palabras «</w:t>
      </w:r>
      <w:r>
        <w:rPr>
          <w:rFonts w:ascii="Verdana" w:hAnsi="Verdana"/>
          <w:i/>
          <w:sz w:val="18"/>
        </w:rPr>
        <w:t>Pausinystalia johimbe</w:t>
      </w:r>
      <w:r>
        <w:rPr>
          <w:rFonts w:ascii="Verdana" w:hAnsi="Verdana"/>
          <w:sz w:val="18"/>
        </w:rPr>
        <w:t xml:space="preserve"> o </w:t>
      </w:r>
      <w:r>
        <w:rPr>
          <w:rFonts w:ascii="Verdana" w:hAnsi="Verdana"/>
          <w:i/>
          <w:sz w:val="18"/>
        </w:rPr>
        <w:t>Corynanthe johimbe</w:t>
      </w:r>
      <w:r>
        <w:rPr>
          <w:rFonts w:ascii="Verdana" w:hAnsi="Verdana"/>
          <w:sz w:val="18"/>
        </w:rPr>
        <w:t>»;</w:t>
      </w:r>
    </w:p>
    <w:p w:rsidR="00740EC3" w:rsidRPr="00C5642F" w:rsidRDefault="00BB551C" w:rsidP="00E17C57">
      <w:pPr>
        <w:pStyle w:val="ListParagraph"/>
        <w:numPr>
          <w:ilvl w:val="0"/>
          <w:numId w:val="23"/>
        </w:numPr>
        <w:rPr>
          <w:rFonts w:ascii="Verdana" w:hAnsi="Verdana"/>
          <w:sz w:val="18"/>
          <w:szCs w:val="18"/>
        </w:rPr>
      </w:pPr>
      <w:r>
        <w:rPr>
          <w:rFonts w:ascii="Verdana" w:hAnsi="Verdana"/>
          <w:sz w:val="18"/>
        </w:rPr>
        <w:t>Se suprime la segunda columna que contiene el número «1».</w:t>
      </w:r>
    </w:p>
    <w:p w:rsidR="007E7D62" w:rsidRDefault="007E7D62" w:rsidP="00E17C57">
      <w:pPr>
        <w:ind w:left="2268"/>
        <w:rPr>
          <w:rFonts w:ascii="Verdana" w:hAnsi="Verdana"/>
          <w:sz w:val="18"/>
          <w:szCs w:val="18"/>
        </w:rPr>
      </w:pPr>
    </w:p>
    <w:p w:rsidR="00E17C57" w:rsidRDefault="00E17C57" w:rsidP="00E17C57">
      <w:pPr>
        <w:ind w:left="2268"/>
        <w:rPr>
          <w:rFonts w:ascii="Verdana" w:hAnsi="Verdana"/>
          <w:sz w:val="18"/>
          <w:szCs w:val="18"/>
        </w:rPr>
      </w:pPr>
    </w:p>
    <w:p w:rsidR="00F517C1" w:rsidRPr="00F517C1" w:rsidRDefault="00F517C1" w:rsidP="00E17C57">
      <w:pPr>
        <w:keepNext/>
        <w:keepLines/>
        <w:ind w:left="2268"/>
        <w:rPr>
          <w:rFonts w:ascii="Verdana" w:hAnsi="Verdana"/>
          <w:b/>
          <w:sz w:val="18"/>
          <w:szCs w:val="18"/>
        </w:rPr>
      </w:pPr>
      <w:r>
        <w:rPr>
          <w:rFonts w:ascii="Verdana" w:hAnsi="Verdana"/>
          <w:b/>
          <w:sz w:val="18"/>
        </w:rPr>
        <w:t>Artículo II</w:t>
      </w:r>
    </w:p>
    <w:p w:rsidR="00F517C1" w:rsidRDefault="00F517C1" w:rsidP="00E17C57">
      <w:pPr>
        <w:keepNext/>
        <w:keepLines/>
        <w:ind w:left="2268"/>
        <w:rPr>
          <w:rFonts w:ascii="Verdana" w:hAnsi="Verdana"/>
          <w:sz w:val="18"/>
          <w:szCs w:val="18"/>
        </w:rPr>
      </w:pPr>
    </w:p>
    <w:p w:rsidR="00F517C1" w:rsidRDefault="008E734A" w:rsidP="00E17C57">
      <w:pPr>
        <w:keepNext/>
        <w:keepLines/>
        <w:ind w:left="2268"/>
        <w:rPr>
          <w:rFonts w:ascii="Verdana" w:hAnsi="Verdana"/>
          <w:sz w:val="18"/>
          <w:szCs w:val="18"/>
        </w:rPr>
      </w:pPr>
      <w:r>
        <w:rPr>
          <w:rFonts w:ascii="Verdana" w:hAnsi="Verdana"/>
          <w:sz w:val="18"/>
        </w:rPr>
        <w:t>En el título C-22 del anexo del Decreto de la Ley de productos básicos sobre sanciones administrativas, después de la sección C-22.4, se añade la siguiente sección:</w:t>
      </w:r>
    </w:p>
    <w:tbl>
      <w:tblPr>
        <w:tblStyle w:val="TableGrid"/>
        <w:tblW w:w="0" w:type="auto"/>
        <w:tblInd w:w="2268" w:type="dxa"/>
        <w:tblLook w:val="04A0" w:firstRow="1" w:lastRow="0" w:firstColumn="1" w:lastColumn="0" w:noHBand="0" w:noVBand="1"/>
      </w:tblPr>
      <w:tblGrid>
        <w:gridCol w:w="1050"/>
        <w:gridCol w:w="3375"/>
        <w:gridCol w:w="1059"/>
        <w:gridCol w:w="1172"/>
        <w:gridCol w:w="521"/>
      </w:tblGrid>
      <w:tr w:rsidR="001960C4" w:rsidTr="00E17C57">
        <w:trPr>
          <w:cantSplit/>
        </w:trPr>
        <w:tc>
          <w:tcPr>
            <w:tcW w:w="1101" w:type="dxa"/>
          </w:tcPr>
          <w:p w:rsidR="001960C4" w:rsidRDefault="001960C4" w:rsidP="00E17C57">
            <w:pPr>
              <w:rPr>
                <w:rFonts w:ascii="Verdana" w:hAnsi="Verdana"/>
                <w:sz w:val="18"/>
                <w:szCs w:val="18"/>
              </w:rPr>
            </w:pPr>
            <w:r>
              <w:rPr>
                <w:rFonts w:ascii="Verdana" w:hAnsi="Verdana"/>
                <w:sz w:val="18"/>
              </w:rPr>
              <w:t>«C-22.4.1</w:t>
            </w:r>
          </w:p>
        </w:tc>
        <w:tc>
          <w:tcPr>
            <w:tcW w:w="3827" w:type="dxa"/>
          </w:tcPr>
          <w:p w:rsidR="001960C4" w:rsidRDefault="001960C4" w:rsidP="00E17C57">
            <w:pPr>
              <w:rPr>
                <w:rFonts w:ascii="Verdana" w:hAnsi="Verdana"/>
                <w:sz w:val="18"/>
                <w:szCs w:val="18"/>
              </w:rPr>
            </w:pPr>
            <w:r>
              <w:rPr>
                <w:rFonts w:ascii="Verdana" w:hAnsi="Verdana"/>
                <w:sz w:val="18"/>
              </w:rPr>
              <w:t>Artículo 2 junto con el artículo 4, apartado 4</w:t>
            </w:r>
          </w:p>
        </w:tc>
        <w:tc>
          <w:tcPr>
            <w:tcW w:w="842" w:type="dxa"/>
          </w:tcPr>
          <w:p w:rsidR="001960C4" w:rsidRDefault="001960C4" w:rsidP="00E17C57">
            <w:pPr>
              <w:rPr>
                <w:rFonts w:ascii="Verdana" w:hAnsi="Verdana"/>
                <w:sz w:val="18"/>
                <w:szCs w:val="18"/>
              </w:rPr>
            </w:pPr>
            <w:r>
              <w:rPr>
                <w:rFonts w:ascii="Verdana" w:hAnsi="Verdana"/>
                <w:sz w:val="18"/>
              </w:rPr>
              <w:t>525 EUR.</w:t>
            </w:r>
          </w:p>
        </w:tc>
        <w:tc>
          <w:tcPr>
            <w:tcW w:w="1001" w:type="dxa"/>
          </w:tcPr>
          <w:p w:rsidR="001960C4" w:rsidRDefault="001960C4" w:rsidP="00E17C57">
            <w:pPr>
              <w:rPr>
                <w:rFonts w:ascii="Verdana" w:hAnsi="Verdana"/>
                <w:sz w:val="18"/>
                <w:szCs w:val="18"/>
              </w:rPr>
            </w:pPr>
            <w:r>
              <w:rPr>
                <w:rFonts w:ascii="Verdana" w:hAnsi="Verdana"/>
                <w:sz w:val="18"/>
              </w:rPr>
              <w:t>1 050 EUR</w:t>
            </w:r>
          </w:p>
        </w:tc>
        <w:tc>
          <w:tcPr>
            <w:tcW w:w="406" w:type="dxa"/>
          </w:tcPr>
          <w:p w:rsidR="001960C4" w:rsidRDefault="001960C4" w:rsidP="00E17C57">
            <w:pPr>
              <w:rPr>
                <w:rFonts w:ascii="Verdana" w:hAnsi="Verdana"/>
                <w:sz w:val="18"/>
                <w:szCs w:val="18"/>
              </w:rPr>
            </w:pPr>
            <w:r>
              <w:rPr>
                <w:rFonts w:ascii="Verdana" w:hAnsi="Verdana"/>
                <w:sz w:val="18"/>
              </w:rPr>
              <w:t>X».</w:t>
            </w:r>
          </w:p>
        </w:tc>
      </w:tr>
    </w:tbl>
    <w:p w:rsidR="00B67E83" w:rsidRDefault="00B67E83" w:rsidP="00E17C57">
      <w:pPr>
        <w:ind w:left="2268"/>
        <w:rPr>
          <w:rFonts w:ascii="Verdana" w:hAnsi="Verdana"/>
          <w:sz w:val="18"/>
          <w:szCs w:val="18"/>
        </w:rPr>
      </w:pPr>
    </w:p>
    <w:p w:rsidR="001960C4" w:rsidRDefault="001960C4" w:rsidP="00E17C57">
      <w:pPr>
        <w:ind w:left="2268"/>
        <w:rPr>
          <w:rFonts w:ascii="Verdana" w:hAnsi="Verdana"/>
          <w:sz w:val="18"/>
          <w:szCs w:val="18"/>
        </w:rPr>
      </w:pPr>
    </w:p>
    <w:p w:rsidR="00B56093" w:rsidRPr="00B56093" w:rsidRDefault="00F517C1" w:rsidP="00E17C57">
      <w:pPr>
        <w:keepNext/>
        <w:keepLines/>
        <w:ind w:left="2268"/>
        <w:rPr>
          <w:rFonts w:ascii="Verdana" w:hAnsi="Verdana"/>
          <w:b/>
          <w:sz w:val="18"/>
          <w:szCs w:val="18"/>
        </w:rPr>
      </w:pPr>
      <w:r>
        <w:rPr>
          <w:rFonts w:ascii="Verdana" w:hAnsi="Verdana"/>
          <w:b/>
          <w:sz w:val="18"/>
        </w:rPr>
        <w:t>Artículo III</w:t>
      </w:r>
    </w:p>
    <w:p w:rsidR="00B56093" w:rsidRDefault="00B56093" w:rsidP="00E17C57">
      <w:pPr>
        <w:keepNext/>
        <w:keepLines/>
        <w:ind w:left="2268"/>
        <w:rPr>
          <w:rFonts w:ascii="Verdana" w:hAnsi="Verdana"/>
          <w:sz w:val="18"/>
          <w:szCs w:val="18"/>
        </w:rPr>
      </w:pPr>
    </w:p>
    <w:p w:rsidR="00D9610F" w:rsidRDefault="00D9610F" w:rsidP="00E17C57">
      <w:pPr>
        <w:ind w:left="2836" w:hanging="568"/>
        <w:rPr>
          <w:rFonts w:ascii="Verdana" w:hAnsi="Verdana"/>
          <w:sz w:val="18"/>
          <w:szCs w:val="18"/>
        </w:rPr>
      </w:pPr>
      <w:r>
        <w:rPr>
          <w:rFonts w:ascii="Verdana" w:hAnsi="Verdana"/>
          <w:sz w:val="18"/>
        </w:rPr>
        <w:t>El presente Decreto entrará en vigor el 1 de enero de 2020.</w:t>
      </w:r>
    </w:p>
    <w:p w:rsidR="003143CD" w:rsidRPr="008F0589" w:rsidRDefault="003143CD" w:rsidP="00E17C57">
      <w:pPr>
        <w:ind w:left="2268"/>
        <w:rPr>
          <w:rFonts w:ascii="Verdana" w:hAnsi="Verdana"/>
          <w:sz w:val="18"/>
          <w:szCs w:val="18"/>
        </w:rPr>
      </w:pPr>
    </w:p>
    <w:p w:rsidR="003143CD" w:rsidRDefault="007E7D62" w:rsidP="00E17C57">
      <w:pPr>
        <w:ind w:left="2268"/>
        <w:rPr>
          <w:rFonts w:ascii="Verdana" w:hAnsi="Verdana"/>
          <w:snapToGrid w:val="0"/>
          <w:sz w:val="18"/>
          <w:szCs w:val="18"/>
        </w:rPr>
      </w:pPr>
      <w:r>
        <w:rPr>
          <w:rFonts w:ascii="Verdana" w:hAnsi="Verdana"/>
          <w:snapToGrid w:val="0"/>
          <w:sz w:val="18"/>
        </w:rPr>
        <w:t>Por el presente ordeno que este Decreto y su respectiva exposición de motivos se publiquen en el Boletín Oficial.</w:t>
      </w:r>
    </w:p>
    <w:p w:rsidR="003143CD" w:rsidRDefault="003143CD" w:rsidP="00E17C57">
      <w:pPr>
        <w:ind w:left="2268"/>
        <w:rPr>
          <w:rFonts w:ascii="Verdana" w:hAnsi="Verdana"/>
          <w:snapToGrid w:val="0"/>
          <w:sz w:val="18"/>
          <w:szCs w:val="18"/>
        </w:rPr>
      </w:pPr>
    </w:p>
    <w:p w:rsidR="003143CD" w:rsidRDefault="003143CD" w:rsidP="00E17C57">
      <w:pPr>
        <w:tabs>
          <w:tab w:val="left" w:pos="2268"/>
        </w:tabs>
        <w:ind w:left="2268"/>
        <w:rPr>
          <w:rFonts w:ascii="Verdana" w:hAnsi="Verdana"/>
          <w:kern w:val="2"/>
          <w:sz w:val="18"/>
          <w:szCs w:val="18"/>
        </w:rPr>
      </w:pPr>
      <w:r>
        <w:rPr>
          <w:rFonts w:ascii="Verdana" w:hAnsi="Verdana"/>
          <w:kern w:val="2"/>
          <w:sz w:val="18"/>
        </w:rPr>
        <w:t>El Ministro de Sanidad,</w:t>
      </w: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Pr="005B4FAB" w:rsidRDefault="003143CD" w:rsidP="00E17C57">
      <w:pPr>
        <w:tabs>
          <w:tab w:val="left" w:pos="2268"/>
        </w:tabs>
        <w:ind w:left="2268"/>
        <w:rPr>
          <w:rFonts w:ascii="Verdana" w:hAnsi="Verdana"/>
          <w:kern w:val="2"/>
          <w:sz w:val="18"/>
          <w:szCs w:val="18"/>
        </w:rPr>
      </w:pPr>
      <w:r>
        <w:rPr>
          <w:rFonts w:ascii="Verdana" w:hAnsi="Verdana"/>
          <w:kern w:val="2"/>
          <w:sz w:val="18"/>
        </w:rPr>
        <w:lastRenderedPageBreak/>
        <w:t>B. J. Bruins</w:t>
      </w:r>
    </w:p>
    <w:p w:rsidR="005B43ED" w:rsidRPr="00176336" w:rsidRDefault="007E7D62" w:rsidP="00E17C57">
      <w:pPr>
        <w:keepNext/>
        <w:keepLines/>
        <w:pageBreakBefore/>
        <w:tabs>
          <w:tab w:val="left" w:pos="2268"/>
        </w:tabs>
        <w:ind w:left="2268"/>
        <w:rPr>
          <w:rFonts w:ascii="Verdana" w:hAnsi="Verdana"/>
          <w:sz w:val="18"/>
          <w:szCs w:val="18"/>
        </w:rPr>
      </w:pPr>
      <w:r>
        <w:rPr>
          <w:rFonts w:ascii="Verdana" w:hAnsi="Verdana"/>
          <w:b/>
          <w:sz w:val="18"/>
        </w:rPr>
        <w:t>Exposición de motivos.</w:t>
      </w:r>
    </w:p>
    <w:p w:rsidR="00B24606" w:rsidRPr="00176336" w:rsidRDefault="00B24606" w:rsidP="00E17C57">
      <w:pPr>
        <w:keepNext/>
        <w:keepLines/>
        <w:tabs>
          <w:tab w:val="left" w:pos="2268"/>
        </w:tabs>
        <w:ind w:left="2268"/>
        <w:rPr>
          <w:rFonts w:ascii="Verdana" w:hAnsi="Verdana"/>
          <w:kern w:val="2"/>
          <w:sz w:val="18"/>
          <w:szCs w:val="18"/>
        </w:rPr>
      </w:pPr>
    </w:p>
    <w:p w:rsidR="0064439B" w:rsidRPr="00F07731"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1. Generalidades</w:t>
      </w:r>
    </w:p>
    <w:p w:rsidR="00B24606" w:rsidRPr="00176336" w:rsidRDefault="00B24606" w:rsidP="00E17C57">
      <w:pPr>
        <w:keepNext/>
        <w:keepLines/>
        <w:tabs>
          <w:tab w:val="left" w:pos="2268"/>
        </w:tabs>
        <w:ind w:left="2268"/>
        <w:rPr>
          <w:rFonts w:ascii="Verdana" w:hAnsi="Verdana"/>
          <w:kern w:val="2"/>
          <w:sz w:val="18"/>
          <w:szCs w:val="18"/>
        </w:rPr>
      </w:pPr>
    </w:p>
    <w:p w:rsidR="00B428D8" w:rsidRDefault="00B24606" w:rsidP="00E17C57">
      <w:pPr>
        <w:tabs>
          <w:tab w:val="left" w:pos="2268"/>
        </w:tabs>
        <w:ind w:left="2268"/>
        <w:rPr>
          <w:rFonts w:ascii="Verdana" w:hAnsi="Verdana"/>
          <w:kern w:val="2"/>
          <w:sz w:val="18"/>
          <w:szCs w:val="18"/>
        </w:rPr>
      </w:pPr>
      <w:r>
        <w:rPr>
          <w:rFonts w:ascii="Verdana" w:hAnsi="Verdana"/>
          <w:kern w:val="2"/>
          <w:sz w:val="18"/>
        </w:rPr>
        <w:t>El Decreto de la Ley de productos básicos sobre preparados a base de hierbas establece requisitos para los preparados a base de hierbas con el fin de proteger la salud pública. Sobre la base de las evaluaciones de riesgo sobre las plantas, se añade al Decreto una prohibición relativa a determinadas plantas. Además, se decidió añadir al Decreto una prohibición sobre sustancias nocivas de plantas y hongos en preparados a base de hierbas (artículo I, parte A, punto 2). Esto mejora la aplicabilidad del Decreto de la Ley de productos básicos sobre preparados a base de hierbas. En consecuencia, los consumidores estarán mejor protegidos frente a los productos que podrían ser perjudiciales para su salud.</w:t>
      </w:r>
    </w:p>
    <w:p w:rsidR="003B5162" w:rsidRDefault="003B5162" w:rsidP="00E17C57">
      <w:pPr>
        <w:tabs>
          <w:tab w:val="left" w:pos="2268"/>
        </w:tabs>
        <w:ind w:left="2268"/>
        <w:rPr>
          <w:rFonts w:ascii="Verdana" w:hAnsi="Verdana"/>
          <w:kern w:val="2"/>
          <w:sz w:val="18"/>
          <w:szCs w:val="18"/>
        </w:rPr>
      </w:pPr>
    </w:p>
    <w:p w:rsidR="003B5162" w:rsidRPr="003B5162" w:rsidRDefault="003B5162" w:rsidP="00E17C57">
      <w:pPr>
        <w:tabs>
          <w:tab w:val="left" w:pos="2268"/>
        </w:tabs>
        <w:ind w:left="2268"/>
        <w:rPr>
          <w:rFonts w:ascii="Verdana" w:hAnsi="Verdana"/>
          <w:kern w:val="2"/>
          <w:sz w:val="18"/>
          <w:szCs w:val="18"/>
        </w:rPr>
      </w:pPr>
      <w:r>
        <w:rPr>
          <w:rFonts w:ascii="Verdana" w:hAnsi="Verdana"/>
          <w:kern w:val="2"/>
          <w:sz w:val="18"/>
        </w:rPr>
        <w:t xml:space="preserve">El artículo 13 </w:t>
      </w:r>
      <w:r>
        <w:rPr>
          <w:rFonts w:ascii="Verdana" w:hAnsi="Verdana"/>
          <w:i/>
          <w:kern w:val="2"/>
          <w:sz w:val="18"/>
        </w:rPr>
        <w:t>quinquies</w:t>
      </w:r>
      <w:r>
        <w:rPr>
          <w:rFonts w:ascii="Verdana" w:hAnsi="Verdana"/>
          <w:kern w:val="2"/>
          <w:sz w:val="18"/>
        </w:rPr>
        <w:t xml:space="preserve"> de la Ley de productos básicos incluye una cláusula de reconocimiento mutuo. El principio de reconocimiento mutuo implica que un Estado miembro de la UE no podrá prohibir la venta en su territorio de productos que se hayan comercializado legalmente en otro Estado miembro de la UE aduciendo que los productos no cumplen sus propias normativas nacionales. Es fundamental que los productos de otros Estados miembros de la UE ofrezcan, como mínimo, un nivel equivalente de protección. De esta forma, el comercio de productos originarios de otros Estados miembros de la UE que entren dentro del ámbito de aplicación del presente Decreto no podrá prohibirse en virtud de los requisitos establecidos en el presente Decreto.</w:t>
      </w:r>
    </w:p>
    <w:p w:rsidR="003B5162" w:rsidRPr="003B5162" w:rsidRDefault="003B5162" w:rsidP="00E17C57">
      <w:pPr>
        <w:tabs>
          <w:tab w:val="left" w:pos="2268"/>
        </w:tabs>
        <w:ind w:left="2268"/>
        <w:rPr>
          <w:rFonts w:ascii="Verdana" w:hAnsi="Verdana"/>
          <w:kern w:val="2"/>
          <w:sz w:val="18"/>
          <w:szCs w:val="18"/>
        </w:rPr>
      </w:pPr>
    </w:p>
    <w:p w:rsidR="003B5162" w:rsidRDefault="003B5162" w:rsidP="00E17C57">
      <w:pPr>
        <w:tabs>
          <w:tab w:val="left" w:pos="2268"/>
        </w:tabs>
        <w:ind w:left="2268"/>
        <w:rPr>
          <w:rFonts w:ascii="Verdana" w:hAnsi="Verdana"/>
          <w:kern w:val="2"/>
          <w:sz w:val="18"/>
          <w:szCs w:val="18"/>
        </w:rPr>
      </w:pPr>
      <w:r>
        <w:rPr>
          <w:rFonts w:ascii="Verdana" w:hAnsi="Verdana"/>
          <w:kern w:val="2"/>
          <w:sz w:val="18"/>
        </w:rPr>
        <w:t>Los requisitos aplicables a los productos establecidos en el presente Decreto están justificados en aras de la protección de los consumidores frente a productos peligrosos.</w:t>
      </w:r>
    </w:p>
    <w:p w:rsidR="00E17C57" w:rsidRPr="003B5162" w:rsidRDefault="00E17C57" w:rsidP="00E17C57">
      <w:pPr>
        <w:tabs>
          <w:tab w:val="left" w:pos="2268"/>
        </w:tabs>
        <w:ind w:left="2268"/>
        <w:rPr>
          <w:rFonts w:ascii="Verdana" w:hAnsi="Verdana"/>
          <w:kern w:val="2"/>
          <w:sz w:val="18"/>
          <w:szCs w:val="18"/>
        </w:rPr>
      </w:pPr>
    </w:p>
    <w:p w:rsidR="00B428D8" w:rsidRPr="00F07731"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2. Impacto sobre la carga normativa</w:t>
      </w:r>
    </w:p>
    <w:p w:rsidR="00B428D8" w:rsidRDefault="00B428D8" w:rsidP="00E17C57">
      <w:pPr>
        <w:keepNext/>
        <w:keepLines/>
        <w:tabs>
          <w:tab w:val="left" w:pos="2268"/>
        </w:tabs>
        <w:ind w:left="2268"/>
        <w:rPr>
          <w:rFonts w:ascii="Verdana" w:hAnsi="Verdana"/>
          <w:kern w:val="2"/>
          <w:sz w:val="18"/>
          <w:szCs w:val="18"/>
        </w:rPr>
      </w:pPr>
    </w:p>
    <w:p w:rsidR="00B428D8" w:rsidRDefault="00B428D8" w:rsidP="00E17C57">
      <w:pPr>
        <w:tabs>
          <w:tab w:val="left" w:pos="2268"/>
        </w:tabs>
        <w:ind w:left="2268"/>
        <w:rPr>
          <w:rFonts w:ascii="Verdana" w:hAnsi="Verdana"/>
          <w:kern w:val="2"/>
          <w:sz w:val="18"/>
          <w:szCs w:val="18"/>
        </w:rPr>
      </w:pPr>
      <w:r>
        <w:rPr>
          <w:rFonts w:ascii="Verdana" w:hAnsi="Verdana"/>
          <w:kern w:val="2"/>
          <w:sz w:val="18"/>
        </w:rPr>
        <w:t>Se espera que el presente Decreto de aplicación tenga un impacto limitado en la carga normativa de la comunidad empresarial. La información del sector indica que la cantidad de productos que tendrán que modificarse es limitada. Teniendo en cuenta el largo período de preparación para este cambio, incluidas las repetidas consultas con las partes, los productores han tenido tiempo suficiente para adaptar sus productos a los nuevos requisitos. Los costes de información son nulos. El Consejo asesor neerlandés sobre cargas administrativas (ATR) apoya los análisis y las conclusiones del impacto sobre la carga normativa.</w:t>
      </w:r>
    </w:p>
    <w:p w:rsidR="00B428D8" w:rsidRDefault="00B428D8" w:rsidP="00E17C57">
      <w:pPr>
        <w:tabs>
          <w:tab w:val="left" w:pos="2268"/>
        </w:tabs>
        <w:ind w:left="2268"/>
        <w:rPr>
          <w:rFonts w:ascii="Verdana" w:hAnsi="Verdana"/>
          <w:kern w:val="2"/>
          <w:sz w:val="18"/>
          <w:szCs w:val="18"/>
        </w:rPr>
      </w:pPr>
    </w:p>
    <w:p w:rsidR="00B428D8" w:rsidRPr="00F07731"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3. Grupo de consulta sobre la Ley de mercancías habituales</w:t>
      </w:r>
    </w:p>
    <w:p w:rsidR="00B428D8" w:rsidRPr="008F0589" w:rsidRDefault="00B428D8" w:rsidP="00E17C57">
      <w:pPr>
        <w:keepNext/>
        <w:keepLines/>
        <w:tabs>
          <w:tab w:val="left" w:pos="2268"/>
        </w:tabs>
        <w:ind w:left="2268"/>
        <w:rPr>
          <w:rFonts w:ascii="Verdana" w:hAnsi="Verdana"/>
          <w:kern w:val="2"/>
          <w:sz w:val="18"/>
          <w:szCs w:val="18"/>
        </w:rPr>
      </w:pPr>
    </w:p>
    <w:p w:rsidR="00B428D8" w:rsidRDefault="00B428D8" w:rsidP="00E17C57">
      <w:pPr>
        <w:tabs>
          <w:tab w:val="left" w:pos="2268"/>
        </w:tabs>
        <w:ind w:left="2268"/>
        <w:rPr>
          <w:rFonts w:ascii="Verdana" w:hAnsi="Verdana"/>
          <w:kern w:val="2"/>
          <w:sz w:val="18"/>
          <w:szCs w:val="18"/>
        </w:rPr>
      </w:pPr>
      <w:r>
        <w:rPr>
          <w:rFonts w:ascii="Verdana" w:hAnsi="Verdana"/>
          <w:kern w:val="2"/>
          <w:sz w:val="18"/>
        </w:rPr>
        <w:t>La versión del proyecto del presente Decreto ha sido entregada a los participantes del Grupo de consulta sobre la Ley de mercancías habituales (ROW)</w:t>
      </w:r>
      <w:r>
        <w:rPr>
          <w:rStyle w:val="FootnoteReference"/>
          <w:rFonts w:ascii="Verdana" w:hAnsi="Verdana"/>
          <w:kern w:val="2"/>
          <w:sz w:val="18"/>
        </w:rPr>
        <w:footnoteReference w:id="1"/>
      </w:r>
      <w:r>
        <w:rPr>
          <w:rFonts w:ascii="Verdana" w:hAnsi="Verdana"/>
          <w:kern w:val="2"/>
          <w:sz w:val="18"/>
        </w:rPr>
        <w:t>. En este debate se llegó a la conclusión de que no era posible prohibir la presencia de la sinefrina en los preparados a base de hierbas, ya que esta sustancia natural también está presente en los alimentos (por ejemplo, en la mermelada de naranja). Para garantizar que los consumidores no están expuestos a niveles de sinefrina que sean perjudiciales para la salud, se solicitó al Instituto nacional de salud pública y medioambiente de los Países Bajos (RIVM) y a la Oficina de evaluación de riesgos e investigación (BuRO) de la Autoridad neerlandesa de seguridad alimentaria y de productos de consumo (NVWA) que presentaran una recomendación sobre el nivel máximo de sinefrina en los preparados a base de hierbas. Sobre la base del informe del RIVM</w:t>
      </w:r>
      <w:r>
        <w:rPr>
          <w:rStyle w:val="FootnoteReference"/>
          <w:rFonts w:ascii="Verdana" w:hAnsi="Verdana"/>
          <w:kern w:val="2"/>
          <w:sz w:val="18"/>
        </w:rPr>
        <w:footnoteReference w:id="2"/>
      </w:r>
      <w:r>
        <w:rPr>
          <w:rFonts w:ascii="Verdana" w:hAnsi="Verdana"/>
          <w:kern w:val="2"/>
          <w:sz w:val="18"/>
        </w:rPr>
        <w:t>, la BuRO</w:t>
      </w:r>
      <w:r>
        <w:rPr>
          <w:rStyle w:val="FootnoteReference"/>
          <w:rFonts w:ascii="Verdana" w:hAnsi="Verdana"/>
          <w:kern w:val="2"/>
          <w:sz w:val="18"/>
        </w:rPr>
        <w:footnoteReference w:id="3"/>
      </w:r>
      <w:r>
        <w:rPr>
          <w:rFonts w:ascii="Verdana" w:hAnsi="Verdana"/>
          <w:kern w:val="2"/>
          <w:sz w:val="18"/>
        </w:rPr>
        <w:t xml:space="preserve"> aconseja limitar la cantidad máxima de sinefrina en las preparados a base de hierbas a una ingesta de 27 mg de p-sinefrina al día, de conformidad con las instrucciones de uso. Asimismo, no está permitido utilizar m ni o-sinefrina en las preparados a base de hierbas.</w:t>
      </w:r>
    </w:p>
    <w:p w:rsidR="008E734A" w:rsidRDefault="00586978" w:rsidP="00E17C57">
      <w:pPr>
        <w:tabs>
          <w:tab w:val="left" w:pos="2268"/>
        </w:tabs>
        <w:ind w:left="2268"/>
        <w:rPr>
          <w:rFonts w:ascii="Verdana" w:hAnsi="Verdana"/>
          <w:kern w:val="2"/>
          <w:sz w:val="18"/>
          <w:szCs w:val="18"/>
        </w:rPr>
      </w:pPr>
      <w:r>
        <w:rPr>
          <w:rFonts w:ascii="Verdana" w:hAnsi="Verdana"/>
          <w:kern w:val="2"/>
          <w:sz w:val="18"/>
        </w:rPr>
        <w:t>Además, el ROW continúa debatiendo sobre la correcta interpretación del término «derivados». Se ha planteado la cuestión acerca de si esta adición es realmente necesaria y, de serlo, cómo debería definirse. Se estudió el tema y, dado que existen muchas variantes de sustancias nocivas, se decidió seguir empleando el término. Esto se refiere a sustancias derivadas de otra sustancia.</w:t>
      </w:r>
    </w:p>
    <w:p w:rsidR="00A27E62" w:rsidRDefault="00A27E62" w:rsidP="00E17C57">
      <w:pPr>
        <w:tabs>
          <w:tab w:val="left" w:pos="2268"/>
        </w:tabs>
        <w:ind w:left="2268"/>
        <w:rPr>
          <w:rFonts w:ascii="Verdana" w:hAnsi="Verdana"/>
          <w:kern w:val="2"/>
          <w:sz w:val="18"/>
          <w:szCs w:val="18"/>
        </w:rPr>
      </w:pPr>
    </w:p>
    <w:p w:rsidR="00A27E62"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4. Aplicabilidad y viabilidad</w:t>
      </w:r>
    </w:p>
    <w:p w:rsidR="00E17C57" w:rsidRDefault="00E17C57" w:rsidP="00E17C57">
      <w:pPr>
        <w:keepNext/>
        <w:keepLines/>
        <w:tabs>
          <w:tab w:val="left" w:pos="2268"/>
        </w:tabs>
        <w:ind w:left="2268"/>
        <w:rPr>
          <w:rFonts w:ascii="Verdana" w:hAnsi="Verdana"/>
          <w:kern w:val="2"/>
          <w:sz w:val="18"/>
          <w:szCs w:val="18"/>
        </w:rPr>
      </w:pPr>
    </w:p>
    <w:p w:rsidR="00A27E62" w:rsidRDefault="00A27E62" w:rsidP="00E17C57">
      <w:pPr>
        <w:tabs>
          <w:tab w:val="left" w:pos="2268"/>
        </w:tabs>
        <w:ind w:left="2268"/>
        <w:rPr>
          <w:rFonts w:ascii="Verdana" w:hAnsi="Verdana"/>
          <w:kern w:val="2"/>
          <w:sz w:val="18"/>
          <w:szCs w:val="18"/>
        </w:rPr>
      </w:pPr>
      <w:r>
        <w:rPr>
          <w:rFonts w:ascii="Verdana" w:hAnsi="Verdana"/>
          <w:kern w:val="2"/>
          <w:sz w:val="18"/>
        </w:rPr>
        <w:t>La NVWA evaluó este proyecto de Decreto en cuanto a la aplicabilidad, la viabilidad y la resistencia al fraude. La NVWA considera que el proyecto de Decreto es aplicable y viable. El proyecto de Decreto no da lugar a observaciones relativas a la resistencia al fraude.</w:t>
      </w:r>
    </w:p>
    <w:p w:rsidR="00586978" w:rsidRDefault="00586978" w:rsidP="00E17C57">
      <w:pPr>
        <w:tabs>
          <w:tab w:val="left" w:pos="2268"/>
        </w:tabs>
        <w:ind w:left="2268"/>
        <w:rPr>
          <w:rFonts w:ascii="Verdana" w:hAnsi="Verdana"/>
          <w:kern w:val="2"/>
          <w:sz w:val="18"/>
          <w:szCs w:val="18"/>
        </w:rPr>
      </w:pPr>
    </w:p>
    <w:p w:rsidR="008E734A"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5. Escrutinio preliminar</w:t>
      </w:r>
    </w:p>
    <w:p w:rsidR="00E17C57" w:rsidRDefault="00E17C57" w:rsidP="00E17C57">
      <w:pPr>
        <w:keepNext/>
        <w:keepLines/>
        <w:tabs>
          <w:tab w:val="left" w:pos="2268"/>
        </w:tabs>
        <w:ind w:left="2268"/>
        <w:rPr>
          <w:rFonts w:ascii="Verdana" w:hAnsi="Verdana"/>
          <w:kern w:val="2"/>
          <w:sz w:val="18"/>
          <w:szCs w:val="18"/>
        </w:rPr>
      </w:pPr>
    </w:p>
    <w:p w:rsidR="008E734A" w:rsidRPr="008E734A" w:rsidRDefault="008E734A" w:rsidP="00E17C57">
      <w:pPr>
        <w:tabs>
          <w:tab w:val="left" w:pos="2268"/>
        </w:tabs>
        <w:ind w:left="2268"/>
        <w:rPr>
          <w:rFonts w:ascii="Verdana" w:hAnsi="Verdana"/>
          <w:kern w:val="2"/>
          <w:sz w:val="18"/>
          <w:szCs w:val="18"/>
        </w:rPr>
      </w:pPr>
      <w:r>
        <w:rPr>
          <w:rFonts w:ascii="Verdana" w:hAnsi="Verdana"/>
          <w:kern w:val="2"/>
          <w:sz w:val="18"/>
        </w:rPr>
        <w:t xml:space="preserve">De conformidad con el artículo 32 </w:t>
      </w:r>
      <w:r>
        <w:rPr>
          <w:rFonts w:ascii="Verdana" w:hAnsi="Verdana"/>
          <w:i/>
          <w:kern w:val="2"/>
          <w:sz w:val="18"/>
        </w:rPr>
        <w:t>ter</w:t>
      </w:r>
      <w:r>
        <w:rPr>
          <w:rFonts w:ascii="Verdana" w:hAnsi="Verdana"/>
          <w:kern w:val="2"/>
          <w:sz w:val="18"/>
        </w:rPr>
        <w:t xml:space="preserve">, apartado 2, de la Ley de productos básicos, se envió un proyecto de este reglamento administrativo general el </w:t>
      </w:r>
      <w:r>
        <w:rPr>
          <w:rFonts w:ascii="Verdana" w:hAnsi="Verdana"/>
          <w:b/>
          <w:kern w:val="2"/>
          <w:sz w:val="18"/>
        </w:rPr>
        <w:t>(fecha)</w:t>
      </w:r>
      <w:r>
        <w:rPr>
          <w:rFonts w:ascii="Verdana" w:hAnsi="Verdana"/>
          <w:kern w:val="2"/>
          <w:sz w:val="18"/>
        </w:rPr>
        <w:t xml:space="preserve"> a ambas cámaras del Parlamento neerlandés (Documentos parlamentarios </w:t>
      </w:r>
      <w:r>
        <w:rPr>
          <w:rFonts w:ascii="Verdana" w:hAnsi="Verdana"/>
          <w:b/>
          <w:kern w:val="2"/>
          <w:sz w:val="18"/>
        </w:rPr>
        <w:t>por determinar</w:t>
      </w:r>
      <w:r>
        <w:rPr>
          <w:rFonts w:ascii="Verdana" w:hAnsi="Verdana"/>
          <w:kern w:val="2"/>
          <w:sz w:val="18"/>
        </w:rPr>
        <w:t>).</w:t>
      </w:r>
    </w:p>
    <w:p w:rsidR="00610A2C" w:rsidRDefault="00610A2C" w:rsidP="00E17C57">
      <w:pPr>
        <w:tabs>
          <w:tab w:val="left" w:pos="2268"/>
        </w:tabs>
        <w:ind w:left="2268"/>
        <w:rPr>
          <w:rFonts w:ascii="Verdana" w:hAnsi="Verdana"/>
          <w:kern w:val="2"/>
          <w:sz w:val="18"/>
          <w:szCs w:val="18"/>
        </w:rPr>
      </w:pPr>
    </w:p>
    <w:p w:rsidR="00B428D8" w:rsidRPr="008F0589" w:rsidRDefault="00F07731" w:rsidP="00E17C57">
      <w:pPr>
        <w:keepNext/>
        <w:keepLines/>
        <w:tabs>
          <w:tab w:val="left" w:pos="2268"/>
        </w:tabs>
        <w:ind w:left="2268"/>
        <w:rPr>
          <w:rFonts w:ascii="Verdana" w:hAnsi="Verdana"/>
          <w:kern w:val="2"/>
          <w:sz w:val="18"/>
          <w:szCs w:val="18"/>
        </w:rPr>
      </w:pPr>
      <w:r>
        <w:rPr>
          <w:rFonts w:ascii="Verdana" w:hAnsi="Verdana"/>
          <w:b/>
          <w:kern w:val="2"/>
          <w:sz w:val="18"/>
        </w:rPr>
        <w:t>6. Notificación</w:t>
      </w:r>
    </w:p>
    <w:p w:rsidR="00E17C57" w:rsidRDefault="00E17C57" w:rsidP="00E17C57">
      <w:pPr>
        <w:keepNext/>
        <w:keepLines/>
        <w:tabs>
          <w:tab w:val="left" w:pos="2268"/>
        </w:tabs>
        <w:ind w:left="2268"/>
        <w:rPr>
          <w:rFonts w:ascii="Verdana" w:hAnsi="Verdana"/>
          <w:sz w:val="18"/>
          <w:szCs w:val="18"/>
        </w:rPr>
      </w:pPr>
    </w:p>
    <w:p w:rsidR="00B428D8" w:rsidRDefault="009345F8" w:rsidP="00E17C57">
      <w:pPr>
        <w:tabs>
          <w:tab w:val="left" w:pos="2268"/>
        </w:tabs>
        <w:ind w:left="2268"/>
        <w:rPr>
          <w:rFonts w:ascii="Verdana" w:hAnsi="Verdana"/>
          <w:sz w:val="18"/>
          <w:szCs w:val="18"/>
        </w:rPr>
      </w:pPr>
      <w:r>
        <w:rPr>
          <w:rFonts w:ascii="Verdana" w:hAnsi="Verdana"/>
          <w:sz w:val="18"/>
        </w:rPr>
        <w:t>El proyecto del presente Decreto se notificó el ... a la Comisión Europea de conformidad con el artículo 5, apartado 1, de la Directiva (UE) 2015/1535</w:t>
      </w:r>
      <w:r>
        <w:rPr>
          <w:rStyle w:val="FootnoteReference"/>
          <w:rFonts w:ascii="Verdana" w:hAnsi="Verdana"/>
          <w:sz w:val="18"/>
        </w:rPr>
        <w:footnoteReference w:id="4"/>
      </w:r>
      <w:r>
        <w:rPr>
          <w:rFonts w:ascii="Verdana" w:hAnsi="Verdana"/>
          <w:sz w:val="18"/>
        </w:rPr>
        <w:t>. Resulta pertinente la notificación a la Comisión Europea, puesto que el artículo I del presente Decreto contiene reglamentaciones técnicas según lo dispuesto en la Directiva (UE) 2015/1535.</w:t>
      </w:r>
    </w:p>
    <w:p w:rsidR="00E17C57" w:rsidRPr="00BB02A9" w:rsidRDefault="00E17C57" w:rsidP="00E17C57">
      <w:pPr>
        <w:tabs>
          <w:tab w:val="left" w:pos="2268"/>
        </w:tabs>
        <w:ind w:left="2268"/>
        <w:rPr>
          <w:rFonts w:ascii="Verdana" w:hAnsi="Verdana"/>
          <w:kern w:val="2"/>
          <w:sz w:val="18"/>
          <w:szCs w:val="18"/>
        </w:rPr>
      </w:pPr>
    </w:p>
    <w:p w:rsidR="00B428D8" w:rsidRPr="008F0589" w:rsidRDefault="00B428D8" w:rsidP="00E17C57">
      <w:pPr>
        <w:tabs>
          <w:tab w:val="left" w:pos="2268"/>
        </w:tabs>
        <w:ind w:left="2268"/>
        <w:rPr>
          <w:rFonts w:ascii="Verdana" w:hAnsi="Verdana"/>
          <w:kern w:val="2"/>
          <w:sz w:val="18"/>
          <w:szCs w:val="18"/>
        </w:rPr>
      </w:pPr>
      <w:r>
        <w:rPr>
          <w:rFonts w:ascii="Verdana" w:hAnsi="Verdana"/>
          <w:kern w:val="2"/>
          <w:sz w:val="18"/>
        </w:rPr>
        <w:t>Cuando este Decreto contenga restricciones cuantitativas en las importaciones u otras medidas con efecto equivalente en el sentido del artículo 34 del Tratado de Funcionamiento de la Unión Europea, dichas medidas estarán justificadas en aras de la salud pública en virtud del artículo 36 del Tratado.</w:t>
      </w:r>
    </w:p>
    <w:p w:rsidR="005E47AF" w:rsidRPr="005C6A30" w:rsidRDefault="005E47AF" w:rsidP="00E17C57">
      <w:pPr>
        <w:tabs>
          <w:tab w:val="left" w:pos="2268"/>
        </w:tabs>
        <w:ind w:left="2268"/>
        <w:rPr>
          <w:rFonts w:ascii="Verdana" w:hAnsi="Verdana"/>
          <w:kern w:val="2"/>
          <w:sz w:val="18"/>
          <w:szCs w:val="18"/>
        </w:rPr>
      </w:pPr>
    </w:p>
    <w:p w:rsidR="00A82D46" w:rsidRPr="005C6A30"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7. Por artículos</w:t>
      </w:r>
    </w:p>
    <w:p w:rsidR="00F120A1" w:rsidRPr="005C6A30" w:rsidRDefault="00F120A1" w:rsidP="00E17C57">
      <w:pPr>
        <w:keepNext/>
        <w:keepLines/>
        <w:tabs>
          <w:tab w:val="left" w:pos="2268"/>
        </w:tabs>
        <w:ind w:left="2268"/>
        <w:rPr>
          <w:rFonts w:ascii="Verdana" w:hAnsi="Verdana"/>
          <w:kern w:val="2"/>
          <w:sz w:val="18"/>
          <w:szCs w:val="18"/>
        </w:rPr>
      </w:pPr>
    </w:p>
    <w:p w:rsidR="0095665C" w:rsidRPr="00AD2E4A" w:rsidRDefault="0095665C" w:rsidP="00E17C57">
      <w:pPr>
        <w:keepNext/>
        <w:keepLines/>
        <w:tabs>
          <w:tab w:val="left" w:pos="2268"/>
        </w:tabs>
        <w:ind w:left="2268"/>
        <w:rPr>
          <w:rFonts w:ascii="Verdana" w:hAnsi="Verdana"/>
          <w:i/>
          <w:kern w:val="2"/>
          <w:sz w:val="18"/>
          <w:szCs w:val="18"/>
        </w:rPr>
      </w:pPr>
      <w:r>
        <w:rPr>
          <w:rFonts w:ascii="Verdana" w:hAnsi="Verdana"/>
          <w:i/>
          <w:kern w:val="2"/>
          <w:sz w:val="18"/>
        </w:rPr>
        <w:t>Artículo I, parte A, puntos 1 y 4, y artículo I, parte D, punto 2</w:t>
      </w:r>
    </w:p>
    <w:p w:rsidR="00670294" w:rsidRDefault="00FC0162" w:rsidP="00E17C57">
      <w:pPr>
        <w:tabs>
          <w:tab w:val="left" w:pos="2268"/>
        </w:tabs>
        <w:ind w:left="2268"/>
        <w:rPr>
          <w:rFonts w:ascii="Verdana" w:hAnsi="Verdana"/>
          <w:kern w:val="2"/>
          <w:sz w:val="18"/>
          <w:szCs w:val="18"/>
        </w:rPr>
      </w:pPr>
      <w:r>
        <w:rPr>
          <w:rFonts w:ascii="Verdana" w:hAnsi="Verdana"/>
          <w:kern w:val="2"/>
          <w:sz w:val="18"/>
        </w:rPr>
        <w:t>Esta modificación mejora la aplicabilidad. Antes de la entrada en vigor de este Decreto, el artículo 4, apartado 1, del Decreto de la Ley de productos básicos sobre preparados a base de hierbas se reformula como sigue:</w:t>
      </w:r>
    </w:p>
    <w:p w:rsidR="00670294" w:rsidRPr="009345F8" w:rsidRDefault="00670294" w:rsidP="00E17C57">
      <w:pPr>
        <w:tabs>
          <w:tab w:val="left" w:pos="2268"/>
        </w:tabs>
        <w:ind w:left="2268"/>
        <w:rPr>
          <w:rFonts w:ascii="Verdana" w:hAnsi="Verdana"/>
          <w:i/>
          <w:kern w:val="2"/>
          <w:sz w:val="18"/>
          <w:szCs w:val="18"/>
        </w:rPr>
      </w:pPr>
      <w:r>
        <w:rPr>
          <w:rFonts w:ascii="Verdana" w:hAnsi="Verdana"/>
          <w:i/>
          <w:kern w:val="2"/>
          <w:sz w:val="18"/>
        </w:rPr>
        <w:t>La cantidad de alcaloides de pirrolizidina tóxicos de los preparados a base de hierbas compuestas por materiales procedentes total o parcialmente de plantas, como se indica en la parte I del anexo, o de otras plantas que se presupone que contienen alcaloides de pirrolizidina tóxicos, no excederá 1 µg por kilo o por litro, respectivamente.</w:t>
      </w:r>
    </w:p>
    <w:p w:rsidR="00670294" w:rsidRDefault="00670294" w:rsidP="00E17C57">
      <w:pPr>
        <w:tabs>
          <w:tab w:val="left" w:pos="2268"/>
        </w:tabs>
        <w:ind w:left="2268"/>
        <w:rPr>
          <w:rFonts w:ascii="Verdana" w:hAnsi="Verdana"/>
          <w:kern w:val="2"/>
          <w:sz w:val="18"/>
          <w:szCs w:val="18"/>
        </w:rPr>
      </w:pPr>
    </w:p>
    <w:p w:rsidR="00670294" w:rsidRDefault="00670294" w:rsidP="00E17C57">
      <w:pPr>
        <w:tabs>
          <w:tab w:val="left" w:pos="2268"/>
        </w:tabs>
        <w:ind w:left="2268"/>
        <w:rPr>
          <w:rFonts w:ascii="Verdana" w:hAnsi="Verdana"/>
          <w:kern w:val="2"/>
          <w:sz w:val="18"/>
          <w:szCs w:val="18"/>
        </w:rPr>
      </w:pPr>
      <w:r>
        <w:rPr>
          <w:rFonts w:ascii="Verdana" w:hAnsi="Verdana"/>
          <w:kern w:val="2"/>
          <w:sz w:val="18"/>
        </w:rPr>
        <w:t>Por causa de esta redacción, el funcionario encargado de la supervisión no puede limitarse a establecer un límite máximo de alcaloides de pirrolizidina tóxicos en los preparados de hierba. Asimismo, el funcionario deberá demostrar su procedencia. Como consecuencia, surgieron problemas relativos a la supervisión del cumplimiento de esta disposición.</w:t>
      </w:r>
    </w:p>
    <w:p w:rsidR="00670294" w:rsidRDefault="00670294" w:rsidP="00E17C57">
      <w:pPr>
        <w:tabs>
          <w:tab w:val="left" w:pos="2268"/>
        </w:tabs>
        <w:ind w:left="2268"/>
        <w:rPr>
          <w:rFonts w:ascii="Verdana" w:hAnsi="Verdana"/>
          <w:kern w:val="2"/>
          <w:sz w:val="18"/>
          <w:szCs w:val="18"/>
        </w:rPr>
      </w:pPr>
    </w:p>
    <w:p w:rsidR="00670294" w:rsidRPr="00B71129" w:rsidRDefault="00BB02A9" w:rsidP="00E17C57">
      <w:pPr>
        <w:tabs>
          <w:tab w:val="left" w:pos="2268"/>
        </w:tabs>
        <w:ind w:left="2268"/>
        <w:rPr>
          <w:rFonts w:ascii="Verdana" w:hAnsi="Verdana"/>
          <w:kern w:val="2"/>
          <w:sz w:val="18"/>
          <w:szCs w:val="18"/>
        </w:rPr>
      </w:pPr>
      <w:r>
        <w:rPr>
          <w:rFonts w:ascii="Verdana" w:hAnsi="Verdana"/>
          <w:kern w:val="2"/>
          <w:sz w:val="18"/>
        </w:rPr>
        <w:t>El artículo I, parte A, punto 1, modifica el artículo4, apartado 1, para resolver los problemas mencionados en el párrafo anterior. El apartado 1 ahora establece una cantidad máxima de alcaloides de pirrolizidina tóxicos en los preparados de hierbas, independientemente de su origen. Por tanto, puede suprimirse la parte I del anexo (artículo I, parte D, punto 2).</w:t>
      </w:r>
    </w:p>
    <w:p w:rsidR="00AB3B66" w:rsidRPr="00B71129" w:rsidRDefault="00AB3B66" w:rsidP="00E17C57">
      <w:pPr>
        <w:tabs>
          <w:tab w:val="left" w:pos="2268"/>
        </w:tabs>
        <w:ind w:left="2268"/>
        <w:rPr>
          <w:rFonts w:ascii="Verdana" w:hAnsi="Verdana"/>
          <w:kern w:val="2"/>
          <w:sz w:val="18"/>
          <w:szCs w:val="18"/>
        </w:rPr>
      </w:pPr>
    </w:p>
    <w:p w:rsidR="00430B87" w:rsidRPr="0042448A" w:rsidRDefault="00430B87" w:rsidP="00E17C57">
      <w:pPr>
        <w:ind w:left="2268"/>
        <w:rPr>
          <w:rFonts w:ascii="Verdana" w:hAnsi="Verdana"/>
          <w:sz w:val="18"/>
          <w:szCs w:val="18"/>
        </w:rPr>
      </w:pPr>
      <w:r>
        <w:rPr>
          <w:rFonts w:ascii="Verdana" w:hAnsi="Verdana"/>
          <w:sz w:val="18"/>
        </w:rPr>
        <w:t>A corto plazo, se espera que se añadan al Reglamento (CE) n.º 1881/2006 los requisitos sobre la cantidad máxima de alcaloides de pirrolizidina en los complementos alimenticios y los preparados a base de hierbas</w:t>
      </w:r>
      <w:r>
        <w:rPr>
          <w:rStyle w:val="FootnoteReference"/>
          <w:rFonts w:ascii="Verdana" w:hAnsi="Verdana"/>
          <w:sz w:val="18"/>
        </w:rPr>
        <w:footnoteReference w:id="5"/>
      </w:r>
      <w:r>
        <w:rPr>
          <w:rFonts w:ascii="Verdana" w:hAnsi="Verdana"/>
          <w:sz w:val="18"/>
        </w:rPr>
        <w:t>. Se añade por anticipado un nuevo artículo 4, apartado 6, al Decreto de la Ley de productos básicos sobre preparados a base de hierbas, de forma que el apartado 1 ya no se aplica a ninguna de las cuestiones a las que afectan las disposiciones del Reglamento (CE) n.º 1881/2006. Esta disposición anticipa futuras ampliaciones de las disposiciones del Reglamento (CE) n.º 1881/2006 sobre alcaloides de pirrolizidina.</w:t>
      </w:r>
    </w:p>
    <w:p w:rsidR="00430B87" w:rsidRPr="0042448A" w:rsidRDefault="00430B87" w:rsidP="00E17C57">
      <w:pPr>
        <w:ind w:left="2268"/>
        <w:rPr>
          <w:rFonts w:ascii="Verdana" w:hAnsi="Verdana"/>
          <w:sz w:val="18"/>
          <w:szCs w:val="18"/>
        </w:rPr>
      </w:pPr>
    </w:p>
    <w:p w:rsidR="00430B87" w:rsidRDefault="00430B87" w:rsidP="00E17C57">
      <w:pPr>
        <w:ind w:left="2268"/>
        <w:rPr>
          <w:rFonts w:ascii="Verdana" w:hAnsi="Verdana"/>
          <w:sz w:val="18"/>
          <w:szCs w:val="18"/>
        </w:rPr>
      </w:pPr>
      <w:r>
        <w:rPr>
          <w:rFonts w:ascii="Verdana" w:hAnsi="Verdana"/>
          <w:sz w:val="18"/>
        </w:rPr>
        <w:t>En el caso de los preparados a base de hierbas que no estén cubiertos por el anexo del Reglamento (CE) n.º 1881/2006, seguirá siendo aplicable el límite máximo del artículo4, apartado 1, del Decreto de la Ley de productos básicos sobre preparados a base de hierbas; por ejemplo: 1 µg por kilo o por litro, respectivamente.</w:t>
      </w:r>
    </w:p>
    <w:p w:rsidR="00E17C57" w:rsidRPr="00B71129" w:rsidRDefault="00E17C57" w:rsidP="00E17C57">
      <w:pPr>
        <w:ind w:left="2268"/>
        <w:rPr>
          <w:rFonts w:ascii="Verdana" w:hAnsi="Verdana"/>
          <w:sz w:val="18"/>
          <w:szCs w:val="18"/>
        </w:rPr>
      </w:pPr>
    </w:p>
    <w:p w:rsidR="00FC0162" w:rsidRPr="00B71129" w:rsidRDefault="00FC0162" w:rsidP="00E17C57">
      <w:pPr>
        <w:keepNext/>
        <w:keepLines/>
        <w:tabs>
          <w:tab w:val="left" w:pos="2268"/>
        </w:tabs>
        <w:ind w:left="2268"/>
        <w:rPr>
          <w:rFonts w:ascii="Verdana" w:hAnsi="Verdana"/>
          <w:i/>
          <w:kern w:val="2"/>
          <w:sz w:val="18"/>
          <w:szCs w:val="18"/>
        </w:rPr>
      </w:pPr>
      <w:r>
        <w:rPr>
          <w:rFonts w:ascii="Verdana" w:hAnsi="Verdana"/>
          <w:i/>
          <w:kern w:val="2"/>
          <w:sz w:val="18"/>
        </w:rPr>
        <w:t>Artículo I, parte A, punto 2</w:t>
      </w:r>
    </w:p>
    <w:p w:rsidR="00FC0162" w:rsidRDefault="00FC0162" w:rsidP="00E17C57">
      <w:pPr>
        <w:tabs>
          <w:tab w:val="left" w:pos="2268"/>
        </w:tabs>
        <w:ind w:left="2268"/>
        <w:rPr>
          <w:rFonts w:ascii="Verdana" w:hAnsi="Verdana"/>
          <w:kern w:val="2"/>
          <w:sz w:val="18"/>
          <w:szCs w:val="18"/>
        </w:rPr>
      </w:pPr>
      <w:r>
        <w:rPr>
          <w:rFonts w:ascii="Verdana" w:hAnsi="Verdana"/>
          <w:kern w:val="2"/>
          <w:sz w:val="18"/>
        </w:rPr>
        <w:t>El artículo 4, apartado 2, del Decreto de la Ley sobre preparados a base de hierbas nombra varias sustancias que no pueden estar presentes en los preparados a base de hierbas, en interés de la salud pública. Sobre la base de diversos estudios</w:t>
      </w:r>
      <w:r>
        <w:rPr>
          <w:rStyle w:val="FootnoteReference"/>
          <w:rFonts w:ascii="Verdana" w:hAnsi="Verdana"/>
          <w:kern w:val="2"/>
          <w:sz w:val="18"/>
        </w:rPr>
        <w:footnoteReference w:id="6"/>
      </w:r>
      <w:r>
        <w:rPr>
          <w:rFonts w:ascii="Verdana" w:hAnsi="Verdana"/>
          <w:kern w:val="2"/>
          <w:sz w:val="18"/>
        </w:rPr>
        <w:t>, el RIVM ha recomendado ampliar la lista con otras sustancias que parecen tener propiedades tóxicas o muy tóxicas. Se han aplicado estas recomendaciones. Por consiguiente, se han añadido las sustancias en cuestión al artículo 4, apartado 2, del Decreto de la Ley de productos básicos sobre preparados a base de hierbas. Las sustancias de las antiguas letras a) y b) (ácidos aristolóquicos y alcaloides de yohimbina o derivados) se añadieron después en orden alfabético a la nueva lista.</w:t>
      </w:r>
    </w:p>
    <w:p w:rsidR="00FC0162" w:rsidRDefault="00FC0162" w:rsidP="00E17C57">
      <w:pPr>
        <w:tabs>
          <w:tab w:val="left" w:pos="2268"/>
        </w:tabs>
        <w:ind w:left="2268"/>
        <w:rPr>
          <w:rFonts w:ascii="Verdana" w:hAnsi="Verdana"/>
          <w:kern w:val="2"/>
          <w:sz w:val="18"/>
          <w:szCs w:val="18"/>
        </w:rPr>
      </w:pPr>
    </w:p>
    <w:p w:rsidR="00FC0162" w:rsidRDefault="00FC0162" w:rsidP="00E17C57">
      <w:pPr>
        <w:tabs>
          <w:tab w:val="left" w:pos="2268"/>
        </w:tabs>
        <w:ind w:left="2268"/>
        <w:rPr>
          <w:rFonts w:ascii="Verdana" w:hAnsi="Verdana"/>
          <w:kern w:val="2"/>
          <w:sz w:val="18"/>
          <w:szCs w:val="18"/>
        </w:rPr>
      </w:pPr>
      <w:r>
        <w:rPr>
          <w:rFonts w:ascii="Verdana" w:hAnsi="Verdana"/>
          <w:kern w:val="2"/>
          <w:sz w:val="18"/>
        </w:rPr>
        <w:t xml:space="preserve">La nueva letra g) se refiere al aceite de </w:t>
      </w:r>
      <w:r>
        <w:rPr>
          <w:rFonts w:ascii="Verdana" w:hAnsi="Verdana"/>
          <w:i/>
          <w:kern w:val="2"/>
          <w:sz w:val="18"/>
        </w:rPr>
        <w:t>Artemisia absinthium</w:t>
      </w:r>
      <w:r>
        <w:rPr>
          <w:rFonts w:ascii="Verdana" w:hAnsi="Verdana"/>
          <w:kern w:val="2"/>
          <w:sz w:val="18"/>
        </w:rPr>
        <w:t>. Esta letra establece que la prohibición de este aceite en los preparados a base de hierbas no afecta a la presencia de tuyona en las bebidas del tipo artemisia, siempre que su presencia esté permitida en el artículo 6, apartado2, y en el anexo III, parte B, del Reglamento (CE) n.º 1334/2008</w:t>
      </w:r>
      <w:r>
        <w:rPr>
          <w:rStyle w:val="FootnoteReference"/>
          <w:rFonts w:ascii="Verdana" w:hAnsi="Verdana"/>
          <w:kern w:val="2"/>
          <w:sz w:val="18"/>
        </w:rPr>
        <w:footnoteReference w:id="7"/>
      </w:r>
      <w:r>
        <w:rPr>
          <w:rFonts w:ascii="Verdana" w:hAnsi="Verdana"/>
          <w:kern w:val="2"/>
          <w:sz w:val="18"/>
        </w:rPr>
        <w:t>.</w:t>
      </w:r>
    </w:p>
    <w:p w:rsidR="00670294" w:rsidRDefault="00670294" w:rsidP="00E17C57">
      <w:pPr>
        <w:tabs>
          <w:tab w:val="left" w:pos="2268"/>
        </w:tabs>
        <w:ind w:left="2268"/>
        <w:rPr>
          <w:rFonts w:ascii="Verdana" w:hAnsi="Verdana"/>
          <w:kern w:val="2"/>
          <w:sz w:val="18"/>
          <w:szCs w:val="18"/>
        </w:rPr>
      </w:pPr>
    </w:p>
    <w:p w:rsidR="00AD2E4A" w:rsidRPr="00AD2E4A" w:rsidRDefault="00AD2E4A" w:rsidP="00E17C57">
      <w:pPr>
        <w:keepNext/>
        <w:keepLines/>
        <w:tabs>
          <w:tab w:val="left" w:pos="2268"/>
        </w:tabs>
        <w:ind w:left="2268"/>
        <w:rPr>
          <w:rFonts w:ascii="Verdana" w:hAnsi="Verdana"/>
          <w:i/>
          <w:kern w:val="2"/>
          <w:sz w:val="18"/>
          <w:szCs w:val="18"/>
        </w:rPr>
      </w:pPr>
      <w:r>
        <w:rPr>
          <w:rFonts w:ascii="Verdana" w:hAnsi="Verdana"/>
          <w:i/>
          <w:kern w:val="2"/>
          <w:sz w:val="18"/>
        </w:rPr>
        <w:t>Artículo I, parte A, punto 3, y artículo I, parte D, puntos 1 y 3</w:t>
      </w:r>
    </w:p>
    <w:p w:rsidR="00670294" w:rsidRDefault="005D7072" w:rsidP="00E17C57">
      <w:pPr>
        <w:tabs>
          <w:tab w:val="left" w:pos="2268"/>
        </w:tabs>
        <w:ind w:left="2268"/>
        <w:rPr>
          <w:rFonts w:ascii="Verdana" w:hAnsi="Verdana"/>
          <w:kern w:val="2"/>
          <w:sz w:val="18"/>
          <w:szCs w:val="18"/>
        </w:rPr>
      </w:pPr>
      <w:r>
        <w:rPr>
          <w:rFonts w:ascii="Verdana" w:hAnsi="Verdana"/>
          <w:kern w:val="2"/>
          <w:sz w:val="18"/>
        </w:rPr>
        <w:t>En el momento de la entrada en vigor del presente Decreto, el anexo del Decreto de la Ley de productos básicos sobre preparados a base de hierbas contiene únicamente lo que antes constituía la parte II, que ahora es «el anexo». La referencia a la parte II del anexo en el artículo 4, apartado 3, del Decreto de la Ley de productos básicos sobre preparados a base de hierbas pasa a ser, por tanto, la referencia al «anexo».</w:t>
      </w:r>
    </w:p>
    <w:p w:rsidR="00B561EB" w:rsidRDefault="00B561EB" w:rsidP="00E17C57">
      <w:pPr>
        <w:tabs>
          <w:tab w:val="left" w:pos="2268"/>
        </w:tabs>
        <w:ind w:left="2268"/>
        <w:rPr>
          <w:rFonts w:ascii="Verdana" w:hAnsi="Verdana"/>
          <w:kern w:val="2"/>
          <w:sz w:val="18"/>
          <w:szCs w:val="18"/>
        </w:rPr>
      </w:pPr>
    </w:p>
    <w:p w:rsidR="005059AF" w:rsidRPr="00485F0F" w:rsidRDefault="00485F0F" w:rsidP="00E17C57">
      <w:pPr>
        <w:keepNext/>
        <w:keepLines/>
        <w:tabs>
          <w:tab w:val="left" w:pos="2268"/>
        </w:tabs>
        <w:ind w:left="2268"/>
        <w:rPr>
          <w:rFonts w:ascii="Verdana" w:hAnsi="Verdana"/>
          <w:i/>
          <w:kern w:val="2"/>
          <w:sz w:val="18"/>
          <w:szCs w:val="18"/>
        </w:rPr>
      </w:pPr>
      <w:r>
        <w:rPr>
          <w:rFonts w:ascii="Verdana" w:hAnsi="Verdana"/>
          <w:i/>
          <w:kern w:val="2"/>
          <w:sz w:val="18"/>
        </w:rPr>
        <w:t>Artículo I, parte A, punto 4</w:t>
      </w:r>
    </w:p>
    <w:p w:rsidR="003C006F" w:rsidRPr="00C5642F" w:rsidRDefault="003C006F" w:rsidP="00E17C57">
      <w:pPr>
        <w:tabs>
          <w:tab w:val="left" w:pos="2268"/>
        </w:tabs>
        <w:ind w:left="2268"/>
        <w:rPr>
          <w:rFonts w:ascii="Verdana" w:hAnsi="Verdana"/>
          <w:kern w:val="2"/>
          <w:sz w:val="18"/>
          <w:szCs w:val="18"/>
        </w:rPr>
      </w:pPr>
      <w:r>
        <w:rPr>
          <w:rFonts w:ascii="Verdana" w:hAnsi="Verdana"/>
          <w:kern w:val="2"/>
          <w:sz w:val="18"/>
        </w:rPr>
        <w:t>Sobre la base del informe del RIVM mencionado previamente y de la recomendación de la BuRO sobre la sinefrina, basada en dicho informe, se ha decidido prohibir la adición a los preparados a base de hierbas de m y o-sinefrina. De la recomendación de la BuRO se ha derivado una cantidad máxima diaria de 27 mg de p-sinefrina basada en la ingesta de alimentos. Esta cantidad máxima se ha incluido en el artículo 4, apartado 4.</w:t>
      </w:r>
    </w:p>
    <w:p w:rsidR="008250DF" w:rsidRPr="008250DF" w:rsidRDefault="008250DF" w:rsidP="00E17C57">
      <w:pPr>
        <w:tabs>
          <w:tab w:val="left" w:pos="2268"/>
        </w:tabs>
        <w:ind w:left="2268"/>
        <w:rPr>
          <w:rFonts w:ascii="Verdana" w:hAnsi="Verdana"/>
          <w:kern w:val="2"/>
          <w:sz w:val="18"/>
          <w:szCs w:val="18"/>
        </w:rPr>
      </w:pPr>
      <w:r>
        <w:rPr>
          <w:rFonts w:ascii="Verdana" w:hAnsi="Verdana"/>
          <w:kern w:val="2"/>
          <w:sz w:val="18"/>
        </w:rPr>
        <w:t xml:space="preserve">Se ha añadido el </w:t>
      </w:r>
      <w:r>
        <w:rPr>
          <w:rFonts w:ascii="Verdana" w:hAnsi="Verdana"/>
          <w:i/>
          <w:kern w:val="2"/>
          <w:sz w:val="18"/>
        </w:rPr>
        <w:t>Ricinus communis</w:t>
      </w:r>
      <w:r>
        <w:rPr>
          <w:rFonts w:ascii="Verdana" w:hAnsi="Verdana"/>
          <w:kern w:val="2"/>
          <w:sz w:val="18"/>
        </w:rPr>
        <w:t xml:space="preserve"> a la parte II del Decreto de la Ley de productos básicos sobre preparados a base de hierbas. El actual artículo 4, apartado 3, estipula que los preparados a base de hierbas no contendrán materiales procedentes total o parcialmente de </w:t>
      </w:r>
      <w:r>
        <w:rPr>
          <w:rFonts w:ascii="Verdana" w:hAnsi="Verdana"/>
          <w:i/>
          <w:kern w:val="2"/>
          <w:sz w:val="18"/>
        </w:rPr>
        <w:t>Ricinus communis</w:t>
      </w:r>
      <w:r>
        <w:rPr>
          <w:rFonts w:ascii="Verdana" w:hAnsi="Verdana"/>
          <w:kern w:val="2"/>
          <w:sz w:val="18"/>
        </w:rPr>
        <w:t>. El estudio del RIVM</w:t>
      </w:r>
      <w:r>
        <w:rPr>
          <w:rStyle w:val="FootnoteReference"/>
          <w:rFonts w:ascii="Verdana" w:hAnsi="Verdana"/>
          <w:kern w:val="2"/>
          <w:sz w:val="18"/>
        </w:rPr>
        <w:footnoteReference w:id="8"/>
      </w:r>
      <w:r>
        <w:rPr>
          <w:rFonts w:ascii="Verdana" w:hAnsi="Verdana"/>
          <w:kern w:val="2"/>
          <w:sz w:val="18"/>
        </w:rPr>
        <w:t xml:space="preserve"> también indica que la ingesta de hasta 0,4 g diarios de aceite extraído de semillas de </w:t>
      </w:r>
      <w:r>
        <w:rPr>
          <w:rFonts w:ascii="Verdana" w:hAnsi="Verdana"/>
          <w:i/>
          <w:kern w:val="2"/>
          <w:sz w:val="18"/>
        </w:rPr>
        <w:t>Ricinus communis</w:t>
      </w:r>
      <w:r>
        <w:rPr>
          <w:rFonts w:ascii="Verdana" w:hAnsi="Verdana"/>
          <w:kern w:val="2"/>
          <w:sz w:val="18"/>
        </w:rPr>
        <w:t xml:space="preserve"> no es perjudicial para la salud pública. Por este motivo, se añade un nuevo artículo 4, apartado 5, al Decreto de la Ley de productos básicos sobre preparados a base de hierbas para permitir lo descrito previamente.</w:t>
      </w:r>
    </w:p>
    <w:p w:rsidR="00FC5154" w:rsidRDefault="00FC5154" w:rsidP="00E17C57">
      <w:pPr>
        <w:tabs>
          <w:tab w:val="left" w:pos="2268"/>
        </w:tabs>
        <w:ind w:left="2268"/>
        <w:rPr>
          <w:rFonts w:ascii="Verdana" w:hAnsi="Verdana"/>
          <w:kern w:val="2"/>
          <w:sz w:val="18"/>
          <w:szCs w:val="18"/>
        </w:rPr>
      </w:pPr>
    </w:p>
    <w:p w:rsidR="002714CE" w:rsidRPr="002714CE" w:rsidRDefault="002714CE" w:rsidP="00E17C57">
      <w:pPr>
        <w:keepNext/>
        <w:keepLines/>
        <w:tabs>
          <w:tab w:val="left" w:pos="2268"/>
        </w:tabs>
        <w:ind w:left="2268"/>
        <w:rPr>
          <w:rFonts w:ascii="Verdana" w:hAnsi="Verdana"/>
          <w:i/>
          <w:kern w:val="2"/>
          <w:sz w:val="18"/>
          <w:szCs w:val="18"/>
        </w:rPr>
      </w:pPr>
      <w:r>
        <w:rPr>
          <w:rFonts w:ascii="Verdana" w:hAnsi="Verdana"/>
          <w:i/>
          <w:kern w:val="2"/>
          <w:sz w:val="18"/>
        </w:rPr>
        <w:t>Artículo I, parte B</w:t>
      </w:r>
    </w:p>
    <w:p w:rsidR="002714CE" w:rsidRPr="003D0C77" w:rsidRDefault="002714CE" w:rsidP="00E17C57">
      <w:pPr>
        <w:tabs>
          <w:tab w:val="left" w:pos="2268"/>
        </w:tabs>
        <w:ind w:left="2268"/>
        <w:rPr>
          <w:rFonts w:ascii="Verdana" w:hAnsi="Verdana"/>
          <w:kern w:val="2"/>
          <w:sz w:val="18"/>
          <w:szCs w:val="18"/>
        </w:rPr>
      </w:pPr>
      <w:r>
        <w:rPr>
          <w:rFonts w:ascii="Verdana" w:hAnsi="Verdana"/>
          <w:kern w:val="2"/>
          <w:sz w:val="18"/>
        </w:rPr>
        <w:t>En el artículo 6 se añade un nuevo apartado 3. Esto crea la posibilidad de emitir una orden ministerial por la que se establezcan normas adicionales sobre el uso y la dosis recomendados, mencionados en los apartados 1 y 2. Esto se utilizará para las sustancias que puedan tener efectos adversos en la salud en ciertas condiciones de uso y de dosificación. El uso y la dosis recomendados pueden emplearse para advertir a los consumidores sobre ello.</w:t>
      </w:r>
    </w:p>
    <w:p w:rsidR="00FC5154" w:rsidRDefault="00FC5154" w:rsidP="00E17C57">
      <w:pPr>
        <w:tabs>
          <w:tab w:val="left" w:pos="2268"/>
        </w:tabs>
        <w:ind w:left="2268"/>
        <w:rPr>
          <w:rFonts w:ascii="Verdana" w:hAnsi="Verdana"/>
          <w:kern w:val="2"/>
          <w:sz w:val="18"/>
          <w:szCs w:val="18"/>
        </w:rPr>
      </w:pPr>
    </w:p>
    <w:p w:rsidR="003143CD" w:rsidRPr="003143CD" w:rsidRDefault="003143CD" w:rsidP="00E17C57">
      <w:pPr>
        <w:keepNext/>
        <w:keepLines/>
        <w:tabs>
          <w:tab w:val="left" w:pos="2268"/>
        </w:tabs>
        <w:ind w:left="2268"/>
        <w:rPr>
          <w:rFonts w:ascii="Verdana" w:hAnsi="Verdana"/>
          <w:i/>
          <w:kern w:val="2"/>
          <w:sz w:val="18"/>
          <w:szCs w:val="18"/>
        </w:rPr>
      </w:pPr>
      <w:r>
        <w:rPr>
          <w:rFonts w:ascii="Verdana" w:hAnsi="Verdana"/>
          <w:i/>
          <w:kern w:val="2"/>
          <w:sz w:val="18"/>
        </w:rPr>
        <w:t>Artículo I, parte C y parte D, punto 10</w:t>
      </w:r>
    </w:p>
    <w:p w:rsidR="003143CD" w:rsidRDefault="003143CD" w:rsidP="00E17C57">
      <w:pPr>
        <w:tabs>
          <w:tab w:val="left" w:pos="2268"/>
        </w:tabs>
        <w:ind w:left="2268"/>
        <w:rPr>
          <w:rFonts w:ascii="Verdana" w:hAnsi="Verdana"/>
          <w:kern w:val="2"/>
          <w:sz w:val="18"/>
          <w:szCs w:val="18"/>
        </w:rPr>
      </w:pPr>
      <w:r>
        <w:rPr>
          <w:rFonts w:ascii="Verdana" w:hAnsi="Verdana"/>
          <w:kern w:val="2"/>
          <w:sz w:val="18"/>
        </w:rPr>
        <w:t>Esta modificación implica disposiciones transitorias detalladas.</w:t>
      </w:r>
    </w:p>
    <w:p w:rsidR="00E17C57" w:rsidRDefault="00E17C57" w:rsidP="00E17C57">
      <w:pPr>
        <w:tabs>
          <w:tab w:val="left" w:pos="2268"/>
        </w:tabs>
        <w:ind w:left="2268"/>
        <w:rPr>
          <w:rFonts w:ascii="Verdana" w:hAnsi="Verdana"/>
          <w:kern w:val="2"/>
          <w:sz w:val="18"/>
          <w:szCs w:val="18"/>
        </w:rPr>
      </w:pPr>
    </w:p>
    <w:p w:rsidR="00DE4D7B" w:rsidRPr="00DE4D7B" w:rsidRDefault="00773541" w:rsidP="00E17C57">
      <w:pPr>
        <w:keepNext/>
        <w:keepLines/>
        <w:tabs>
          <w:tab w:val="left" w:pos="2268"/>
        </w:tabs>
        <w:ind w:left="2268"/>
        <w:rPr>
          <w:rFonts w:ascii="Verdana" w:hAnsi="Verdana"/>
          <w:i/>
          <w:kern w:val="2"/>
          <w:sz w:val="18"/>
          <w:szCs w:val="18"/>
        </w:rPr>
      </w:pPr>
      <w:r>
        <w:rPr>
          <w:rFonts w:ascii="Verdana" w:hAnsi="Verdana"/>
          <w:i/>
          <w:kern w:val="2"/>
          <w:sz w:val="18"/>
        </w:rPr>
        <w:t>Artículo I, parte D, puntos 4 a 9</w:t>
      </w:r>
    </w:p>
    <w:p w:rsidR="007C6E9D" w:rsidRDefault="007C6E9D" w:rsidP="00E17C57">
      <w:pPr>
        <w:tabs>
          <w:tab w:val="left" w:pos="2268"/>
        </w:tabs>
        <w:ind w:left="2268"/>
        <w:rPr>
          <w:rFonts w:ascii="Verdana" w:hAnsi="Verdana"/>
          <w:kern w:val="2"/>
          <w:sz w:val="18"/>
          <w:szCs w:val="18"/>
        </w:rPr>
      </w:pPr>
      <w:r>
        <w:rPr>
          <w:rFonts w:ascii="Verdana" w:hAnsi="Verdana"/>
          <w:kern w:val="2"/>
          <w:sz w:val="18"/>
        </w:rPr>
        <w:t>El artículo 4, apartado 3, modificado, del Decreto de la Ley de productos básicos sobre preparados a base de hierbas estipula que los preparados a base de hierbas no contendrán materiales total o parcialmente procedentes de las plantas y los hongos mencionados en el anexo. Se añaden varias plantas al anexo (anteriormente, la parte II del anexo), debido a las graves consecuencias potencialmente perjudiciales sobre la salud humana (artículo I, parte D, punto 4).</w:t>
      </w:r>
    </w:p>
    <w:p w:rsidR="00DD3086" w:rsidRDefault="00DD3086" w:rsidP="00E17C57">
      <w:pPr>
        <w:tabs>
          <w:tab w:val="left" w:pos="2268"/>
        </w:tabs>
        <w:ind w:left="2268"/>
        <w:rPr>
          <w:rFonts w:ascii="Verdana" w:hAnsi="Verdana"/>
          <w:kern w:val="2"/>
          <w:sz w:val="18"/>
          <w:szCs w:val="18"/>
        </w:rPr>
      </w:pPr>
    </w:p>
    <w:p w:rsidR="007F2C23" w:rsidRDefault="00DD3086" w:rsidP="00E17C57">
      <w:pPr>
        <w:tabs>
          <w:tab w:val="left" w:pos="2268"/>
        </w:tabs>
        <w:ind w:left="2268"/>
        <w:rPr>
          <w:rFonts w:ascii="Verdana" w:hAnsi="Verdana"/>
          <w:kern w:val="2"/>
          <w:sz w:val="18"/>
          <w:szCs w:val="18"/>
        </w:rPr>
      </w:pPr>
      <w:r>
        <w:rPr>
          <w:rFonts w:ascii="Verdana" w:hAnsi="Verdana"/>
          <w:kern w:val="2"/>
          <w:sz w:val="18"/>
        </w:rPr>
        <w:t xml:space="preserve">En el artículo I, parte D, puntos 5 a 9, del presente Decreto se aprovecha la oportunidad para subsanar diversas deficiencias en la antigua parte II del anexo. En primer lugar, se han corregido varias erratas. En segundo lugar, se ha aclarado que la hierba venenosa </w:t>
      </w:r>
      <w:r>
        <w:rPr>
          <w:rFonts w:ascii="Verdana" w:hAnsi="Verdana"/>
          <w:i/>
          <w:kern w:val="2"/>
          <w:sz w:val="18"/>
        </w:rPr>
        <w:t>Bryonia alba</w:t>
      </w:r>
      <w:r>
        <w:rPr>
          <w:rFonts w:ascii="Verdana" w:hAnsi="Verdana"/>
          <w:kern w:val="2"/>
          <w:sz w:val="18"/>
        </w:rPr>
        <w:t xml:space="preserve"> no está relacionada en absoluto con </w:t>
      </w:r>
      <w:r>
        <w:rPr>
          <w:rFonts w:ascii="Verdana" w:hAnsi="Verdana"/>
          <w:i/>
          <w:kern w:val="2"/>
          <w:sz w:val="18"/>
        </w:rPr>
        <w:t>Brassica nigra</w:t>
      </w:r>
      <w:r>
        <w:rPr>
          <w:rFonts w:ascii="Verdana" w:hAnsi="Verdana"/>
          <w:kern w:val="2"/>
          <w:sz w:val="18"/>
        </w:rPr>
        <w:t xml:space="preserve"> (mostaza negra). Estas se colocaron involuntariamente una al lado de la otra en el anexo. Ahora aparecen una debajo de la otra para aclarar que se trata de dos plantas diferentes.</w:t>
      </w:r>
    </w:p>
    <w:p w:rsidR="00E17C57" w:rsidRDefault="00E17C57" w:rsidP="00E17C57">
      <w:pPr>
        <w:tabs>
          <w:tab w:val="left" w:pos="2268"/>
        </w:tabs>
        <w:ind w:left="2268"/>
        <w:rPr>
          <w:rFonts w:ascii="Verdana" w:hAnsi="Verdana"/>
          <w:kern w:val="2"/>
          <w:sz w:val="18"/>
          <w:szCs w:val="18"/>
        </w:rPr>
      </w:pPr>
    </w:p>
    <w:p w:rsidR="007F2C23" w:rsidRPr="00C93CDF" w:rsidRDefault="007F2C23" w:rsidP="00E17C57">
      <w:pPr>
        <w:keepNext/>
        <w:keepLines/>
        <w:tabs>
          <w:tab w:val="left" w:pos="2268"/>
        </w:tabs>
        <w:ind w:left="2268"/>
        <w:rPr>
          <w:rFonts w:ascii="Verdana" w:hAnsi="Verdana"/>
          <w:i/>
          <w:kern w:val="2"/>
          <w:sz w:val="18"/>
          <w:szCs w:val="18"/>
        </w:rPr>
      </w:pPr>
      <w:r>
        <w:rPr>
          <w:rFonts w:ascii="Verdana" w:hAnsi="Verdana"/>
          <w:i/>
          <w:kern w:val="2"/>
          <w:sz w:val="18"/>
        </w:rPr>
        <w:t>Artículo II</w:t>
      </w:r>
    </w:p>
    <w:p w:rsidR="003143CD" w:rsidRPr="00C93CDF" w:rsidRDefault="00C93CDF" w:rsidP="00E17C57">
      <w:pPr>
        <w:ind w:left="2268"/>
        <w:rPr>
          <w:rFonts w:ascii="Verdana" w:hAnsi="Verdana"/>
          <w:sz w:val="18"/>
          <w:szCs w:val="18"/>
        </w:rPr>
      </w:pPr>
      <w:r>
        <w:rPr>
          <w:rFonts w:ascii="Verdana" w:hAnsi="Verdana"/>
          <w:sz w:val="18"/>
        </w:rPr>
        <w:t>En el anexo del Decreto de la Ley de productos básicos sobre sanciones administrativas, se añade el artículo 4, apartado 5, del Decreto de la Ley de productos básicos sobre preparados a base de hierbas para que el incumplimiento del último pueda penalizarse con una sanción administrativa.</w:t>
      </w:r>
    </w:p>
    <w:p w:rsidR="007F2C23" w:rsidRDefault="007F2C23"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r>
        <w:rPr>
          <w:rFonts w:ascii="Verdana" w:hAnsi="Verdana"/>
          <w:kern w:val="2"/>
          <w:sz w:val="18"/>
        </w:rPr>
        <w:t>El Ministro de Sanidad,</w:t>
      </w: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Pr="005B4FAB" w:rsidRDefault="003143CD" w:rsidP="00E17C57">
      <w:pPr>
        <w:tabs>
          <w:tab w:val="left" w:pos="2268"/>
        </w:tabs>
        <w:ind w:left="2268"/>
        <w:rPr>
          <w:rFonts w:ascii="Verdana" w:hAnsi="Verdana"/>
          <w:kern w:val="2"/>
          <w:sz w:val="18"/>
          <w:szCs w:val="18"/>
        </w:rPr>
      </w:pPr>
      <w:r>
        <w:rPr>
          <w:rFonts w:ascii="Verdana" w:hAnsi="Verdana"/>
          <w:kern w:val="2"/>
          <w:sz w:val="18"/>
        </w:rPr>
        <w:t>B. J. Bruins</w:t>
      </w:r>
    </w:p>
    <w:sectPr w:rsidR="003143CD" w:rsidRPr="005B4FAB" w:rsidSect="00E17C57">
      <w:headerReference w:type="default" r:id="rId8"/>
      <w:footerReference w:type="default" r:id="rId9"/>
      <w:headerReference w:type="first" r:id="rId10"/>
      <w:footerReference w:type="first" r:id="rId11"/>
      <w:pgSz w:w="11906" w:h="16838" w:code="9"/>
      <w:pgMar w:top="1763" w:right="1826" w:bottom="1134" w:left="851" w:header="0" w:footer="4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535" w:rsidRDefault="00DE0535">
      <w:r>
        <w:separator/>
      </w:r>
    </w:p>
  </w:endnote>
  <w:endnote w:type="continuationSeparator" w:id="0">
    <w:p w:rsidR="00DE0535" w:rsidRDefault="00DE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380"/>
      <w:docPartObj>
        <w:docPartGallery w:val="Page Numbers (Bottom of Page)"/>
        <w:docPartUnique/>
      </w:docPartObj>
    </w:sdtPr>
    <w:sdtEndPr/>
    <w:sdtContent>
      <w:p w:rsidR="002E5EAB" w:rsidRDefault="00567EE1">
        <w:pPr>
          <w:pStyle w:val="Footer"/>
          <w:jc w:val="right"/>
        </w:pPr>
        <w:r>
          <w:rPr>
            <w:noProof/>
          </w:rPr>
          <w:fldChar w:fldCharType="begin"/>
        </w:r>
        <w:r>
          <w:rPr>
            <w:noProof/>
          </w:rPr>
          <w:instrText xml:space="preserve"> PAGE   \* MERGEFORMAT </w:instrText>
        </w:r>
        <w:r>
          <w:rPr>
            <w:noProof/>
          </w:rPr>
          <w:fldChar w:fldCharType="separate"/>
        </w:r>
        <w:r w:rsidR="00107028">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663189"/>
      <w:docPartObj>
        <w:docPartGallery w:val="Page Numbers (Bottom of Page)"/>
        <w:docPartUnique/>
      </w:docPartObj>
    </w:sdtPr>
    <w:sdtEndPr/>
    <w:sdtContent>
      <w:p w:rsidR="002E5EAB" w:rsidRDefault="00567EE1">
        <w:pPr>
          <w:pStyle w:val="Footer"/>
          <w:jc w:val="right"/>
        </w:pPr>
        <w:r>
          <w:rPr>
            <w:noProof/>
          </w:rPr>
          <w:fldChar w:fldCharType="begin"/>
        </w:r>
        <w:r>
          <w:rPr>
            <w:noProof/>
          </w:rPr>
          <w:instrText xml:space="preserve"> PAGE   \* MERGEFORMAT </w:instrText>
        </w:r>
        <w:r>
          <w:rPr>
            <w:noProof/>
          </w:rPr>
          <w:fldChar w:fldCharType="separate"/>
        </w:r>
        <w:r w:rsidR="0010702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535" w:rsidRDefault="00DE0535">
      <w:r>
        <w:separator/>
      </w:r>
    </w:p>
  </w:footnote>
  <w:footnote w:type="continuationSeparator" w:id="0">
    <w:p w:rsidR="00DE0535" w:rsidRDefault="00DE0535">
      <w:r>
        <w:continuationSeparator/>
      </w:r>
    </w:p>
  </w:footnote>
  <w:footnote w:id="1">
    <w:p w:rsidR="002E5EAB" w:rsidRPr="004B6695" w:rsidRDefault="002E5EAB" w:rsidP="00B428D8">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El ROW está compuesto por representantes de las empresas (industria y comercio), los consumidores, los ministerios (en particular, el Ministerio de Salud Pública, Bienestar y Deportes, y el Ministerio de Agricultura, Naturaleza y Calidad Alimentaria) y la Autoridad neerlandesa de seguridad alimentaria y de los productos de consumo (NVWA).</w:t>
      </w:r>
    </w:p>
  </w:footnote>
  <w:footnote w:id="2">
    <w:p w:rsidR="002E5EAB" w:rsidRPr="004B6695" w:rsidRDefault="002E5EAB">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Evaluación de riesgos de la sinefrina, 14 de marzo de 2018, https://www.rivm.nl/Documenten_en_publicaties/Wetenschappelijk/Rapporten/2018/maart/Risk_assessment_of_synephrine.</w:t>
      </w:r>
    </w:p>
  </w:footnote>
  <w:footnote w:id="3">
    <w:p w:rsidR="002E5EAB" w:rsidRPr="004B6695" w:rsidRDefault="002E5EAB">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Recomendación de la BuRO sobre la ingesta máxima de sinefrina de preparados a base de hierbas, 26 de marzo de 2018.</w:t>
      </w:r>
    </w:p>
  </w:footnote>
  <w:footnote w:id="4">
    <w:p w:rsidR="002E5EAB" w:rsidRPr="004B6695" w:rsidRDefault="002E5EAB" w:rsidP="009345F8">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Directiva (UE) 2015/1535 del Parlamento Europeo y del Consejo, de 9 de septiembre de 2015, por la que se establece un procedimiento de información en materia de reglamentaciones técnicas y de reglas relativas a los servicios de la sociedad de la información (versión codificada) (DO L 241 de 2015).</w:t>
      </w:r>
    </w:p>
  </w:footnote>
  <w:footnote w:id="5">
    <w:p w:rsidR="00430B87" w:rsidRPr="004B6695" w:rsidRDefault="00430B87" w:rsidP="00430B87">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Reglamento (CE) n.º 1881/2006 de la Comisión, de 19 de diciembre de 2006, por el que se fija el contenido máximo de determinados contaminantes en los productos alimenticios (DO L 364 de 2006).</w:t>
      </w:r>
    </w:p>
  </w:footnote>
  <w:footnote w:id="6">
    <w:p w:rsidR="002E5EAB" w:rsidRPr="004B6695" w:rsidRDefault="002E5EAB" w:rsidP="00FC0162">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RIVM (2008), Evaluación de tipos de acónitos chinos (</w:t>
      </w:r>
      <w:r>
        <w:rPr>
          <w:rFonts w:ascii="Verdana" w:hAnsi="Verdana"/>
          <w:i/>
          <w:sz w:val="16"/>
        </w:rPr>
        <w:t>Beoordeling Chinese monnikskapsoorte</w:t>
      </w:r>
      <w:r>
        <w:rPr>
          <w:rFonts w:ascii="Verdana" w:hAnsi="Verdana"/>
          <w:sz w:val="16"/>
        </w:rPr>
        <w:t>, en neerlandés). RIVM, Centro para la evaluación de sustancias y riesgos integrales (SIR), Bilthoven, 5 de diciembre de 2008.</w:t>
      </w:r>
    </w:p>
    <w:p w:rsidR="002E5EAB" w:rsidRPr="004B6695" w:rsidRDefault="002E5EAB" w:rsidP="00FC0162">
      <w:pPr>
        <w:pStyle w:val="FootnoteText"/>
        <w:rPr>
          <w:rFonts w:ascii="Verdana" w:hAnsi="Verdana"/>
          <w:sz w:val="16"/>
          <w:szCs w:val="16"/>
        </w:rPr>
      </w:pPr>
      <w:r>
        <w:rPr>
          <w:rFonts w:ascii="Verdana" w:hAnsi="Verdana"/>
          <w:sz w:val="16"/>
        </w:rPr>
        <w:t>RIVM (2011), Evaluación de los riesgos para la salud de varias sustancias específicas de los preparados a base de hierbas (</w:t>
      </w:r>
      <w:r>
        <w:rPr>
          <w:rFonts w:ascii="Verdana" w:hAnsi="Verdana"/>
          <w:i/>
          <w:sz w:val="16"/>
        </w:rPr>
        <w:t>Beoordeling van de gezondheidsrisico’s van een aantal specifieke stoffen in kruidenpreparaten</w:t>
      </w:r>
      <w:r>
        <w:rPr>
          <w:rFonts w:ascii="Verdana" w:hAnsi="Verdana"/>
          <w:sz w:val="16"/>
        </w:rPr>
        <w:t>, en neerlandés). RIVM, Centro para la evaluación de sustancias y riesgos integrales (SIR), Bilthoven, 30 de marzo de 2011.</w:t>
      </w:r>
    </w:p>
    <w:p w:rsidR="002E5EAB" w:rsidRPr="004B6695" w:rsidRDefault="002E5EAB" w:rsidP="00FC0162">
      <w:pPr>
        <w:pStyle w:val="FootnoteText"/>
        <w:rPr>
          <w:rFonts w:ascii="Verdana" w:hAnsi="Verdana"/>
          <w:sz w:val="16"/>
          <w:szCs w:val="16"/>
        </w:rPr>
      </w:pPr>
      <w:r>
        <w:rPr>
          <w:rFonts w:ascii="Verdana" w:hAnsi="Verdana"/>
          <w:sz w:val="16"/>
        </w:rPr>
        <w:t>RIVM (2009), Evaluación de los riesgos para la salud de las «hierbas prohibidas» (</w:t>
      </w:r>
      <w:r>
        <w:rPr>
          <w:rFonts w:ascii="Verdana" w:hAnsi="Verdana"/>
          <w:i/>
          <w:sz w:val="16"/>
        </w:rPr>
        <w:t>Beoordeling van de gezondheidsrisico’s van ‘verboden kruiden’</w:t>
      </w:r>
      <w:r>
        <w:rPr>
          <w:rFonts w:ascii="Verdana" w:hAnsi="Verdana"/>
          <w:sz w:val="16"/>
        </w:rPr>
        <w:t>, en neerlandés); número del informe: 320011002. RIVM, Centro para la evaluación de sustancias y riesgos integrales (SIR), Bilthoven, 15 de junio de 2009.</w:t>
      </w:r>
    </w:p>
    <w:p w:rsidR="002E5EAB" w:rsidRPr="004B6695" w:rsidRDefault="002E5EAB" w:rsidP="00FC0162">
      <w:pPr>
        <w:pStyle w:val="FootnoteText"/>
        <w:rPr>
          <w:rFonts w:ascii="Verdana" w:hAnsi="Verdana"/>
          <w:sz w:val="16"/>
          <w:szCs w:val="16"/>
        </w:rPr>
      </w:pPr>
      <w:r>
        <w:rPr>
          <w:rFonts w:ascii="Verdana" w:hAnsi="Verdana"/>
          <w:sz w:val="16"/>
        </w:rPr>
        <w:t xml:space="preserve">RIVM (2009), Evaluación de riesgos de </w:t>
      </w:r>
      <w:r>
        <w:rPr>
          <w:rFonts w:ascii="Verdana" w:hAnsi="Verdana"/>
          <w:i/>
          <w:sz w:val="16"/>
        </w:rPr>
        <w:t>Pilocarpus jaborandi</w:t>
      </w:r>
      <w:r>
        <w:rPr>
          <w:rFonts w:ascii="Verdana" w:hAnsi="Verdana"/>
          <w:sz w:val="16"/>
        </w:rPr>
        <w:t xml:space="preserve"> (</w:t>
      </w:r>
      <w:r>
        <w:rPr>
          <w:rFonts w:ascii="Verdana" w:hAnsi="Verdana"/>
          <w:i/>
          <w:sz w:val="16"/>
        </w:rPr>
        <w:t>Risicobeoordeling Pilocarpus jaborandi</w:t>
      </w:r>
      <w:r>
        <w:rPr>
          <w:rFonts w:ascii="Verdana" w:hAnsi="Verdana"/>
          <w:sz w:val="16"/>
        </w:rPr>
        <w:t>, en neerlandés). RIVM, Centro para la evaluación de sustancias y riesgos integrales (SIR), Bilthoven, 14 de diciembre de 2009.</w:t>
      </w:r>
    </w:p>
    <w:p w:rsidR="002E5EAB" w:rsidRPr="004B6695" w:rsidRDefault="002E5EAB" w:rsidP="008E734A">
      <w:pPr>
        <w:pStyle w:val="FootnoteText"/>
        <w:rPr>
          <w:rFonts w:ascii="Verdana" w:hAnsi="Verdana"/>
          <w:sz w:val="16"/>
          <w:szCs w:val="16"/>
        </w:rPr>
      </w:pPr>
      <w:r>
        <w:rPr>
          <w:rFonts w:ascii="Verdana" w:hAnsi="Verdana"/>
          <w:sz w:val="16"/>
        </w:rPr>
        <w:t>RIVM (2010), Evaluación de una solicitud para la exención en virtud del Decreto de la Ley de productos básicos sobre preparados a base de plantas para aceite de ricino (</w:t>
      </w:r>
      <w:r>
        <w:rPr>
          <w:rFonts w:ascii="Verdana" w:hAnsi="Verdana"/>
          <w:i/>
          <w:sz w:val="16"/>
        </w:rPr>
        <w:t>Beoordeling ontheffingsaanvraag Warenwetbesluit Kruidenpreparaten voor ricinusolie</w:t>
      </w:r>
      <w:r>
        <w:rPr>
          <w:rFonts w:ascii="Verdana" w:hAnsi="Verdana"/>
          <w:sz w:val="16"/>
        </w:rPr>
        <w:t>, en neerlandés). RIVM, Centro para la evaluación de sustancias y riesgos integrales (SIR), Bilthoven, 20 de diciembre de 2010.</w:t>
      </w:r>
    </w:p>
  </w:footnote>
  <w:footnote w:id="7">
    <w:p w:rsidR="002E5EAB" w:rsidRPr="004B6695" w:rsidRDefault="002E5EAB" w:rsidP="008E734A">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Reglamento (CE) n.º 1334/2008 del Parlamento Europeo y del Consejo, de 16 de diciembre de 2008, sobre los aromas y determinados ingredientes alimentarios con propiedades aromatizantes utilizados en los alimentos y por el que se modifican el Reglamento (CEE) n.º 1601/91 del Consejo, los Reglamentos (CE) n.º 2232/96 y (CE) n.º 110/2008 y la Directiva 2000/13/CE (DO L 354 de 2008).</w:t>
      </w:r>
    </w:p>
  </w:footnote>
  <w:footnote w:id="8">
    <w:p w:rsidR="002E5EAB" w:rsidRPr="004B6695" w:rsidRDefault="002E5EAB" w:rsidP="008E734A">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RIVM (2010), Evaluación de una solicitud para la exención en virtud del Decreto de la Ley de productos básicos sobre preparados a base de plantas para aceite de ricino (</w:t>
      </w:r>
      <w:r>
        <w:rPr>
          <w:rFonts w:ascii="Verdana" w:hAnsi="Verdana"/>
          <w:i/>
          <w:sz w:val="16"/>
        </w:rPr>
        <w:t>Beoordeling ontheffingsaanvraag Warenwetbesluit Kruidenpreparaten voor ricinusolie</w:t>
      </w:r>
      <w:r>
        <w:rPr>
          <w:rFonts w:ascii="Verdana" w:hAnsi="Verdana"/>
          <w:sz w:val="16"/>
        </w:rPr>
        <w:t>, en neerlandés). RIVM, Centro para la evaluación de sustancias y riesgos integrales (SIR), Bilthoven, 20 de diciembre de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AB" w:rsidRDefault="002E5EAB">
    <w:pPr>
      <w:pStyle w:val="Header"/>
      <w:spacing w:before="15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AB" w:rsidRDefault="002E5EAB">
    <w:pPr>
      <w:pStyle w:val="Header"/>
      <w:spacing w:before="1762" w:line="2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8B080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BC7D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92CD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D42AF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B4278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0A25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5626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E243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30C6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4032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64F44"/>
    <w:multiLevelType w:val="hybridMultilevel"/>
    <w:tmpl w:val="9E443880"/>
    <w:lvl w:ilvl="0" w:tplc="08090011">
      <w:start w:val="1"/>
      <w:numFmt w:val="decimal"/>
      <w:lvlText w:val="%1)"/>
      <w:lvlJc w:val="left"/>
      <w:pPr>
        <w:ind w:left="2628" w:hanging="360"/>
      </w:pPr>
      <w:rPr>
        <w:rFonts w:hint="default"/>
      </w:rPr>
    </w:lvl>
    <w:lvl w:ilvl="1" w:tplc="04130019">
      <w:start w:val="1"/>
      <w:numFmt w:val="lowerLetter"/>
      <w:lvlText w:val="%2."/>
      <w:lvlJc w:val="left"/>
      <w:pPr>
        <w:ind w:left="3621"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1" w15:restartNumberingAfterBreak="0">
    <w:nsid w:val="09C574D1"/>
    <w:multiLevelType w:val="hybridMultilevel"/>
    <w:tmpl w:val="2F88DA6A"/>
    <w:lvl w:ilvl="0" w:tplc="C8FE2FB6">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2" w15:restartNumberingAfterBreak="0">
    <w:nsid w:val="1A1A0FCE"/>
    <w:multiLevelType w:val="hybridMultilevel"/>
    <w:tmpl w:val="4B487D2C"/>
    <w:lvl w:ilvl="0" w:tplc="0413000F">
      <w:start w:val="1"/>
      <w:numFmt w:val="decimal"/>
      <w:lvlText w:val="%1."/>
      <w:lvlJc w:val="left"/>
      <w:pPr>
        <w:ind w:left="2988" w:hanging="360"/>
      </w:pPr>
      <w:rPr>
        <w:rFonts w:hint="default"/>
      </w:rPr>
    </w:lvl>
    <w:lvl w:ilvl="1" w:tplc="04130019">
      <w:start w:val="1"/>
      <w:numFmt w:val="lowerLetter"/>
      <w:lvlText w:val="%2."/>
      <w:lvlJc w:val="left"/>
      <w:pPr>
        <w:ind w:left="3708" w:hanging="360"/>
      </w:pPr>
    </w:lvl>
    <w:lvl w:ilvl="2" w:tplc="0413001B" w:tentative="1">
      <w:start w:val="1"/>
      <w:numFmt w:val="lowerRoman"/>
      <w:lvlText w:val="%3."/>
      <w:lvlJc w:val="right"/>
      <w:pPr>
        <w:ind w:left="4428" w:hanging="180"/>
      </w:pPr>
    </w:lvl>
    <w:lvl w:ilvl="3" w:tplc="0413000F" w:tentative="1">
      <w:start w:val="1"/>
      <w:numFmt w:val="decimal"/>
      <w:lvlText w:val="%4."/>
      <w:lvlJc w:val="left"/>
      <w:pPr>
        <w:ind w:left="5148" w:hanging="360"/>
      </w:pPr>
    </w:lvl>
    <w:lvl w:ilvl="4" w:tplc="04130019" w:tentative="1">
      <w:start w:val="1"/>
      <w:numFmt w:val="lowerLetter"/>
      <w:lvlText w:val="%5."/>
      <w:lvlJc w:val="left"/>
      <w:pPr>
        <w:ind w:left="5868" w:hanging="360"/>
      </w:pPr>
    </w:lvl>
    <w:lvl w:ilvl="5" w:tplc="0413001B" w:tentative="1">
      <w:start w:val="1"/>
      <w:numFmt w:val="lowerRoman"/>
      <w:lvlText w:val="%6."/>
      <w:lvlJc w:val="right"/>
      <w:pPr>
        <w:ind w:left="6588" w:hanging="180"/>
      </w:pPr>
    </w:lvl>
    <w:lvl w:ilvl="6" w:tplc="0413000F" w:tentative="1">
      <w:start w:val="1"/>
      <w:numFmt w:val="decimal"/>
      <w:lvlText w:val="%7."/>
      <w:lvlJc w:val="left"/>
      <w:pPr>
        <w:ind w:left="7308" w:hanging="360"/>
      </w:pPr>
    </w:lvl>
    <w:lvl w:ilvl="7" w:tplc="04130019" w:tentative="1">
      <w:start w:val="1"/>
      <w:numFmt w:val="lowerLetter"/>
      <w:lvlText w:val="%8."/>
      <w:lvlJc w:val="left"/>
      <w:pPr>
        <w:ind w:left="8028" w:hanging="360"/>
      </w:pPr>
    </w:lvl>
    <w:lvl w:ilvl="8" w:tplc="0413001B" w:tentative="1">
      <w:start w:val="1"/>
      <w:numFmt w:val="lowerRoman"/>
      <w:lvlText w:val="%9."/>
      <w:lvlJc w:val="right"/>
      <w:pPr>
        <w:ind w:left="8748" w:hanging="180"/>
      </w:pPr>
    </w:lvl>
  </w:abstractNum>
  <w:abstractNum w:abstractNumId="13" w15:restartNumberingAfterBreak="0">
    <w:nsid w:val="26AA06D4"/>
    <w:multiLevelType w:val="hybridMultilevel"/>
    <w:tmpl w:val="FF7CE7A2"/>
    <w:lvl w:ilvl="0" w:tplc="04130019">
      <w:start w:val="1"/>
      <w:numFmt w:val="decimal"/>
      <w:lvlText w:val="%1."/>
      <w:lvlJc w:val="left"/>
      <w:pPr>
        <w:ind w:left="2628" w:hanging="360"/>
      </w:p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4" w15:restartNumberingAfterBreak="0">
    <w:nsid w:val="3D5A72BB"/>
    <w:multiLevelType w:val="hybridMultilevel"/>
    <w:tmpl w:val="9BC67F08"/>
    <w:lvl w:ilvl="0" w:tplc="0413000F">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5" w15:restartNumberingAfterBreak="0">
    <w:nsid w:val="46F72CB3"/>
    <w:multiLevelType w:val="hybridMultilevel"/>
    <w:tmpl w:val="26FCFD12"/>
    <w:lvl w:ilvl="0" w:tplc="2BEA3D76">
      <w:numFmt w:val="bullet"/>
      <w:lvlText w:val="-"/>
      <w:lvlJc w:val="left"/>
      <w:pPr>
        <w:ind w:left="2628" w:hanging="360"/>
      </w:pPr>
      <w:rPr>
        <w:rFonts w:ascii="Verdana" w:eastAsia="Times New Roman" w:hAnsi="Verdana" w:cs="Times New Roman" w:hint="default"/>
      </w:rPr>
    </w:lvl>
    <w:lvl w:ilvl="1" w:tplc="04130003" w:tentative="1">
      <w:start w:val="1"/>
      <w:numFmt w:val="bullet"/>
      <w:lvlText w:val="o"/>
      <w:lvlJc w:val="left"/>
      <w:pPr>
        <w:ind w:left="3348" w:hanging="360"/>
      </w:pPr>
      <w:rPr>
        <w:rFonts w:ascii="Courier New" w:hAnsi="Courier New" w:cs="Courier New" w:hint="default"/>
      </w:rPr>
    </w:lvl>
    <w:lvl w:ilvl="2" w:tplc="04130005" w:tentative="1">
      <w:start w:val="1"/>
      <w:numFmt w:val="bullet"/>
      <w:lvlText w:val=""/>
      <w:lvlJc w:val="left"/>
      <w:pPr>
        <w:ind w:left="4068" w:hanging="360"/>
      </w:pPr>
      <w:rPr>
        <w:rFonts w:ascii="Wingdings" w:hAnsi="Wingdings" w:hint="default"/>
      </w:rPr>
    </w:lvl>
    <w:lvl w:ilvl="3" w:tplc="04130001" w:tentative="1">
      <w:start w:val="1"/>
      <w:numFmt w:val="bullet"/>
      <w:lvlText w:val=""/>
      <w:lvlJc w:val="left"/>
      <w:pPr>
        <w:ind w:left="4788" w:hanging="360"/>
      </w:pPr>
      <w:rPr>
        <w:rFonts w:ascii="Symbol" w:hAnsi="Symbol" w:hint="default"/>
      </w:rPr>
    </w:lvl>
    <w:lvl w:ilvl="4" w:tplc="04130003" w:tentative="1">
      <w:start w:val="1"/>
      <w:numFmt w:val="bullet"/>
      <w:lvlText w:val="o"/>
      <w:lvlJc w:val="left"/>
      <w:pPr>
        <w:ind w:left="5508" w:hanging="360"/>
      </w:pPr>
      <w:rPr>
        <w:rFonts w:ascii="Courier New" w:hAnsi="Courier New" w:cs="Courier New" w:hint="default"/>
      </w:rPr>
    </w:lvl>
    <w:lvl w:ilvl="5" w:tplc="04130005" w:tentative="1">
      <w:start w:val="1"/>
      <w:numFmt w:val="bullet"/>
      <w:lvlText w:val=""/>
      <w:lvlJc w:val="left"/>
      <w:pPr>
        <w:ind w:left="6228" w:hanging="360"/>
      </w:pPr>
      <w:rPr>
        <w:rFonts w:ascii="Wingdings" w:hAnsi="Wingdings" w:hint="default"/>
      </w:rPr>
    </w:lvl>
    <w:lvl w:ilvl="6" w:tplc="04130001" w:tentative="1">
      <w:start w:val="1"/>
      <w:numFmt w:val="bullet"/>
      <w:lvlText w:val=""/>
      <w:lvlJc w:val="left"/>
      <w:pPr>
        <w:ind w:left="6948" w:hanging="360"/>
      </w:pPr>
      <w:rPr>
        <w:rFonts w:ascii="Symbol" w:hAnsi="Symbol" w:hint="default"/>
      </w:rPr>
    </w:lvl>
    <w:lvl w:ilvl="7" w:tplc="04130003" w:tentative="1">
      <w:start w:val="1"/>
      <w:numFmt w:val="bullet"/>
      <w:lvlText w:val="o"/>
      <w:lvlJc w:val="left"/>
      <w:pPr>
        <w:ind w:left="7668" w:hanging="360"/>
      </w:pPr>
      <w:rPr>
        <w:rFonts w:ascii="Courier New" w:hAnsi="Courier New" w:cs="Courier New" w:hint="default"/>
      </w:rPr>
    </w:lvl>
    <w:lvl w:ilvl="8" w:tplc="04130005" w:tentative="1">
      <w:start w:val="1"/>
      <w:numFmt w:val="bullet"/>
      <w:lvlText w:val=""/>
      <w:lvlJc w:val="left"/>
      <w:pPr>
        <w:ind w:left="8388" w:hanging="360"/>
      </w:pPr>
      <w:rPr>
        <w:rFonts w:ascii="Wingdings" w:hAnsi="Wingdings" w:hint="default"/>
      </w:rPr>
    </w:lvl>
  </w:abstractNum>
  <w:abstractNum w:abstractNumId="16" w15:restartNumberingAfterBreak="0">
    <w:nsid w:val="4B0679D7"/>
    <w:multiLevelType w:val="hybridMultilevel"/>
    <w:tmpl w:val="147C4076"/>
    <w:lvl w:ilvl="0" w:tplc="C8FE2FB6">
      <w:start w:val="1"/>
      <w:numFmt w:val="decimal"/>
      <w:lvlText w:val="%1."/>
      <w:lvlJc w:val="left"/>
      <w:pPr>
        <w:ind w:left="2628" w:hanging="360"/>
      </w:pPr>
      <w:rPr>
        <w:rFonts w:hint="default"/>
      </w:rPr>
    </w:lvl>
    <w:lvl w:ilvl="1" w:tplc="04130019">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7" w15:restartNumberingAfterBreak="0">
    <w:nsid w:val="4C8852E2"/>
    <w:multiLevelType w:val="hybridMultilevel"/>
    <w:tmpl w:val="D4F8BAFA"/>
    <w:lvl w:ilvl="0" w:tplc="04130019">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8" w15:restartNumberingAfterBreak="0">
    <w:nsid w:val="507B3795"/>
    <w:multiLevelType w:val="hybridMultilevel"/>
    <w:tmpl w:val="A410838A"/>
    <w:lvl w:ilvl="0" w:tplc="08090011">
      <w:start w:val="1"/>
      <w:numFmt w:val="decimal"/>
      <w:lvlText w:val="%1)"/>
      <w:lvlJc w:val="left"/>
      <w:pPr>
        <w:ind w:left="2838" w:hanging="57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9" w15:restartNumberingAfterBreak="0">
    <w:nsid w:val="568E4EC0"/>
    <w:multiLevelType w:val="hybridMultilevel"/>
    <w:tmpl w:val="F878D528"/>
    <w:lvl w:ilvl="0" w:tplc="C02E45FA">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20" w15:restartNumberingAfterBreak="0">
    <w:nsid w:val="7DAE4CB9"/>
    <w:multiLevelType w:val="hybridMultilevel"/>
    <w:tmpl w:val="F85A4AF2"/>
    <w:lvl w:ilvl="0" w:tplc="E8C447CE">
      <w:start w:val="1"/>
      <w:numFmt w:val="decimal"/>
      <w:lvlText w:val="%1."/>
      <w:lvlJc w:val="left"/>
      <w:pPr>
        <w:ind w:left="3198" w:hanging="360"/>
      </w:pPr>
      <w:rPr>
        <w:rFonts w:hint="default"/>
      </w:rPr>
    </w:lvl>
    <w:lvl w:ilvl="1" w:tplc="04130019" w:tentative="1">
      <w:start w:val="1"/>
      <w:numFmt w:val="lowerLetter"/>
      <w:lvlText w:val="%2."/>
      <w:lvlJc w:val="left"/>
      <w:pPr>
        <w:ind w:left="3918" w:hanging="360"/>
      </w:pPr>
    </w:lvl>
    <w:lvl w:ilvl="2" w:tplc="0413001B" w:tentative="1">
      <w:start w:val="1"/>
      <w:numFmt w:val="lowerRoman"/>
      <w:lvlText w:val="%3."/>
      <w:lvlJc w:val="right"/>
      <w:pPr>
        <w:ind w:left="4638" w:hanging="180"/>
      </w:pPr>
    </w:lvl>
    <w:lvl w:ilvl="3" w:tplc="0413000F" w:tentative="1">
      <w:start w:val="1"/>
      <w:numFmt w:val="decimal"/>
      <w:lvlText w:val="%4."/>
      <w:lvlJc w:val="left"/>
      <w:pPr>
        <w:ind w:left="5358" w:hanging="360"/>
      </w:pPr>
    </w:lvl>
    <w:lvl w:ilvl="4" w:tplc="04130019" w:tentative="1">
      <w:start w:val="1"/>
      <w:numFmt w:val="lowerLetter"/>
      <w:lvlText w:val="%5."/>
      <w:lvlJc w:val="left"/>
      <w:pPr>
        <w:ind w:left="6078" w:hanging="360"/>
      </w:pPr>
    </w:lvl>
    <w:lvl w:ilvl="5" w:tplc="0413001B" w:tentative="1">
      <w:start w:val="1"/>
      <w:numFmt w:val="lowerRoman"/>
      <w:lvlText w:val="%6."/>
      <w:lvlJc w:val="right"/>
      <w:pPr>
        <w:ind w:left="6798" w:hanging="180"/>
      </w:pPr>
    </w:lvl>
    <w:lvl w:ilvl="6" w:tplc="0413000F" w:tentative="1">
      <w:start w:val="1"/>
      <w:numFmt w:val="decimal"/>
      <w:lvlText w:val="%7."/>
      <w:lvlJc w:val="left"/>
      <w:pPr>
        <w:ind w:left="7518" w:hanging="360"/>
      </w:pPr>
    </w:lvl>
    <w:lvl w:ilvl="7" w:tplc="04130019" w:tentative="1">
      <w:start w:val="1"/>
      <w:numFmt w:val="lowerLetter"/>
      <w:lvlText w:val="%8."/>
      <w:lvlJc w:val="left"/>
      <w:pPr>
        <w:ind w:left="8238" w:hanging="360"/>
      </w:pPr>
    </w:lvl>
    <w:lvl w:ilvl="8" w:tplc="0413001B" w:tentative="1">
      <w:start w:val="1"/>
      <w:numFmt w:val="lowerRoman"/>
      <w:lvlText w:val="%9."/>
      <w:lvlJc w:val="right"/>
      <w:pPr>
        <w:ind w:left="895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2"/>
  </w:num>
  <w:num w:numId="23">
    <w:abstractNumId w:val="10"/>
  </w:num>
  <w:num w:numId="24">
    <w:abstractNumId w:val="11"/>
  </w:num>
  <w:num w:numId="25">
    <w:abstractNumId w:val="15"/>
  </w:num>
  <w:num w:numId="26">
    <w:abstractNumId w:val="13"/>
  </w:num>
  <w:num w:numId="27">
    <w:abstractNumId w:val="14"/>
  </w:num>
  <w:num w:numId="28">
    <w:abstractNumId w:val="17"/>
  </w:num>
  <w:num w:numId="29">
    <w:abstractNumId w:val="18"/>
  </w:num>
  <w:num w:numId="30">
    <w:abstractNumId w:val="2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ctiveWritingStyle w:appName="MSWord" w:lang="nl-NL"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D62"/>
    <w:rsid w:val="000306A1"/>
    <w:rsid w:val="000414C9"/>
    <w:rsid w:val="000446F2"/>
    <w:rsid w:val="0004538B"/>
    <w:rsid w:val="000478B3"/>
    <w:rsid w:val="000552D8"/>
    <w:rsid w:val="00060A6E"/>
    <w:rsid w:val="00060CB2"/>
    <w:rsid w:val="00063390"/>
    <w:rsid w:val="000634DB"/>
    <w:rsid w:val="00093369"/>
    <w:rsid w:val="000A1E70"/>
    <w:rsid w:val="000B2822"/>
    <w:rsid w:val="000C18E4"/>
    <w:rsid w:val="000C37A0"/>
    <w:rsid w:val="000E0515"/>
    <w:rsid w:val="000E23EB"/>
    <w:rsid w:val="000E2EAB"/>
    <w:rsid w:val="001037E8"/>
    <w:rsid w:val="00107028"/>
    <w:rsid w:val="00117420"/>
    <w:rsid w:val="001231D7"/>
    <w:rsid w:val="00145ED0"/>
    <w:rsid w:val="00176336"/>
    <w:rsid w:val="00183469"/>
    <w:rsid w:val="001960C4"/>
    <w:rsid w:val="00196262"/>
    <w:rsid w:val="00196781"/>
    <w:rsid w:val="001C0010"/>
    <w:rsid w:val="001C64DD"/>
    <w:rsid w:val="001E0693"/>
    <w:rsid w:val="001E1936"/>
    <w:rsid w:val="001E6005"/>
    <w:rsid w:val="00223B57"/>
    <w:rsid w:val="00225092"/>
    <w:rsid w:val="002308EC"/>
    <w:rsid w:val="0024053D"/>
    <w:rsid w:val="002476F5"/>
    <w:rsid w:val="00250BDB"/>
    <w:rsid w:val="00256C2B"/>
    <w:rsid w:val="0025703A"/>
    <w:rsid w:val="002708AB"/>
    <w:rsid w:val="002714CE"/>
    <w:rsid w:val="0029085E"/>
    <w:rsid w:val="00292028"/>
    <w:rsid w:val="002921B4"/>
    <w:rsid w:val="00294AEA"/>
    <w:rsid w:val="002A288B"/>
    <w:rsid w:val="002B54FD"/>
    <w:rsid w:val="002C2B74"/>
    <w:rsid w:val="002C445B"/>
    <w:rsid w:val="002D5C67"/>
    <w:rsid w:val="002D79B3"/>
    <w:rsid w:val="002E5EAB"/>
    <w:rsid w:val="002F64D5"/>
    <w:rsid w:val="002F7B3A"/>
    <w:rsid w:val="00305B8E"/>
    <w:rsid w:val="0031322B"/>
    <w:rsid w:val="003143CD"/>
    <w:rsid w:val="00317515"/>
    <w:rsid w:val="0032057A"/>
    <w:rsid w:val="003345ED"/>
    <w:rsid w:val="00345C53"/>
    <w:rsid w:val="003545C4"/>
    <w:rsid w:val="00355E9B"/>
    <w:rsid w:val="00370E07"/>
    <w:rsid w:val="003825F1"/>
    <w:rsid w:val="00392359"/>
    <w:rsid w:val="0039728D"/>
    <w:rsid w:val="003B442C"/>
    <w:rsid w:val="003B5162"/>
    <w:rsid w:val="003C006F"/>
    <w:rsid w:val="003C3169"/>
    <w:rsid w:val="003C7364"/>
    <w:rsid w:val="003D0C77"/>
    <w:rsid w:val="0040189C"/>
    <w:rsid w:val="00401912"/>
    <w:rsid w:val="004165B5"/>
    <w:rsid w:val="00420744"/>
    <w:rsid w:val="00421AAD"/>
    <w:rsid w:val="0042448A"/>
    <w:rsid w:val="0043098B"/>
    <w:rsid w:val="00430B87"/>
    <w:rsid w:val="0044067E"/>
    <w:rsid w:val="00443563"/>
    <w:rsid w:val="0045127A"/>
    <w:rsid w:val="00482F98"/>
    <w:rsid w:val="00485F0F"/>
    <w:rsid w:val="00497A92"/>
    <w:rsid w:val="004B6695"/>
    <w:rsid w:val="004C2327"/>
    <w:rsid w:val="004C3496"/>
    <w:rsid w:val="004E3FE4"/>
    <w:rsid w:val="004E4918"/>
    <w:rsid w:val="00500044"/>
    <w:rsid w:val="005016F0"/>
    <w:rsid w:val="005059AF"/>
    <w:rsid w:val="00510BBD"/>
    <w:rsid w:val="0051720D"/>
    <w:rsid w:val="005333BE"/>
    <w:rsid w:val="005441BF"/>
    <w:rsid w:val="00550AD8"/>
    <w:rsid w:val="00551657"/>
    <w:rsid w:val="00557876"/>
    <w:rsid w:val="0055791C"/>
    <w:rsid w:val="005600DD"/>
    <w:rsid w:val="005621C2"/>
    <w:rsid w:val="00567EE1"/>
    <w:rsid w:val="00583D07"/>
    <w:rsid w:val="00586978"/>
    <w:rsid w:val="00587945"/>
    <w:rsid w:val="00591598"/>
    <w:rsid w:val="00592E9C"/>
    <w:rsid w:val="005A1A2C"/>
    <w:rsid w:val="005A65F6"/>
    <w:rsid w:val="005A7F79"/>
    <w:rsid w:val="005B43ED"/>
    <w:rsid w:val="005B4FAB"/>
    <w:rsid w:val="005C6A30"/>
    <w:rsid w:val="005C714F"/>
    <w:rsid w:val="005D7072"/>
    <w:rsid w:val="005E47AF"/>
    <w:rsid w:val="005E4D39"/>
    <w:rsid w:val="005E52AB"/>
    <w:rsid w:val="005E7B28"/>
    <w:rsid w:val="005F32CF"/>
    <w:rsid w:val="005F794F"/>
    <w:rsid w:val="0060213F"/>
    <w:rsid w:val="00610A2C"/>
    <w:rsid w:val="00615E9D"/>
    <w:rsid w:val="00624543"/>
    <w:rsid w:val="00643157"/>
    <w:rsid w:val="0064439B"/>
    <w:rsid w:val="00646A87"/>
    <w:rsid w:val="00652AEA"/>
    <w:rsid w:val="006636BC"/>
    <w:rsid w:val="00670294"/>
    <w:rsid w:val="0067749E"/>
    <w:rsid w:val="006A4A7D"/>
    <w:rsid w:val="006B479D"/>
    <w:rsid w:val="006E531C"/>
    <w:rsid w:val="006F5217"/>
    <w:rsid w:val="00712DF2"/>
    <w:rsid w:val="00715CA8"/>
    <w:rsid w:val="00727080"/>
    <w:rsid w:val="00730004"/>
    <w:rsid w:val="00731C2B"/>
    <w:rsid w:val="00732703"/>
    <w:rsid w:val="00732DEB"/>
    <w:rsid w:val="00735C87"/>
    <w:rsid w:val="00737E1C"/>
    <w:rsid w:val="00740EC3"/>
    <w:rsid w:val="00757FD1"/>
    <w:rsid w:val="00761835"/>
    <w:rsid w:val="007640A4"/>
    <w:rsid w:val="00773541"/>
    <w:rsid w:val="007747CE"/>
    <w:rsid w:val="00775921"/>
    <w:rsid w:val="00787FE4"/>
    <w:rsid w:val="007A400F"/>
    <w:rsid w:val="007A7A68"/>
    <w:rsid w:val="007C1DC6"/>
    <w:rsid w:val="007C6E9D"/>
    <w:rsid w:val="007C792C"/>
    <w:rsid w:val="007D0DFA"/>
    <w:rsid w:val="007D3727"/>
    <w:rsid w:val="007E2295"/>
    <w:rsid w:val="007E7D62"/>
    <w:rsid w:val="007F08F8"/>
    <w:rsid w:val="007F2C23"/>
    <w:rsid w:val="00811562"/>
    <w:rsid w:val="00816861"/>
    <w:rsid w:val="00817257"/>
    <w:rsid w:val="008179B7"/>
    <w:rsid w:val="008250DF"/>
    <w:rsid w:val="00835F89"/>
    <w:rsid w:val="00837AE7"/>
    <w:rsid w:val="00843D1D"/>
    <w:rsid w:val="008534C5"/>
    <w:rsid w:val="00861CD2"/>
    <w:rsid w:val="008952DA"/>
    <w:rsid w:val="008A041C"/>
    <w:rsid w:val="008A18AA"/>
    <w:rsid w:val="008B033B"/>
    <w:rsid w:val="008B2C8B"/>
    <w:rsid w:val="008C22D4"/>
    <w:rsid w:val="008D0CAF"/>
    <w:rsid w:val="008D38B6"/>
    <w:rsid w:val="008D69EA"/>
    <w:rsid w:val="008E734A"/>
    <w:rsid w:val="008F0589"/>
    <w:rsid w:val="009016D1"/>
    <w:rsid w:val="00932A51"/>
    <w:rsid w:val="009345F8"/>
    <w:rsid w:val="0093487E"/>
    <w:rsid w:val="0095665C"/>
    <w:rsid w:val="00967BB6"/>
    <w:rsid w:val="00967D68"/>
    <w:rsid w:val="009737E5"/>
    <w:rsid w:val="00973FE4"/>
    <w:rsid w:val="009806E1"/>
    <w:rsid w:val="0098275F"/>
    <w:rsid w:val="0098725C"/>
    <w:rsid w:val="009E455E"/>
    <w:rsid w:val="009F3CE5"/>
    <w:rsid w:val="00A04453"/>
    <w:rsid w:val="00A27E62"/>
    <w:rsid w:val="00A31DC6"/>
    <w:rsid w:val="00A33B8D"/>
    <w:rsid w:val="00A351C9"/>
    <w:rsid w:val="00A46CDA"/>
    <w:rsid w:val="00A47007"/>
    <w:rsid w:val="00A5016D"/>
    <w:rsid w:val="00A53898"/>
    <w:rsid w:val="00A67444"/>
    <w:rsid w:val="00A74EF0"/>
    <w:rsid w:val="00A76E98"/>
    <w:rsid w:val="00A82C01"/>
    <w:rsid w:val="00A82D46"/>
    <w:rsid w:val="00A82F87"/>
    <w:rsid w:val="00A97A54"/>
    <w:rsid w:val="00AA7461"/>
    <w:rsid w:val="00AB3B66"/>
    <w:rsid w:val="00AB4972"/>
    <w:rsid w:val="00AB497F"/>
    <w:rsid w:val="00AD2912"/>
    <w:rsid w:val="00AD2E4A"/>
    <w:rsid w:val="00AE02B0"/>
    <w:rsid w:val="00AF5E53"/>
    <w:rsid w:val="00B01382"/>
    <w:rsid w:val="00B01BA3"/>
    <w:rsid w:val="00B02BEE"/>
    <w:rsid w:val="00B207F7"/>
    <w:rsid w:val="00B24606"/>
    <w:rsid w:val="00B32311"/>
    <w:rsid w:val="00B34ABB"/>
    <w:rsid w:val="00B41683"/>
    <w:rsid w:val="00B41BE2"/>
    <w:rsid w:val="00B428D8"/>
    <w:rsid w:val="00B44ECE"/>
    <w:rsid w:val="00B46E21"/>
    <w:rsid w:val="00B5019B"/>
    <w:rsid w:val="00B556CF"/>
    <w:rsid w:val="00B56093"/>
    <w:rsid w:val="00B561EB"/>
    <w:rsid w:val="00B64698"/>
    <w:rsid w:val="00B67E83"/>
    <w:rsid w:val="00B71129"/>
    <w:rsid w:val="00B72FAF"/>
    <w:rsid w:val="00B80666"/>
    <w:rsid w:val="00B874E0"/>
    <w:rsid w:val="00BB02A9"/>
    <w:rsid w:val="00BB07D4"/>
    <w:rsid w:val="00BB11AA"/>
    <w:rsid w:val="00BB551C"/>
    <w:rsid w:val="00BB70CC"/>
    <w:rsid w:val="00BB7CCF"/>
    <w:rsid w:val="00BC6861"/>
    <w:rsid w:val="00BD2594"/>
    <w:rsid w:val="00BF3143"/>
    <w:rsid w:val="00BF3F64"/>
    <w:rsid w:val="00C4141A"/>
    <w:rsid w:val="00C4350A"/>
    <w:rsid w:val="00C50FE3"/>
    <w:rsid w:val="00C53758"/>
    <w:rsid w:val="00C5642F"/>
    <w:rsid w:val="00C61D5C"/>
    <w:rsid w:val="00C778A3"/>
    <w:rsid w:val="00C82775"/>
    <w:rsid w:val="00C93CDF"/>
    <w:rsid w:val="00CA2E3C"/>
    <w:rsid w:val="00CB5A04"/>
    <w:rsid w:val="00CC5BEA"/>
    <w:rsid w:val="00CD5C43"/>
    <w:rsid w:val="00CE5084"/>
    <w:rsid w:val="00CE52C4"/>
    <w:rsid w:val="00D107D4"/>
    <w:rsid w:val="00D4549F"/>
    <w:rsid w:val="00D50F33"/>
    <w:rsid w:val="00D62430"/>
    <w:rsid w:val="00D65AD6"/>
    <w:rsid w:val="00D8580E"/>
    <w:rsid w:val="00D91AE4"/>
    <w:rsid w:val="00D9610F"/>
    <w:rsid w:val="00DA0E75"/>
    <w:rsid w:val="00DA4178"/>
    <w:rsid w:val="00DB2C45"/>
    <w:rsid w:val="00DC2C4E"/>
    <w:rsid w:val="00DD3086"/>
    <w:rsid w:val="00DE0535"/>
    <w:rsid w:val="00DE3374"/>
    <w:rsid w:val="00DE4D7B"/>
    <w:rsid w:val="00E14DAF"/>
    <w:rsid w:val="00E17C57"/>
    <w:rsid w:val="00E22A5E"/>
    <w:rsid w:val="00E24A62"/>
    <w:rsid w:val="00E26DBD"/>
    <w:rsid w:val="00E27C82"/>
    <w:rsid w:val="00E33217"/>
    <w:rsid w:val="00E35889"/>
    <w:rsid w:val="00E42020"/>
    <w:rsid w:val="00E44D04"/>
    <w:rsid w:val="00E8182F"/>
    <w:rsid w:val="00E836EA"/>
    <w:rsid w:val="00EA51D7"/>
    <w:rsid w:val="00EA722D"/>
    <w:rsid w:val="00EC553A"/>
    <w:rsid w:val="00ED086C"/>
    <w:rsid w:val="00ED310D"/>
    <w:rsid w:val="00EE2253"/>
    <w:rsid w:val="00EE6914"/>
    <w:rsid w:val="00F01BC0"/>
    <w:rsid w:val="00F07731"/>
    <w:rsid w:val="00F120A1"/>
    <w:rsid w:val="00F1392F"/>
    <w:rsid w:val="00F276AE"/>
    <w:rsid w:val="00F30DC4"/>
    <w:rsid w:val="00F332A7"/>
    <w:rsid w:val="00F517C1"/>
    <w:rsid w:val="00F51F89"/>
    <w:rsid w:val="00F6533C"/>
    <w:rsid w:val="00F804F7"/>
    <w:rsid w:val="00F80EF2"/>
    <w:rsid w:val="00F82ADF"/>
    <w:rsid w:val="00F9308D"/>
    <w:rsid w:val="00F9721E"/>
    <w:rsid w:val="00FA1BC4"/>
    <w:rsid w:val="00FA61EF"/>
    <w:rsid w:val="00FC0162"/>
    <w:rsid w:val="00FC20CC"/>
    <w:rsid w:val="00FC5154"/>
    <w:rsid w:val="00FC6EAD"/>
    <w:rsid w:val="00FE3678"/>
    <w:rsid w:val="00FF6A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A9AE784-8BD9-441C-A641-E49B74DD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53D"/>
    <w:pPr>
      <w:spacing w:line="260" w:lineRule="exact"/>
    </w:pPr>
    <w:rPr>
      <w:rFonts w:ascii="Univers" w:hAnsi="Univers"/>
    </w:rPr>
  </w:style>
  <w:style w:type="paragraph" w:styleId="Heading1">
    <w:name w:val="heading 1"/>
    <w:basedOn w:val="Normal"/>
    <w:next w:val="Normal"/>
    <w:qFormat/>
    <w:rsid w:val="0024053D"/>
    <w:pPr>
      <w:keepNext/>
      <w:spacing w:before="240" w:after="60" w:line="240" w:lineRule="auto"/>
      <w:outlineLvl w:val="0"/>
    </w:pPr>
    <w:rPr>
      <w:b/>
      <w:kern w:val="28"/>
      <w:sz w:val="28"/>
    </w:rPr>
  </w:style>
  <w:style w:type="paragraph" w:styleId="Heading2">
    <w:name w:val="heading 2"/>
    <w:basedOn w:val="Normal"/>
    <w:next w:val="Normal"/>
    <w:qFormat/>
    <w:rsid w:val="0024053D"/>
    <w:pPr>
      <w:keepNext/>
      <w:spacing w:before="240" w:after="60" w:line="240" w:lineRule="auto"/>
      <w:outlineLvl w:val="1"/>
    </w:pPr>
    <w:rPr>
      <w:rFonts w:ascii="Arial" w:hAnsi="Arial"/>
      <w:b/>
      <w:i/>
      <w:sz w:val="24"/>
    </w:rPr>
  </w:style>
  <w:style w:type="paragraph" w:styleId="Heading3">
    <w:name w:val="heading 3"/>
    <w:basedOn w:val="Normal"/>
    <w:next w:val="Normal"/>
    <w:qFormat/>
    <w:rsid w:val="0024053D"/>
    <w:pPr>
      <w:keepNext/>
      <w:spacing w:before="240" w:after="60" w:line="240" w:lineRule="auto"/>
      <w:outlineLvl w:val="2"/>
    </w:pPr>
    <w:rPr>
      <w:rFonts w:ascii="Arial" w:hAnsi="Arial"/>
      <w:sz w:val="24"/>
    </w:rPr>
  </w:style>
  <w:style w:type="paragraph" w:styleId="Heading4">
    <w:name w:val="heading 4"/>
    <w:basedOn w:val="Normal"/>
    <w:next w:val="Normal"/>
    <w:qFormat/>
    <w:rsid w:val="0024053D"/>
    <w:pPr>
      <w:keepNext/>
      <w:spacing w:before="240" w:after="60" w:line="240" w:lineRule="auto"/>
      <w:outlineLvl w:val="3"/>
    </w:pPr>
    <w:rPr>
      <w:rFonts w:ascii="Arial" w:hAnsi="Arial"/>
      <w:b/>
      <w:sz w:val="24"/>
    </w:rPr>
  </w:style>
  <w:style w:type="paragraph" w:styleId="Heading5">
    <w:name w:val="heading 5"/>
    <w:basedOn w:val="Normal"/>
    <w:next w:val="Normal"/>
    <w:qFormat/>
    <w:rsid w:val="0024053D"/>
    <w:pPr>
      <w:spacing w:before="240" w:after="60" w:line="240" w:lineRule="auto"/>
      <w:outlineLvl w:val="4"/>
    </w:pPr>
    <w:rPr>
      <w:sz w:val="22"/>
    </w:rPr>
  </w:style>
  <w:style w:type="paragraph" w:styleId="Heading6">
    <w:name w:val="heading 6"/>
    <w:basedOn w:val="Normal"/>
    <w:next w:val="Normal"/>
    <w:qFormat/>
    <w:rsid w:val="0024053D"/>
    <w:pPr>
      <w:spacing w:before="240" w:after="60" w:line="240" w:lineRule="auto"/>
      <w:outlineLvl w:val="5"/>
    </w:pPr>
    <w:rPr>
      <w:rFonts w:ascii="Times New Roman" w:hAnsi="Times New Roman"/>
      <w:i/>
      <w:sz w:val="22"/>
    </w:rPr>
  </w:style>
  <w:style w:type="paragraph" w:styleId="Heading7">
    <w:name w:val="heading 7"/>
    <w:basedOn w:val="Normal"/>
    <w:next w:val="Normal"/>
    <w:qFormat/>
    <w:rsid w:val="0024053D"/>
    <w:pPr>
      <w:spacing w:before="240" w:after="60" w:line="240" w:lineRule="auto"/>
      <w:outlineLvl w:val="6"/>
    </w:pPr>
    <w:rPr>
      <w:rFonts w:ascii="Arial" w:hAnsi="Arial"/>
    </w:rPr>
  </w:style>
  <w:style w:type="paragraph" w:styleId="Heading8">
    <w:name w:val="heading 8"/>
    <w:basedOn w:val="Normal"/>
    <w:next w:val="Normal"/>
    <w:qFormat/>
    <w:rsid w:val="0024053D"/>
    <w:pPr>
      <w:spacing w:before="240" w:after="60" w:line="240" w:lineRule="auto"/>
      <w:outlineLvl w:val="7"/>
    </w:pPr>
    <w:rPr>
      <w:rFonts w:ascii="Arial" w:hAnsi="Arial"/>
      <w:i/>
    </w:rPr>
  </w:style>
  <w:style w:type="paragraph" w:styleId="Heading9">
    <w:name w:val="heading 9"/>
    <w:basedOn w:val="Normal"/>
    <w:next w:val="Normal"/>
    <w:qFormat/>
    <w:rsid w:val="0024053D"/>
    <w:p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053D"/>
    <w:pPr>
      <w:tabs>
        <w:tab w:val="center" w:pos="4536"/>
        <w:tab w:val="right" w:pos="9072"/>
      </w:tabs>
      <w:spacing w:line="240" w:lineRule="auto"/>
    </w:pPr>
    <w:rPr>
      <w:spacing w:val="6"/>
      <w:sz w:val="16"/>
    </w:rPr>
  </w:style>
  <w:style w:type="paragraph" w:customStyle="1" w:styleId="Ondertekening">
    <w:name w:val="Ondertekening"/>
    <w:basedOn w:val="Normal"/>
    <w:next w:val="Normal"/>
    <w:rsid w:val="0024053D"/>
    <w:pPr>
      <w:spacing w:before="810" w:line="240" w:lineRule="auto"/>
    </w:pPr>
  </w:style>
  <w:style w:type="paragraph" w:styleId="Footer">
    <w:name w:val="footer"/>
    <w:basedOn w:val="Normal"/>
    <w:link w:val="FooterChar"/>
    <w:uiPriority w:val="99"/>
    <w:rsid w:val="0024053D"/>
    <w:pPr>
      <w:tabs>
        <w:tab w:val="center" w:pos="4536"/>
        <w:tab w:val="right" w:pos="9072"/>
      </w:tabs>
      <w:spacing w:line="240" w:lineRule="auto"/>
    </w:pPr>
  </w:style>
  <w:style w:type="character" w:styleId="PageNumber">
    <w:name w:val="page number"/>
    <w:basedOn w:val="DefaultParagraphFont"/>
    <w:rsid w:val="0024053D"/>
  </w:style>
  <w:style w:type="paragraph" w:styleId="Salutation">
    <w:name w:val="Salutation"/>
    <w:basedOn w:val="Normal"/>
    <w:next w:val="Normal"/>
    <w:rsid w:val="0024053D"/>
    <w:pPr>
      <w:spacing w:line="240" w:lineRule="auto"/>
    </w:pPr>
  </w:style>
  <w:style w:type="paragraph" w:styleId="EnvelopeAddress">
    <w:name w:val="envelope address"/>
    <w:basedOn w:val="Normal"/>
    <w:rsid w:val="0024053D"/>
    <w:pPr>
      <w:framePr w:w="7920" w:h="1980" w:hRule="exact" w:hSpace="141" w:wrap="auto" w:hAnchor="page" w:xAlign="center" w:yAlign="bottom"/>
      <w:spacing w:line="240" w:lineRule="auto"/>
      <w:ind w:left="2880"/>
    </w:pPr>
    <w:rPr>
      <w:rFonts w:ascii="Arial" w:hAnsi="Arial"/>
      <w:sz w:val="24"/>
    </w:rPr>
  </w:style>
  <w:style w:type="paragraph" w:styleId="Closing">
    <w:name w:val="Closing"/>
    <w:basedOn w:val="Normal"/>
    <w:rsid w:val="0024053D"/>
    <w:pPr>
      <w:spacing w:line="240" w:lineRule="auto"/>
      <w:ind w:left="4252"/>
    </w:pPr>
  </w:style>
  <w:style w:type="paragraph" w:styleId="EnvelopeReturn">
    <w:name w:val="envelope return"/>
    <w:basedOn w:val="Normal"/>
    <w:rsid w:val="0024053D"/>
    <w:pPr>
      <w:spacing w:line="240" w:lineRule="auto"/>
    </w:pPr>
    <w:rPr>
      <w:rFonts w:ascii="Arial" w:hAnsi="Arial"/>
    </w:rPr>
  </w:style>
  <w:style w:type="paragraph" w:styleId="MessageHeader">
    <w:name w:val="Message Header"/>
    <w:basedOn w:val="Normal"/>
    <w:rsid w:val="0024053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rPr>
  </w:style>
  <w:style w:type="paragraph" w:styleId="Caption">
    <w:name w:val="caption"/>
    <w:basedOn w:val="Normal"/>
    <w:next w:val="Normal"/>
    <w:qFormat/>
    <w:rsid w:val="0024053D"/>
    <w:pPr>
      <w:spacing w:before="120" w:after="120" w:line="240" w:lineRule="auto"/>
    </w:pPr>
    <w:rPr>
      <w:b/>
    </w:rPr>
  </w:style>
  <w:style w:type="paragraph" w:styleId="BlockText">
    <w:name w:val="Block Text"/>
    <w:basedOn w:val="Normal"/>
    <w:rsid w:val="0024053D"/>
    <w:pPr>
      <w:spacing w:after="120" w:line="240" w:lineRule="auto"/>
      <w:ind w:left="1440" w:right="1440"/>
    </w:pPr>
  </w:style>
  <w:style w:type="paragraph" w:styleId="TableofAuthorities">
    <w:name w:val="table of authorities"/>
    <w:basedOn w:val="Normal"/>
    <w:next w:val="Normal"/>
    <w:semiHidden/>
    <w:rsid w:val="0024053D"/>
    <w:pPr>
      <w:spacing w:line="240" w:lineRule="auto"/>
      <w:ind w:left="200" w:hanging="200"/>
    </w:pPr>
  </w:style>
  <w:style w:type="paragraph" w:styleId="Date">
    <w:name w:val="Date"/>
    <w:basedOn w:val="Normal"/>
    <w:next w:val="Normal"/>
    <w:rsid w:val="0024053D"/>
    <w:pPr>
      <w:spacing w:line="240" w:lineRule="auto"/>
    </w:pPr>
  </w:style>
  <w:style w:type="paragraph" w:styleId="DocumentMap">
    <w:name w:val="Document Map"/>
    <w:basedOn w:val="Normal"/>
    <w:semiHidden/>
    <w:rsid w:val="0024053D"/>
    <w:pPr>
      <w:shd w:val="clear" w:color="auto" w:fill="000080"/>
      <w:spacing w:line="240" w:lineRule="auto"/>
    </w:pPr>
    <w:rPr>
      <w:rFonts w:ascii="Tahoma" w:hAnsi="Tahoma"/>
    </w:rPr>
  </w:style>
  <w:style w:type="paragraph" w:styleId="EndnoteText">
    <w:name w:val="endnote text"/>
    <w:basedOn w:val="Normal"/>
    <w:semiHidden/>
    <w:rsid w:val="0024053D"/>
    <w:pPr>
      <w:spacing w:line="240" w:lineRule="auto"/>
    </w:pPr>
  </w:style>
  <w:style w:type="paragraph" w:styleId="Signature">
    <w:name w:val="Signature"/>
    <w:basedOn w:val="Normal"/>
    <w:rsid w:val="0024053D"/>
    <w:pPr>
      <w:spacing w:line="240" w:lineRule="auto"/>
      <w:ind w:left="4252"/>
    </w:pPr>
  </w:style>
  <w:style w:type="paragraph" w:styleId="Index1">
    <w:name w:val="index 1"/>
    <w:basedOn w:val="Normal"/>
    <w:next w:val="Normal"/>
    <w:semiHidden/>
    <w:rsid w:val="0024053D"/>
    <w:pPr>
      <w:spacing w:line="240" w:lineRule="auto"/>
      <w:ind w:left="200" w:hanging="200"/>
    </w:pPr>
  </w:style>
  <w:style w:type="paragraph" w:styleId="Index2">
    <w:name w:val="index 2"/>
    <w:basedOn w:val="Normal"/>
    <w:next w:val="Normal"/>
    <w:semiHidden/>
    <w:rsid w:val="0024053D"/>
    <w:pPr>
      <w:spacing w:line="240" w:lineRule="auto"/>
      <w:ind w:left="400" w:hanging="200"/>
    </w:pPr>
  </w:style>
  <w:style w:type="paragraph" w:styleId="Index3">
    <w:name w:val="index 3"/>
    <w:basedOn w:val="Normal"/>
    <w:next w:val="Normal"/>
    <w:semiHidden/>
    <w:rsid w:val="0024053D"/>
    <w:pPr>
      <w:spacing w:line="240" w:lineRule="auto"/>
      <w:ind w:left="600" w:hanging="200"/>
    </w:pPr>
  </w:style>
  <w:style w:type="paragraph" w:styleId="Index4">
    <w:name w:val="index 4"/>
    <w:basedOn w:val="Normal"/>
    <w:next w:val="Normal"/>
    <w:semiHidden/>
    <w:rsid w:val="0024053D"/>
    <w:pPr>
      <w:spacing w:line="240" w:lineRule="auto"/>
      <w:ind w:left="800" w:hanging="200"/>
    </w:pPr>
  </w:style>
  <w:style w:type="paragraph" w:styleId="Index5">
    <w:name w:val="index 5"/>
    <w:basedOn w:val="Normal"/>
    <w:next w:val="Normal"/>
    <w:semiHidden/>
    <w:rsid w:val="0024053D"/>
    <w:pPr>
      <w:spacing w:line="240" w:lineRule="auto"/>
      <w:ind w:left="1000" w:hanging="200"/>
    </w:pPr>
  </w:style>
  <w:style w:type="paragraph" w:styleId="Index6">
    <w:name w:val="index 6"/>
    <w:basedOn w:val="Normal"/>
    <w:next w:val="Normal"/>
    <w:semiHidden/>
    <w:rsid w:val="0024053D"/>
    <w:pPr>
      <w:spacing w:line="240" w:lineRule="auto"/>
      <w:ind w:left="1200" w:hanging="200"/>
    </w:pPr>
  </w:style>
  <w:style w:type="paragraph" w:styleId="Index7">
    <w:name w:val="index 7"/>
    <w:basedOn w:val="Normal"/>
    <w:next w:val="Normal"/>
    <w:semiHidden/>
    <w:rsid w:val="0024053D"/>
    <w:pPr>
      <w:spacing w:line="240" w:lineRule="auto"/>
      <w:ind w:left="1400" w:hanging="200"/>
    </w:pPr>
  </w:style>
  <w:style w:type="paragraph" w:styleId="Index8">
    <w:name w:val="index 8"/>
    <w:basedOn w:val="Normal"/>
    <w:next w:val="Normal"/>
    <w:semiHidden/>
    <w:rsid w:val="0024053D"/>
    <w:pPr>
      <w:spacing w:line="240" w:lineRule="auto"/>
      <w:ind w:left="1600" w:hanging="200"/>
    </w:pPr>
  </w:style>
  <w:style w:type="paragraph" w:styleId="Index9">
    <w:name w:val="index 9"/>
    <w:basedOn w:val="Normal"/>
    <w:next w:val="Normal"/>
    <w:semiHidden/>
    <w:rsid w:val="0024053D"/>
    <w:pPr>
      <w:spacing w:line="240" w:lineRule="auto"/>
      <w:ind w:left="1800" w:hanging="200"/>
    </w:pPr>
  </w:style>
  <w:style w:type="paragraph" w:styleId="IndexHeading">
    <w:name w:val="index heading"/>
    <w:basedOn w:val="Normal"/>
    <w:next w:val="Index1"/>
    <w:semiHidden/>
    <w:rsid w:val="0024053D"/>
    <w:pPr>
      <w:spacing w:line="240" w:lineRule="auto"/>
    </w:pPr>
    <w:rPr>
      <w:rFonts w:ascii="Arial" w:hAnsi="Arial"/>
      <w:b/>
    </w:rPr>
  </w:style>
  <w:style w:type="paragraph" w:styleId="TOC1">
    <w:name w:val="toc 1"/>
    <w:basedOn w:val="Normal"/>
    <w:next w:val="Normal"/>
    <w:semiHidden/>
    <w:rsid w:val="0024053D"/>
    <w:pPr>
      <w:spacing w:line="240" w:lineRule="auto"/>
    </w:pPr>
  </w:style>
  <w:style w:type="paragraph" w:styleId="TOC2">
    <w:name w:val="toc 2"/>
    <w:basedOn w:val="Normal"/>
    <w:next w:val="Normal"/>
    <w:semiHidden/>
    <w:rsid w:val="0024053D"/>
    <w:pPr>
      <w:spacing w:line="240" w:lineRule="auto"/>
      <w:ind w:left="200"/>
    </w:pPr>
  </w:style>
  <w:style w:type="paragraph" w:styleId="TOC3">
    <w:name w:val="toc 3"/>
    <w:basedOn w:val="Normal"/>
    <w:next w:val="Normal"/>
    <w:semiHidden/>
    <w:rsid w:val="0024053D"/>
    <w:pPr>
      <w:spacing w:line="240" w:lineRule="auto"/>
      <w:ind w:left="400"/>
    </w:pPr>
  </w:style>
  <w:style w:type="paragraph" w:styleId="TOC4">
    <w:name w:val="toc 4"/>
    <w:basedOn w:val="Normal"/>
    <w:next w:val="Normal"/>
    <w:semiHidden/>
    <w:rsid w:val="0024053D"/>
    <w:pPr>
      <w:spacing w:line="240" w:lineRule="auto"/>
      <w:ind w:left="600"/>
    </w:pPr>
  </w:style>
  <w:style w:type="paragraph" w:styleId="TOC5">
    <w:name w:val="toc 5"/>
    <w:basedOn w:val="Normal"/>
    <w:next w:val="Normal"/>
    <w:semiHidden/>
    <w:rsid w:val="0024053D"/>
    <w:pPr>
      <w:spacing w:line="240" w:lineRule="auto"/>
      <w:ind w:left="800"/>
    </w:pPr>
  </w:style>
  <w:style w:type="paragraph" w:styleId="TOC6">
    <w:name w:val="toc 6"/>
    <w:basedOn w:val="Normal"/>
    <w:next w:val="Normal"/>
    <w:semiHidden/>
    <w:rsid w:val="0024053D"/>
    <w:pPr>
      <w:spacing w:line="240" w:lineRule="auto"/>
      <w:ind w:left="1000"/>
    </w:pPr>
  </w:style>
  <w:style w:type="paragraph" w:styleId="TOC7">
    <w:name w:val="toc 7"/>
    <w:basedOn w:val="Normal"/>
    <w:next w:val="Normal"/>
    <w:semiHidden/>
    <w:rsid w:val="0024053D"/>
    <w:pPr>
      <w:spacing w:line="240" w:lineRule="auto"/>
      <w:ind w:left="1200"/>
    </w:pPr>
  </w:style>
  <w:style w:type="paragraph" w:styleId="TOC8">
    <w:name w:val="toc 8"/>
    <w:basedOn w:val="Normal"/>
    <w:next w:val="Normal"/>
    <w:semiHidden/>
    <w:rsid w:val="0024053D"/>
    <w:pPr>
      <w:spacing w:line="240" w:lineRule="auto"/>
      <w:ind w:left="1400"/>
    </w:pPr>
  </w:style>
  <w:style w:type="paragraph" w:styleId="TOC9">
    <w:name w:val="toc 9"/>
    <w:basedOn w:val="Normal"/>
    <w:next w:val="Normal"/>
    <w:semiHidden/>
    <w:rsid w:val="0024053D"/>
    <w:pPr>
      <w:spacing w:line="240" w:lineRule="auto"/>
      <w:ind w:left="1600"/>
    </w:pPr>
  </w:style>
  <w:style w:type="paragraph" w:styleId="TOAHeading">
    <w:name w:val="toa heading"/>
    <w:basedOn w:val="Normal"/>
    <w:next w:val="Normal"/>
    <w:semiHidden/>
    <w:rsid w:val="0024053D"/>
    <w:pPr>
      <w:spacing w:before="120" w:line="240" w:lineRule="auto"/>
    </w:pPr>
    <w:rPr>
      <w:rFonts w:ascii="Arial" w:hAnsi="Arial"/>
      <w:b/>
      <w:sz w:val="24"/>
    </w:rPr>
  </w:style>
  <w:style w:type="paragraph" w:styleId="List">
    <w:name w:val="List"/>
    <w:basedOn w:val="Normal"/>
    <w:rsid w:val="0024053D"/>
    <w:pPr>
      <w:spacing w:line="240" w:lineRule="auto"/>
      <w:ind w:left="283" w:hanging="283"/>
    </w:pPr>
  </w:style>
  <w:style w:type="paragraph" w:styleId="List2">
    <w:name w:val="List 2"/>
    <w:basedOn w:val="Normal"/>
    <w:rsid w:val="0024053D"/>
    <w:pPr>
      <w:spacing w:line="240" w:lineRule="auto"/>
      <w:ind w:left="566" w:hanging="283"/>
    </w:pPr>
  </w:style>
  <w:style w:type="paragraph" w:styleId="List3">
    <w:name w:val="List 3"/>
    <w:basedOn w:val="Normal"/>
    <w:rsid w:val="0024053D"/>
    <w:pPr>
      <w:spacing w:line="240" w:lineRule="auto"/>
      <w:ind w:left="849" w:hanging="283"/>
    </w:pPr>
  </w:style>
  <w:style w:type="paragraph" w:styleId="List4">
    <w:name w:val="List 4"/>
    <w:basedOn w:val="Normal"/>
    <w:rsid w:val="0024053D"/>
    <w:pPr>
      <w:spacing w:line="240" w:lineRule="auto"/>
      <w:ind w:left="1132" w:hanging="283"/>
    </w:pPr>
  </w:style>
  <w:style w:type="paragraph" w:styleId="List5">
    <w:name w:val="List 5"/>
    <w:basedOn w:val="Normal"/>
    <w:rsid w:val="0024053D"/>
    <w:pPr>
      <w:spacing w:line="240" w:lineRule="auto"/>
      <w:ind w:left="1415" w:hanging="283"/>
    </w:pPr>
  </w:style>
  <w:style w:type="paragraph" w:styleId="TableofFigures">
    <w:name w:val="table of figures"/>
    <w:basedOn w:val="Normal"/>
    <w:next w:val="Normal"/>
    <w:semiHidden/>
    <w:rsid w:val="0024053D"/>
    <w:pPr>
      <w:spacing w:line="240" w:lineRule="auto"/>
      <w:ind w:left="400" w:hanging="400"/>
    </w:pPr>
  </w:style>
  <w:style w:type="paragraph" w:styleId="ListBullet">
    <w:name w:val="List Bullet"/>
    <w:basedOn w:val="Normal"/>
    <w:rsid w:val="0024053D"/>
    <w:pPr>
      <w:numPr>
        <w:numId w:val="11"/>
      </w:numPr>
      <w:spacing w:line="240" w:lineRule="auto"/>
    </w:pPr>
  </w:style>
  <w:style w:type="paragraph" w:styleId="ListBullet2">
    <w:name w:val="List Bullet 2"/>
    <w:basedOn w:val="Normal"/>
    <w:rsid w:val="0024053D"/>
    <w:pPr>
      <w:numPr>
        <w:numId w:val="12"/>
      </w:numPr>
      <w:spacing w:line="240" w:lineRule="auto"/>
    </w:pPr>
  </w:style>
  <w:style w:type="paragraph" w:styleId="ListBullet3">
    <w:name w:val="List Bullet 3"/>
    <w:basedOn w:val="Normal"/>
    <w:rsid w:val="0024053D"/>
    <w:pPr>
      <w:numPr>
        <w:numId w:val="13"/>
      </w:numPr>
      <w:spacing w:line="240" w:lineRule="auto"/>
    </w:pPr>
  </w:style>
  <w:style w:type="paragraph" w:styleId="ListBullet4">
    <w:name w:val="List Bullet 4"/>
    <w:basedOn w:val="Normal"/>
    <w:rsid w:val="0024053D"/>
    <w:pPr>
      <w:numPr>
        <w:numId w:val="14"/>
      </w:numPr>
      <w:spacing w:line="240" w:lineRule="auto"/>
    </w:pPr>
  </w:style>
  <w:style w:type="paragraph" w:styleId="ListBullet5">
    <w:name w:val="List Bullet 5"/>
    <w:basedOn w:val="Normal"/>
    <w:rsid w:val="0024053D"/>
    <w:pPr>
      <w:numPr>
        <w:numId w:val="15"/>
      </w:numPr>
      <w:spacing w:line="240" w:lineRule="auto"/>
    </w:pPr>
  </w:style>
  <w:style w:type="paragraph" w:styleId="ListNumber">
    <w:name w:val="List Number"/>
    <w:basedOn w:val="Normal"/>
    <w:rsid w:val="0024053D"/>
    <w:pPr>
      <w:numPr>
        <w:numId w:val="16"/>
      </w:numPr>
      <w:spacing w:line="240" w:lineRule="auto"/>
    </w:pPr>
  </w:style>
  <w:style w:type="paragraph" w:styleId="ListNumber2">
    <w:name w:val="List Number 2"/>
    <w:basedOn w:val="Normal"/>
    <w:rsid w:val="0024053D"/>
    <w:pPr>
      <w:numPr>
        <w:numId w:val="17"/>
      </w:numPr>
      <w:spacing w:line="240" w:lineRule="auto"/>
    </w:pPr>
  </w:style>
  <w:style w:type="paragraph" w:styleId="ListNumber3">
    <w:name w:val="List Number 3"/>
    <w:basedOn w:val="Normal"/>
    <w:rsid w:val="0024053D"/>
    <w:pPr>
      <w:numPr>
        <w:numId w:val="18"/>
      </w:numPr>
      <w:spacing w:line="240" w:lineRule="auto"/>
    </w:pPr>
  </w:style>
  <w:style w:type="paragraph" w:styleId="ListNumber4">
    <w:name w:val="List Number 4"/>
    <w:basedOn w:val="Normal"/>
    <w:rsid w:val="0024053D"/>
    <w:pPr>
      <w:numPr>
        <w:numId w:val="19"/>
      </w:numPr>
      <w:spacing w:line="240" w:lineRule="auto"/>
    </w:pPr>
  </w:style>
  <w:style w:type="paragraph" w:styleId="ListNumber5">
    <w:name w:val="List Number 5"/>
    <w:basedOn w:val="Normal"/>
    <w:rsid w:val="0024053D"/>
    <w:pPr>
      <w:numPr>
        <w:numId w:val="20"/>
      </w:numPr>
      <w:spacing w:line="240" w:lineRule="auto"/>
    </w:pPr>
  </w:style>
  <w:style w:type="paragraph" w:styleId="ListContinue">
    <w:name w:val="List Continue"/>
    <w:basedOn w:val="Normal"/>
    <w:rsid w:val="0024053D"/>
    <w:pPr>
      <w:spacing w:after="120" w:line="240" w:lineRule="auto"/>
      <w:ind w:left="283"/>
    </w:pPr>
  </w:style>
  <w:style w:type="paragraph" w:styleId="ListContinue2">
    <w:name w:val="List Continue 2"/>
    <w:basedOn w:val="Normal"/>
    <w:rsid w:val="0024053D"/>
    <w:pPr>
      <w:spacing w:after="120" w:line="240" w:lineRule="auto"/>
      <w:ind w:left="566"/>
    </w:pPr>
  </w:style>
  <w:style w:type="paragraph" w:styleId="ListContinue3">
    <w:name w:val="List Continue 3"/>
    <w:basedOn w:val="Normal"/>
    <w:rsid w:val="0024053D"/>
    <w:pPr>
      <w:spacing w:after="120" w:line="240" w:lineRule="auto"/>
      <w:ind w:left="849"/>
    </w:pPr>
  </w:style>
  <w:style w:type="paragraph" w:styleId="ListContinue4">
    <w:name w:val="List Continue 4"/>
    <w:basedOn w:val="Normal"/>
    <w:rsid w:val="0024053D"/>
    <w:pPr>
      <w:spacing w:after="120" w:line="240" w:lineRule="auto"/>
      <w:ind w:left="1132"/>
    </w:pPr>
  </w:style>
  <w:style w:type="paragraph" w:styleId="ListContinue5">
    <w:name w:val="List Continue 5"/>
    <w:basedOn w:val="Normal"/>
    <w:rsid w:val="0024053D"/>
    <w:pPr>
      <w:spacing w:after="120" w:line="240" w:lineRule="auto"/>
      <w:ind w:left="1415"/>
    </w:pPr>
  </w:style>
  <w:style w:type="paragraph" w:styleId="MacroText">
    <w:name w:val="macro"/>
    <w:semiHidden/>
    <w:rsid w:val="0024053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eHeading">
    <w:name w:val="Note Heading"/>
    <w:basedOn w:val="Normal"/>
    <w:next w:val="Normal"/>
    <w:rsid w:val="0024053D"/>
    <w:pPr>
      <w:spacing w:line="240" w:lineRule="auto"/>
    </w:pPr>
  </w:style>
  <w:style w:type="paragraph" w:styleId="PlainText">
    <w:name w:val="Plain Text"/>
    <w:basedOn w:val="Normal"/>
    <w:rsid w:val="0024053D"/>
    <w:pPr>
      <w:spacing w:line="240" w:lineRule="auto"/>
    </w:pPr>
    <w:rPr>
      <w:rFonts w:ascii="Courier New" w:hAnsi="Courier New"/>
    </w:rPr>
  </w:style>
  <w:style w:type="paragraph" w:styleId="BodyText">
    <w:name w:val="Body Text"/>
    <w:basedOn w:val="Normal"/>
    <w:rsid w:val="0024053D"/>
    <w:pPr>
      <w:spacing w:after="120" w:line="240" w:lineRule="auto"/>
    </w:pPr>
  </w:style>
  <w:style w:type="paragraph" w:styleId="BodyText2">
    <w:name w:val="Body Text 2"/>
    <w:basedOn w:val="Normal"/>
    <w:rsid w:val="0024053D"/>
    <w:pPr>
      <w:spacing w:after="120" w:line="480" w:lineRule="auto"/>
    </w:pPr>
  </w:style>
  <w:style w:type="paragraph" w:styleId="BodyText3">
    <w:name w:val="Body Text 3"/>
    <w:basedOn w:val="Normal"/>
    <w:rsid w:val="0024053D"/>
    <w:pPr>
      <w:spacing w:after="120" w:line="240" w:lineRule="auto"/>
    </w:pPr>
    <w:rPr>
      <w:sz w:val="16"/>
    </w:rPr>
  </w:style>
  <w:style w:type="paragraph" w:styleId="BodyTextFirstIndent">
    <w:name w:val="Body Text First Indent"/>
    <w:basedOn w:val="BodyText"/>
    <w:rsid w:val="0024053D"/>
    <w:pPr>
      <w:ind w:firstLine="210"/>
    </w:pPr>
  </w:style>
  <w:style w:type="paragraph" w:styleId="BodyTextIndent">
    <w:name w:val="Body Text Indent"/>
    <w:basedOn w:val="Normal"/>
    <w:rsid w:val="0024053D"/>
    <w:pPr>
      <w:spacing w:after="120" w:line="240" w:lineRule="auto"/>
      <w:ind w:left="283"/>
    </w:pPr>
  </w:style>
  <w:style w:type="paragraph" w:styleId="BodyTextFirstIndent2">
    <w:name w:val="Body Text First Indent 2"/>
    <w:basedOn w:val="BodyTextIndent"/>
    <w:rsid w:val="0024053D"/>
    <w:pPr>
      <w:ind w:firstLine="210"/>
    </w:pPr>
  </w:style>
  <w:style w:type="paragraph" w:styleId="BodyTextIndent2">
    <w:name w:val="Body Text Indent 2"/>
    <w:basedOn w:val="Normal"/>
    <w:rsid w:val="0024053D"/>
    <w:pPr>
      <w:spacing w:after="120" w:line="480" w:lineRule="auto"/>
      <w:ind w:left="283"/>
    </w:pPr>
  </w:style>
  <w:style w:type="paragraph" w:styleId="BodyTextIndent3">
    <w:name w:val="Body Text Indent 3"/>
    <w:basedOn w:val="Normal"/>
    <w:rsid w:val="0024053D"/>
    <w:pPr>
      <w:spacing w:after="120" w:line="240" w:lineRule="auto"/>
      <w:ind w:left="283"/>
    </w:pPr>
    <w:rPr>
      <w:sz w:val="16"/>
    </w:rPr>
  </w:style>
  <w:style w:type="paragraph" w:styleId="NormalIndent">
    <w:name w:val="Normal Indent"/>
    <w:basedOn w:val="Normal"/>
    <w:rsid w:val="0024053D"/>
    <w:pPr>
      <w:spacing w:line="240" w:lineRule="auto"/>
      <w:ind w:left="709"/>
    </w:pPr>
  </w:style>
  <w:style w:type="paragraph" w:styleId="Subtitle">
    <w:name w:val="Subtitle"/>
    <w:basedOn w:val="Normal"/>
    <w:qFormat/>
    <w:rsid w:val="0024053D"/>
    <w:pPr>
      <w:spacing w:after="60" w:line="240" w:lineRule="auto"/>
      <w:jc w:val="center"/>
      <w:outlineLvl w:val="1"/>
    </w:pPr>
    <w:rPr>
      <w:rFonts w:ascii="Arial" w:hAnsi="Arial"/>
      <w:sz w:val="24"/>
    </w:rPr>
  </w:style>
  <w:style w:type="paragraph" w:styleId="CommentText">
    <w:name w:val="annotation text"/>
    <w:basedOn w:val="Normal"/>
    <w:link w:val="CommentTextChar"/>
    <w:uiPriority w:val="99"/>
    <w:semiHidden/>
    <w:rsid w:val="0024053D"/>
    <w:pPr>
      <w:spacing w:line="240" w:lineRule="auto"/>
    </w:pPr>
  </w:style>
  <w:style w:type="paragraph" w:styleId="Title">
    <w:name w:val="Title"/>
    <w:basedOn w:val="Normal"/>
    <w:qFormat/>
    <w:rsid w:val="0024053D"/>
    <w:pPr>
      <w:spacing w:line="240" w:lineRule="auto"/>
    </w:pPr>
    <w:rPr>
      <w:b/>
      <w:sz w:val="36"/>
    </w:rPr>
  </w:style>
  <w:style w:type="paragraph" w:styleId="FootnoteText">
    <w:name w:val="footnote text"/>
    <w:basedOn w:val="Normal"/>
    <w:link w:val="FootnoteTextChar"/>
    <w:uiPriority w:val="99"/>
    <w:semiHidden/>
    <w:rsid w:val="0024053D"/>
    <w:pPr>
      <w:spacing w:line="240" w:lineRule="auto"/>
    </w:pPr>
  </w:style>
  <w:style w:type="paragraph" w:customStyle="1" w:styleId="Hoofdjes">
    <w:name w:val="Hoofdjes"/>
    <w:basedOn w:val="Normal"/>
    <w:rsid w:val="0024053D"/>
    <w:pPr>
      <w:spacing w:line="190" w:lineRule="exact"/>
    </w:pPr>
    <w:rPr>
      <w:spacing w:val="6"/>
      <w:sz w:val="14"/>
    </w:rPr>
  </w:style>
  <w:style w:type="paragraph" w:customStyle="1" w:styleId="Hoofdjesregel13pt">
    <w:name w:val="Hoofdjes regel 13 pt"/>
    <w:basedOn w:val="Hoofdjes"/>
    <w:rsid w:val="0024053D"/>
    <w:pPr>
      <w:spacing w:line="260" w:lineRule="exact"/>
    </w:pPr>
  </w:style>
  <w:style w:type="paragraph" w:customStyle="1" w:styleId="HoofdjesZwart">
    <w:name w:val="HoofdjesZwart"/>
    <w:basedOn w:val="Normal"/>
    <w:rsid w:val="0024053D"/>
    <w:pPr>
      <w:spacing w:line="240" w:lineRule="auto"/>
    </w:pPr>
    <w:rPr>
      <w:spacing w:val="6"/>
      <w:sz w:val="14"/>
    </w:rPr>
  </w:style>
  <w:style w:type="paragraph" w:customStyle="1" w:styleId="Kleinetekst">
    <w:name w:val="Kleine tekst"/>
    <w:basedOn w:val="Normal"/>
    <w:rsid w:val="0024053D"/>
    <w:pPr>
      <w:spacing w:before="57" w:after="57" w:line="240" w:lineRule="auto"/>
    </w:pPr>
    <w:rPr>
      <w:spacing w:val="10"/>
      <w:sz w:val="14"/>
    </w:rPr>
  </w:style>
  <w:style w:type="paragraph" w:customStyle="1" w:styleId="Memohoofd">
    <w:name w:val="Memohoofd"/>
    <w:basedOn w:val="Normal"/>
    <w:rsid w:val="0024053D"/>
    <w:pPr>
      <w:spacing w:line="240" w:lineRule="exact"/>
    </w:pPr>
  </w:style>
  <w:style w:type="paragraph" w:customStyle="1" w:styleId="GroteLetters">
    <w:name w:val="Grote Letters"/>
    <w:basedOn w:val="Normal"/>
    <w:rsid w:val="0024053D"/>
    <w:pPr>
      <w:spacing w:line="364" w:lineRule="exact"/>
    </w:pPr>
    <w:rPr>
      <w:sz w:val="28"/>
    </w:rPr>
  </w:style>
  <w:style w:type="character" w:styleId="FootnoteReference">
    <w:name w:val="footnote reference"/>
    <w:basedOn w:val="DefaultParagraphFont"/>
    <w:uiPriority w:val="99"/>
    <w:semiHidden/>
    <w:rsid w:val="00BB7CCF"/>
    <w:rPr>
      <w:vertAlign w:val="superscript"/>
    </w:rPr>
  </w:style>
  <w:style w:type="character" w:customStyle="1" w:styleId="FooterChar">
    <w:name w:val="Footer Char"/>
    <w:basedOn w:val="DefaultParagraphFont"/>
    <w:link w:val="Footer"/>
    <w:uiPriority w:val="99"/>
    <w:rsid w:val="00BF3F64"/>
    <w:rPr>
      <w:rFonts w:ascii="Univers" w:hAnsi="Univers"/>
    </w:rPr>
  </w:style>
  <w:style w:type="paragraph" w:styleId="ListParagraph">
    <w:name w:val="List Paragraph"/>
    <w:basedOn w:val="Normal"/>
    <w:uiPriority w:val="34"/>
    <w:qFormat/>
    <w:rsid w:val="00225092"/>
    <w:pPr>
      <w:ind w:left="720"/>
      <w:contextualSpacing/>
    </w:pPr>
  </w:style>
  <w:style w:type="character" w:styleId="Hyperlink">
    <w:name w:val="Hyperlink"/>
    <w:basedOn w:val="DefaultParagraphFont"/>
    <w:rsid w:val="00DD3086"/>
    <w:rPr>
      <w:color w:val="0000FF" w:themeColor="hyperlink"/>
      <w:u w:val="single"/>
    </w:rPr>
  </w:style>
  <w:style w:type="character" w:styleId="CommentReference">
    <w:name w:val="annotation reference"/>
    <w:basedOn w:val="DefaultParagraphFont"/>
    <w:uiPriority w:val="99"/>
    <w:rsid w:val="00FA1BC4"/>
    <w:rPr>
      <w:sz w:val="16"/>
      <w:szCs w:val="16"/>
    </w:rPr>
  </w:style>
  <w:style w:type="paragraph" w:styleId="CommentSubject">
    <w:name w:val="annotation subject"/>
    <w:basedOn w:val="CommentText"/>
    <w:next w:val="CommentText"/>
    <w:link w:val="CommentSubjectChar"/>
    <w:rsid w:val="00FA1BC4"/>
    <w:rPr>
      <w:b/>
      <w:bCs/>
    </w:rPr>
  </w:style>
  <w:style w:type="character" w:customStyle="1" w:styleId="CommentTextChar">
    <w:name w:val="Comment Text Char"/>
    <w:basedOn w:val="DefaultParagraphFont"/>
    <w:link w:val="CommentText"/>
    <w:uiPriority w:val="99"/>
    <w:semiHidden/>
    <w:rsid w:val="00FA1BC4"/>
    <w:rPr>
      <w:rFonts w:ascii="Univers" w:hAnsi="Univers"/>
    </w:rPr>
  </w:style>
  <w:style w:type="character" w:customStyle="1" w:styleId="CommentSubjectChar">
    <w:name w:val="Comment Subject Char"/>
    <w:basedOn w:val="CommentTextChar"/>
    <w:link w:val="CommentSubject"/>
    <w:rsid w:val="00FA1BC4"/>
    <w:rPr>
      <w:rFonts w:ascii="Univers" w:hAnsi="Univers"/>
    </w:rPr>
  </w:style>
  <w:style w:type="paragraph" w:styleId="BalloonText">
    <w:name w:val="Balloon Text"/>
    <w:basedOn w:val="Normal"/>
    <w:link w:val="BalloonTextChar"/>
    <w:rsid w:val="00FA1BC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A1BC4"/>
    <w:rPr>
      <w:rFonts w:ascii="Tahoma" w:hAnsi="Tahoma" w:cs="Tahoma"/>
      <w:sz w:val="16"/>
      <w:szCs w:val="16"/>
    </w:rPr>
  </w:style>
  <w:style w:type="paragraph" w:styleId="Revision">
    <w:name w:val="Revision"/>
    <w:hidden/>
    <w:uiPriority w:val="99"/>
    <w:semiHidden/>
    <w:rsid w:val="00F80EF2"/>
    <w:rPr>
      <w:rFonts w:ascii="Univers" w:hAnsi="Univers"/>
    </w:rPr>
  </w:style>
  <w:style w:type="character" w:customStyle="1" w:styleId="FootnoteTextChar">
    <w:name w:val="Footnote Text Char"/>
    <w:basedOn w:val="DefaultParagraphFont"/>
    <w:link w:val="FootnoteText"/>
    <w:uiPriority w:val="99"/>
    <w:semiHidden/>
    <w:rsid w:val="009345F8"/>
    <w:rPr>
      <w:rFonts w:ascii="Univers" w:hAnsi="Univers"/>
    </w:rPr>
  </w:style>
  <w:style w:type="paragraph" w:customStyle="1" w:styleId="Huisstijl-Aanhef">
    <w:name w:val="Huisstijl - Aanhef"/>
    <w:basedOn w:val="Normal"/>
    <w:rsid w:val="00B56093"/>
    <w:pPr>
      <w:widowControl w:val="0"/>
      <w:suppressAutoHyphens/>
      <w:autoSpaceDN w:val="0"/>
      <w:spacing w:before="100" w:after="240" w:line="240" w:lineRule="exact"/>
      <w:textAlignment w:val="baseline"/>
    </w:pPr>
    <w:rPr>
      <w:rFonts w:ascii="Verdana" w:eastAsia="DejaVu Sans" w:hAnsi="Verdana" w:cs="Lohit Hindi"/>
      <w:kern w:val="3"/>
      <w:sz w:val="18"/>
      <w:szCs w:val="24"/>
    </w:rPr>
  </w:style>
  <w:style w:type="table" w:styleId="TableGrid">
    <w:name w:val="Table Grid"/>
    <w:basedOn w:val="TableNormal"/>
    <w:uiPriority w:val="59"/>
    <w:rsid w:val="00B67E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141476">
      <w:bodyDiv w:val="1"/>
      <w:marLeft w:val="0"/>
      <w:marRight w:val="0"/>
      <w:marTop w:val="0"/>
      <w:marBottom w:val="0"/>
      <w:divBdr>
        <w:top w:val="none" w:sz="0" w:space="0" w:color="auto"/>
        <w:left w:val="none" w:sz="0" w:space="0" w:color="auto"/>
        <w:bottom w:val="none" w:sz="0" w:space="0" w:color="auto"/>
        <w:right w:val="none" w:sz="0" w:space="0" w:color="auto"/>
      </w:divBdr>
    </w:div>
    <w:div w:id="1425371885">
      <w:bodyDiv w:val="1"/>
      <w:marLeft w:val="0"/>
      <w:marRight w:val="0"/>
      <w:marTop w:val="0"/>
      <w:marBottom w:val="0"/>
      <w:divBdr>
        <w:top w:val="none" w:sz="0" w:space="0" w:color="auto"/>
        <w:left w:val="none" w:sz="0" w:space="0" w:color="auto"/>
        <w:bottom w:val="none" w:sz="0" w:space="0" w:color="auto"/>
        <w:right w:val="none" w:sz="0" w:space="0" w:color="auto"/>
      </w:divBdr>
    </w:div>
    <w:div w:id="175015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JABLONENSETS\SJABLONEN\VWS\VOORDRACHT%20TBV%20RAAD%20VAN%20STATE.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7ED8B-CDD9-4160-9128-45E439AD5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VOORDRACHT TBV RAAD VAN STATE.DOT</Template>
  <TotalTime>14</TotalTime>
  <Pages>9</Pages>
  <Words>2549</Words>
  <Characters>14535</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Centric Training - (020) 523 04 00</Company>
  <LinksUpToDate>false</LinksUpToDate>
  <CharactersWithSpaces>17050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Beheerder</dc:creator>
  <cp:lastModifiedBy>MEGNET, Chantal</cp:lastModifiedBy>
  <cp:revision>4</cp:revision>
  <cp:lastPrinted>2019-05-29T13:48:00Z</cp:lastPrinted>
  <dcterms:created xsi:type="dcterms:W3CDTF">2019-07-08T12:56:00Z</dcterms:created>
  <dcterms:modified xsi:type="dcterms:W3CDTF">2019-07-19T11:34:00Z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Minuut">
    <vt:lpwstr>Origineel</vt:lpwstr>
  </property>
</Properties>
</file>