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ADC9B" w14:textId="77777777" w:rsidR="00E17C57" w:rsidRPr="00DC5899" w:rsidRDefault="00E17C57" w:rsidP="00E17C57">
      <w:pPr>
        <w:spacing w:after="120"/>
        <w:jc w:val="center"/>
        <w:rPr>
          <w:rFonts w:ascii="Courier New" w:hAnsi="Courier New"/>
        </w:rPr>
      </w:pPr>
      <w:r w:rsidRPr="00DC5899">
        <w:rPr>
          <w:rFonts w:ascii="Courier New" w:hAnsi="Courier New"/>
        </w:rPr>
        <w:t>1. ------IND- 2019 0331 NL- FR- ------ 20190722 --- --- PROJET</w:t>
      </w:r>
    </w:p>
    <w:p w14:paraId="0AADF7D6" w14:textId="77777777" w:rsidR="00E27C82" w:rsidRPr="00DC5899" w:rsidRDefault="00E27C82" w:rsidP="00E17C57"/>
    <w:p w14:paraId="4F0971D5" w14:textId="77777777" w:rsidR="00E27C82" w:rsidRPr="00DC5899" w:rsidRDefault="00E27C82" w:rsidP="00E17C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tblGrid>
      <w:tr w:rsidR="007E7D62" w:rsidRPr="00DC5899" w14:paraId="74EC25D5" w14:textId="77777777" w:rsidTr="00E17C57">
        <w:trPr>
          <w:cantSplit/>
        </w:trPr>
        <w:tc>
          <w:tcPr>
            <w:tcW w:w="3189" w:type="dxa"/>
            <w:tcBorders>
              <w:top w:val="nil"/>
              <w:left w:val="nil"/>
              <w:bottom w:val="nil"/>
              <w:right w:val="nil"/>
            </w:tcBorders>
          </w:tcPr>
          <w:p w14:paraId="3860CED9" w14:textId="77777777" w:rsidR="007E7D62" w:rsidRPr="00DC5899" w:rsidRDefault="007E7D62" w:rsidP="003D0C77">
            <w:pPr>
              <w:ind w:left="567"/>
            </w:pPr>
            <w:r w:rsidRPr="00DC5899">
              <w:br w:type="page"/>
            </w:r>
            <w:r w:rsidRPr="00DC5899">
              <w:rPr>
                <w:rFonts w:ascii="Verdana" w:hAnsi="Verdana"/>
                <w:sz w:val="18"/>
              </w:rPr>
              <w:t>Décret</w:t>
            </w:r>
            <w:r w:rsidRPr="00DC5899">
              <w:rPr>
                <w:rFonts w:ascii="Verdana" w:hAnsi="Verdana"/>
                <w:sz w:val="18"/>
                <w:szCs w:val="18"/>
              </w:rPr>
              <w:br/>
            </w:r>
            <w:r w:rsidRPr="00DC5899">
              <w:rPr>
                <w:rFonts w:ascii="Verdana" w:hAnsi="Verdana"/>
                <w:sz w:val="18"/>
                <w:szCs w:val="18"/>
              </w:rPr>
              <w:br/>
            </w:r>
            <w:r w:rsidRPr="00DC5899">
              <w:rPr>
                <w:rFonts w:ascii="Verdana" w:hAnsi="Verdana"/>
                <w:sz w:val="18"/>
                <w:szCs w:val="18"/>
              </w:rPr>
              <w:br/>
            </w:r>
            <w:r w:rsidRPr="00DC5899">
              <w:rPr>
                <w:rFonts w:ascii="Verdana" w:hAnsi="Verdana"/>
                <w:sz w:val="18"/>
                <w:szCs w:val="18"/>
              </w:rPr>
              <w:br/>
            </w:r>
            <w:r w:rsidRPr="00DC5899">
              <w:rPr>
                <w:rFonts w:ascii="Verdana" w:hAnsi="Verdana"/>
                <w:sz w:val="18"/>
              </w:rPr>
              <w:t>portant modification du décret adopté en vertu de la loi sur les denrées alimentaires relatif aux préparations à base de plantes et du décret adopté en vertu de la loi sur les denrées alimentaires relatif aux amendes administratives par rapport à l’ajout de certaines (substances dans les) préparations à base de plantes nocives et quelques adaptations techniques</w:t>
            </w:r>
          </w:p>
        </w:tc>
        <w:bookmarkStart w:id="0" w:name="_GoBack"/>
        <w:bookmarkEnd w:id="0"/>
      </w:tr>
      <w:tr w:rsidR="00732703" w:rsidRPr="00DC5899" w14:paraId="640AFD91" w14:textId="77777777" w:rsidTr="00E17C57">
        <w:trPr>
          <w:cantSplit/>
        </w:trPr>
        <w:tc>
          <w:tcPr>
            <w:tcW w:w="3189" w:type="dxa"/>
            <w:tcBorders>
              <w:top w:val="nil"/>
              <w:left w:val="nil"/>
              <w:bottom w:val="nil"/>
              <w:right w:val="nil"/>
            </w:tcBorders>
          </w:tcPr>
          <w:p w14:paraId="227455C4" w14:textId="77777777" w:rsidR="00732703" w:rsidRPr="00DC5899" w:rsidRDefault="00732703" w:rsidP="00E17C57"/>
        </w:tc>
      </w:tr>
    </w:tbl>
    <w:p w14:paraId="14AE9AD1" w14:textId="77777777" w:rsidR="007E7D62" w:rsidRPr="00DC5899" w:rsidRDefault="007E7D62" w:rsidP="00E17C57">
      <w:pPr>
        <w:ind w:left="567"/>
      </w:pPr>
    </w:p>
    <w:p w14:paraId="0975F010" w14:textId="77777777" w:rsidR="007E7D62" w:rsidRPr="00DC5899" w:rsidRDefault="007E7D62" w:rsidP="00E17C57">
      <w:pPr>
        <w:ind w:left="567"/>
      </w:pPr>
    </w:p>
    <w:p w14:paraId="0C8748C4" w14:textId="77777777" w:rsidR="007E7D62" w:rsidRPr="00DC5899" w:rsidRDefault="007E7D62" w:rsidP="00E17C57">
      <w:pPr>
        <w:ind w:left="567"/>
      </w:pPr>
    </w:p>
    <w:p w14:paraId="3CFF4E76" w14:textId="77777777" w:rsidR="007E7D62" w:rsidRPr="00DC5899" w:rsidRDefault="007E7D62" w:rsidP="00E17C57">
      <w:pPr>
        <w:ind w:left="567"/>
      </w:pPr>
    </w:p>
    <w:p w14:paraId="2971D4BE" w14:textId="77777777" w:rsidR="007E7D62" w:rsidRPr="00DC5899" w:rsidRDefault="007E7D62" w:rsidP="00E17C57">
      <w:pPr>
        <w:ind w:left="567"/>
      </w:pPr>
    </w:p>
    <w:p w14:paraId="0EFB48A1" w14:textId="77777777" w:rsidR="007E7D62" w:rsidRPr="00DC5899" w:rsidRDefault="007E7D62" w:rsidP="00E17C57">
      <w:pPr>
        <w:pStyle w:val="Ondertekening"/>
        <w:spacing w:before="0"/>
        <w:ind w:left="567"/>
      </w:pPr>
    </w:p>
    <w:p w14:paraId="591E0687" w14:textId="77777777" w:rsidR="007E7D62" w:rsidRPr="00DC5899" w:rsidRDefault="007E7D62" w:rsidP="00E17C57">
      <w:pPr>
        <w:ind w:left="2268"/>
        <w:rPr>
          <w:rFonts w:ascii="Verdana" w:hAnsi="Verdana"/>
          <w:sz w:val="18"/>
          <w:szCs w:val="18"/>
        </w:rPr>
      </w:pPr>
      <w:r w:rsidRPr="00DC5899">
        <w:rPr>
          <w:rFonts w:ascii="Verdana" w:hAnsi="Verdana"/>
          <w:sz w:val="18"/>
        </w:rPr>
        <w:t>Sur la proposition de notre ministre des soins médicaux du                 2019,                 -VGP;</w:t>
      </w:r>
    </w:p>
    <w:p w14:paraId="6FED522A" w14:textId="77777777" w:rsidR="007E7D62" w:rsidRPr="00DC5899" w:rsidRDefault="007E7D62" w:rsidP="00E17C57">
      <w:pPr>
        <w:ind w:left="2268"/>
        <w:rPr>
          <w:rFonts w:ascii="Verdana" w:hAnsi="Verdana"/>
          <w:sz w:val="18"/>
          <w:szCs w:val="18"/>
        </w:rPr>
      </w:pPr>
    </w:p>
    <w:p w14:paraId="7E760F63" w14:textId="023B43C3" w:rsidR="007E7D62" w:rsidRPr="00DC5899" w:rsidRDefault="007E7D62" w:rsidP="00E17C57">
      <w:pPr>
        <w:ind w:left="2268"/>
        <w:rPr>
          <w:rFonts w:ascii="Verdana" w:hAnsi="Verdana"/>
          <w:sz w:val="18"/>
          <w:szCs w:val="18"/>
        </w:rPr>
      </w:pPr>
      <w:r w:rsidRPr="00DC5899">
        <w:rPr>
          <w:rFonts w:ascii="Verdana" w:hAnsi="Verdana"/>
          <w:sz w:val="18"/>
        </w:rPr>
        <w:t>Vu les articles</w:t>
      </w:r>
      <w:r w:rsidR="004C32BB" w:rsidRPr="00DC5899">
        <w:rPr>
          <w:rFonts w:ascii="Verdana" w:hAnsi="Verdana"/>
          <w:sz w:val="18"/>
        </w:rPr>
        <w:t> </w:t>
      </w:r>
      <w:r w:rsidRPr="00DC5899">
        <w:rPr>
          <w:rFonts w:ascii="Verdana" w:hAnsi="Verdana"/>
          <w:sz w:val="18"/>
        </w:rPr>
        <w:t>4, paragraphe 1, 8, paragraphe 1, point c, et 14 de la loi sur les marchandises;</w:t>
      </w:r>
    </w:p>
    <w:p w14:paraId="12394C2B" w14:textId="77777777" w:rsidR="007E7D62" w:rsidRPr="00DC5899" w:rsidRDefault="007E7D62" w:rsidP="00E17C57">
      <w:pPr>
        <w:ind w:left="2268"/>
        <w:rPr>
          <w:rFonts w:ascii="Verdana" w:hAnsi="Verdana"/>
          <w:sz w:val="18"/>
          <w:szCs w:val="18"/>
        </w:rPr>
      </w:pPr>
    </w:p>
    <w:p w14:paraId="3B2BC332" w14:textId="77777777" w:rsidR="007E7D62" w:rsidRPr="00DC5899" w:rsidRDefault="007E7D62" w:rsidP="00E17C57">
      <w:pPr>
        <w:ind w:left="2268"/>
        <w:rPr>
          <w:rFonts w:ascii="Verdana" w:hAnsi="Verdana"/>
          <w:sz w:val="18"/>
          <w:szCs w:val="18"/>
        </w:rPr>
      </w:pPr>
      <w:r w:rsidRPr="00DC5899">
        <w:rPr>
          <w:rFonts w:ascii="Verdana" w:hAnsi="Verdana"/>
          <w:sz w:val="18"/>
        </w:rPr>
        <w:t>Entendu la section consulaire du Conseil d’État (recommandation du                  , n°           );</w:t>
      </w:r>
    </w:p>
    <w:p w14:paraId="18EC2A23" w14:textId="77777777" w:rsidR="007E7D62" w:rsidRPr="00DC5899" w:rsidRDefault="007E7D62" w:rsidP="00E17C57">
      <w:pPr>
        <w:ind w:left="2268"/>
        <w:rPr>
          <w:rFonts w:ascii="Verdana" w:hAnsi="Verdana"/>
          <w:sz w:val="18"/>
          <w:szCs w:val="18"/>
        </w:rPr>
      </w:pPr>
    </w:p>
    <w:p w14:paraId="37193371" w14:textId="77777777" w:rsidR="007E7D62" w:rsidRPr="00DC5899" w:rsidRDefault="007E7D62" w:rsidP="00E17C57">
      <w:pPr>
        <w:ind w:left="2268"/>
        <w:rPr>
          <w:rFonts w:ascii="Verdana" w:hAnsi="Verdana"/>
          <w:sz w:val="18"/>
          <w:szCs w:val="18"/>
        </w:rPr>
      </w:pPr>
      <w:r w:rsidRPr="00DC5899">
        <w:rPr>
          <w:rFonts w:ascii="Verdana" w:hAnsi="Verdana"/>
          <w:sz w:val="18"/>
        </w:rPr>
        <w:t>Vu le rapport circonstancié de notre ministre des soins médicaux du               2019,                  -VGP;</w:t>
      </w:r>
    </w:p>
    <w:p w14:paraId="5CD74EC4" w14:textId="77777777" w:rsidR="007E7D62" w:rsidRPr="00DC5899" w:rsidRDefault="007E7D62" w:rsidP="00E17C57">
      <w:pPr>
        <w:ind w:left="2268"/>
        <w:rPr>
          <w:rFonts w:ascii="Verdana" w:hAnsi="Verdana"/>
          <w:sz w:val="18"/>
          <w:szCs w:val="18"/>
        </w:rPr>
      </w:pPr>
    </w:p>
    <w:p w14:paraId="4AF59171" w14:textId="77777777" w:rsidR="007E7D62" w:rsidRPr="00DC5899" w:rsidRDefault="007E7D62" w:rsidP="00E17C57">
      <w:pPr>
        <w:ind w:left="2268"/>
        <w:rPr>
          <w:rFonts w:ascii="Verdana" w:hAnsi="Verdana"/>
          <w:sz w:val="18"/>
          <w:szCs w:val="18"/>
        </w:rPr>
      </w:pPr>
      <w:r w:rsidRPr="00DC5899">
        <w:rPr>
          <w:rFonts w:ascii="Verdana" w:hAnsi="Verdana"/>
          <w:sz w:val="18"/>
        </w:rPr>
        <w:t xml:space="preserve">Avons approuvé et entendu: </w:t>
      </w:r>
    </w:p>
    <w:p w14:paraId="49D96687" w14:textId="77777777" w:rsidR="007E7D62" w:rsidRPr="00DC5899" w:rsidRDefault="007E7D62" w:rsidP="00E17C57">
      <w:pPr>
        <w:ind w:left="2268"/>
        <w:rPr>
          <w:rFonts w:ascii="Verdana" w:hAnsi="Verdana"/>
          <w:sz w:val="18"/>
          <w:szCs w:val="18"/>
        </w:rPr>
      </w:pPr>
    </w:p>
    <w:p w14:paraId="343F3803" w14:textId="77777777" w:rsidR="007E7D62" w:rsidRPr="00DC5899" w:rsidRDefault="007E7D62" w:rsidP="00E17C57">
      <w:pPr>
        <w:ind w:left="2268"/>
        <w:rPr>
          <w:rFonts w:ascii="Verdana" w:hAnsi="Verdana"/>
          <w:sz w:val="18"/>
          <w:szCs w:val="18"/>
        </w:rPr>
      </w:pPr>
    </w:p>
    <w:p w14:paraId="7854A54D" w14:textId="77777777" w:rsidR="007E7D62" w:rsidRPr="00DC5899" w:rsidRDefault="007E7D62" w:rsidP="00E17C57">
      <w:pPr>
        <w:keepNext/>
        <w:keepLines/>
        <w:ind w:left="2268"/>
        <w:rPr>
          <w:rFonts w:ascii="Verdana" w:hAnsi="Verdana"/>
          <w:b/>
          <w:sz w:val="18"/>
          <w:szCs w:val="18"/>
        </w:rPr>
      </w:pPr>
      <w:r w:rsidRPr="00DC5899">
        <w:rPr>
          <w:rFonts w:ascii="Verdana" w:hAnsi="Verdana"/>
          <w:b/>
          <w:sz w:val="18"/>
        </w:rPr>
        <w:t>Article premier</w:t>
      </w:r>
    </w:p>
    <w:p w14:paraId="62566F7C" w14:textId="77777777" w:rsidR="007E7D62" w:rsidRPr="00DC5899" w:rsidRDefault="007E7D62" w:rsidP="00E17C57">
      <w:pPr>
        <w:keepNext/>
        <w:keepLines/>
        <w:ind w:left="2268"/>
        <w:rPr>
          <w:rFonts w:ascii="Verdana" w:hAnsi="Verdana"/>
          <w:sz w:val="18"/>
          <w:szCs w:val="18"/>
        </w:rPr>
      </w:pPr>
    </w:p>
    <w:p w14:paraId="28FFD345" w14:textId="77777777" w:rsidR="007E7D62" w:rsidRPr="00DC5899" w:rsidRDefault="007E7D62" w:rsidP="00E17C57">
      <w:pPr>
        <w:ind w:left="2268"/>
        <w:rPr>
          <w:rFonts w:ascii="Verdana" w:hAnsi="Verdana"/>
          <w:sz w:val="18"/>
          <w:szCs w:val="18"/>
        </w:rPr>
      </w:pPr>
      <w:r w:rsidRPr="00DC5899">
        <w:rPr>
          <w:rFonts w:ascii="Verdana" w:hAnsi="Verdana"/>
          <w:sz w:val="18"/>
        </w:rPr>
        <w:t>Le décret adopté en vertu de la loi sur les denrées alimentaires relatif aux préparations à base de plantes est modifié comme suit:</w:t>
      </w:r>
    </w:p>
    <w:p w14:paraId="7958D521" w14:textId="77777777" w:rsidR="00060A6E" w:rsidRPr="00DC5899" w:rsidRDefault="00060A6E" w:rsidP="00E17C57">
      <w:pPr>
        <w:ind w:left="2268"/>
        <w:rPr>
          <w:rFonts w:ascii="Verdana" w:hAnsi="Verdana"/>
          <w:sz w:val="18"/>
          <w:szCs w:val="18"/>
        </w:rPr>
      </w:pPr>
    </w:p>
    <w:p w14:paraId="5FF555BD" w14:textId="77777777" w:rsidR="00060A6E" w:rsidRPr="00DC5899" w:rsidRDefault="00060A6E" w:rsidP="00E17C57">
      <w:pPr>
        <w:keepNext/>
        <w:keepLines/>
        <w:ind w:left="2268"/>
        <w:rPr>
          <w:rFonts w:ascii="Verdana" w:hAnsi="Verdana"/>
          <w:sz w:val="18"/>
          <w:szCs w:val="18"/>
        </w:rPr>
      </w:pPr>
      <w:r w:rsidRPr="00DC5899">
        <w:rPr>
          <w:rFonts w:ascii="Verdana" w:hAnsi="Verdana"/>
          <w:sz w:val="18"/>
        </w:rPr>
        <w:lastRenderedPageBreak/>
        <w:t>A</w:t>
      </w:r>
    </w:p>
    <w:p w14:paraId="61E70C26" w14:textId="77777777" w:rsidR="00093369" w:rsidRPr="00DC5899" w:rsidRDefault="00093369" w:rsidP="00E17C57">
      <w:pPr>
        <w:keepNext/>
        <w:keepLines/>
        <w:ind w:left="2268"/>
        <w:rPr>
          <w:rFonts w:ascii="Verdana" w:hAnsi="Verdana"/>
          <w:sz w:val="18"/>
          <w:szCs w:val="18"/>
        </w:rPr>
      </w:pPr>
    </w:p>
    <w:p w14:paraId="77C9FB7F" w14:textId="77777777" w:rsidR="000C18E4" w:rsidRPr="00DC5899" w:rsidRDefault="00732703" w:rsidP="00E17C57">
      <w:pPr>
        <w:keepNext/>
        <w:keepLines/>
        <w:ind w:left="2268"/>
        <w:rPr>
          <w:rFonts w:ascii="Verdana" w:hAnsi="Verdana"/>
          <w:sz w:val="18"/>
          <w:szCs w:val="18"/>
        </w:rPr>
      </w:pPr>
      <w:r w:rsidRPr="00DC5899">
        <w:rPr>
          <w:rFonts w:ascii="Verdana" w:hAnsi="Verdana"/>
          <w:sz w:val="18"/>
        </w:rPr>
        <w:t>L’article 4 est modifié comme suit:</w:t>
      </w:r>
    </w:p>
    <w:p w14:paraId="1AC23458" w14:textId="77777777" w:rsidR="00443563" w:rsidRPr="00DC5899" w:rsidRDefault="00443563" w:rsidP="00E17C57">
      <w:pPr>
        <w:pStyle w:val="ListParagraph"/>
        <w:keepNext/>
        <w:keepLines/>
        <w:numPr>
          <w:ilvl w:val="0"/>
          <w:numId w:val="29"/>
        </w:numPr>
        <w:rPr>
          <w:rFonts w:ascii="Verdana" w:hAnsi="Verdana"/>
          <w:sz w:val="18"/>
          <w:szCs w:val="18"/>
        </w:rPr>
      </w:pPr>
      <w:r w:rsidRPr="00DC5899">
        <w:rPr>
          <w:rFonts w:ascii="Verdana" w:hAnsi="Verdana"/>
          <w:sz w:val="18"/>
        </w:rPr>
        <w:t>Le paragraphe 1 est libellé comme suit:</w:t>
      </w:r>
    </w:p>
    <w:p w14:paraId="275EDB87" w14:textId="77777777" w:rsidR="000C18E4" w:rsidRPr="00DC5899" w:rsidRDefault="0043098B" w:rsidP="00E17C57">
      <w:pPr>
        <w:pStyle w:val="ListParagraph"/>
        <w:numPr>
          <w:ilvl w:val="0"/>
          <w:numId w:val="30"/>
        </w:numPr>
        <w:rPr>
          <w:rFonts w:ascii="Verdana" w:hAnsi="Verdana"/>
          <w:sz w:val="18"/>
          <w:szCs w:val="18"/>
        </w:rPr>
      </w:pPr>
      <w:r w:rsidRPr="00DC5899">
        <w:rPr>
          <w:rFonts w:ascii="Verdana" w:hAnsi="Verdana"/>
          <w:sz w:val="18"/>
        </w:rPr>
        <w:t xml:space="preserve">La quantité d’alcaloïdes </w:t>
      </w:r>
      <w:proofErr w:type="spellStart"/>
      <w:r w:rsidRPr="00DC5899">
        <w:rPr>
          <w:rFonts w:ascii="Verdana" w:hAnsi="Verdana"/>
          <w:sz w:val="18"/>
        </w:rPr>
        <w:t>pyrrolizidine</w:t>
      </w:r>
      <w:proofErr w:type="spellEnd"/>
      <w:r w:rsidRPr="00DC5899">
        <w:rPr>
          <w:rFonts w:ascii="Verdana" w:hAnsi="Verdana"/>
          <w:sz w:val="18"/>
        </w:rPr>
        <w:t xml:space="preserve"> toxiques dans les préparations à base de plantes ne dépasse pas 1 µg par kg ou par litre.</w:t>
      </w:r>
    </w:p>
    <w:p w14:paraId="7D188F6C" w14:textId="77777777" w:rsidR="000C18E4" w:rsidRPr="00DC5899" w:rsidRDefault="0043098B" w:rsidP="00E17C57">
      <w:pPr>
        <w:keepNext/>
        <w:keepLines/>
        <w:tabs>
          <w:tab w:val="left" w:pos="2835"/>
        </w:tabs>
        <w:ind w:left="2268"/>
        <w:rPr>
          <w:rFonts w:ascii="Verdana" w:hAnsi="Verdana"/>
          <w:sz w:val="18"/>
          <w:szCs w:val="18"/>
        </w:rPr>
      </w:pPr>
      <w:r w:rsidRPr="00DC5899">
        <w:rPr>
          <w:rFonts w:ascii="Verdana" w:hAnsi="Verdana"/>
          <w:sz w:val="18"/>
        </w:rPr>
        <w:t>2.</w:t>
      </w:r>
      <w:r w:rsidRPr="00DC5899">
        <w:tab/>
      </w:r>
      <w:r w:rsidRPr="00DC5899">
        <w:rPr>
          <w:rFonts w:ascii="Verdana" w:hAnsi="Verdana"/>
          <w:sz w:val="18"/>
        </w:rPr>
        <w:t xml:space="preserve">Le paragraphe 2 est libellé comme suit: </w:t>
      </w:r>
    </w:p>
    <w:p w14:paraId="32432A15" w14:textId="77777777" w:rsidR="00732703" w:rsidRPr="00DC5899" w:rsidRDefault="000C18E4" w:rsidP="00E17C57">
      <w:pPr>
        <w:keepNext/>
        <w:keepLines/>
        <w:ind w:left="2780" w:firstLine="56"/>
        <w:rPr>
          <w:rFonts w:ascii="Verdana" w:hAnsi="Verdana"/>
          <w:sz w:val="18"/>
          <w:szCs w:val="18"/>
        </w:rPr>
      </w:pPr>
      <w:r w:rsidRPr="00DC5899">
        <w:rPr>
          <w:rFonts w:ascii="Verdana" w:hAnsi="Verdana"/>
          <w:sz w:val="18"/>
        </w:rPr>
        <w:t>2.</w:t>
      </w:r>
      <w:r w:rsidRPr="00DC5899">
        <w:tab/>
      </w:r>
      <w:r w:rsidRPr="00DC5899">
        <w:rPr>
          <w:rFonts w:ascii="Verdana" w:hAnsi="Verdana"/>
          <w:sz w:val="18"/>
        </w:rPr>
        <w:t>Les préparations à base de plantes ne contiennent pas les ingrédients suivants:</w:t>
      </w:r>
    </w:p>
    <w:p w14:paraId="55B2273E" w14:textId="77777777" w:rsidR="00060A6E" w:rsidRPr="00DC5899" w:rsidRDefault="00BF3143" w:rsidP="00E17C57">
      <w:pPr>
        <w:pStyle w:val="ListParagraph"/>
        <w:numPr>
          <w:ilvl w:val="1"/>
          <w:numId w:val="22"/>
        </w:numPr>
        <w:rPr>
          <w:rFonts w:ascii="Verdana" w:hAnsi="Verdana"/>
          <w:sz w:val="18"/>
          <w:szCs w:val="18"/>
        </w:rPr>
      </w:pPr>
      <w:r w:rsidRPr="00DC5899">
        <w:rPr>
          <w:rFonts w:ascii="Verdana" w:hAnsi="Verdana"/>
          <w:sz w:val="18"/>
        </w:rPr>
        <w:t>aconitine ou ses dérivés;</w:t>
      </w:r>
    </w:p>
    <w:p w14:paraId="2E985788" w14:textId="77777777" w:rsidR="005016F0" w:rsidRPr="00DC5899" w:rsidRDefault="00BF3143" w:rsidP="00E17C57">
      <w:pPr>
        <w:pStyle w:val="ListParagraph"/>
        <w:numPr>
          <w:ilvl w:val="1"/>
          <w:numId w:val="22"/>
        </w:numPr>
        <w:rPr>
          <w:rFonts w:ascii="Verdana" w:hAnsi="Verdana"/>
          <w:sz w:val="18"/>
          <w:szCs w:val="18"/>
        </w:rPr>
      </w:pPr>
      <w:r w:rsidRPr="00DC5899">
        <w:rPr>
          <w:rFonts w:ascii="Verdana" w:hAnsi="Verdana"/>
          <w:sz w:val="18"/>
        </w:rPr>
        <w:t xml:space="preserve">acides </w:t>
      </w:r>
      <w:proofErr w:type="spellStart"/>
      <w:r w:rsidRPr="00DC5899">
        <w:rPr>
          <w:rFonts w:ascii="Verdana" w:hAnsi="Verdana"/>
          <w:sz w:val="18"/>
        </w:rPr>
        <w:t>aristolochiques</w:t>
      </w:r>
      <w:proofErr w:type="spellEnd"/>
      <w:r w:rsidRPr="00DC5899">
        <w:rPr>
          <w:rFonts w:ascii="Verdana" w:hAnsi="Verdana"/>
          <w:sz w:val="18"/>
        </w:rPr>
        <w:t xml:space="preserve"> ou leurs dérivés;</w:t>
      </w:r>
    </w:p>
    <w:p w14:paraId="2562C65D" w14:textId="77777777" w:rsidR="005016F0" w:rsidRPr="00DC5899" w:rsidRDefault="00BF3143" w:rsidP="00E17C57">
      <w:pPr>
        <w:pStyle w:val="ListParagraph"/>
        <w:numPr>
          <w:ilvl w:val="1"/>
          <w:numId w:val="22"/>
        </w:numPr>
        <w:rPr>
          <w:rFonts w:ascii="Verdana" w:hAnsi="Verdana"/>
          <w:sz w:val="18"/>
          <w:szCs w:val="18"/>
        </w:rPr>
      </w:pPr>
      <w:r w:rsidRPr="00DC5899">
        <w:rPr>
          <w:rFonts w:ascii="Verdana" w:hAnsi="Verdana"/>
          <w:sz w:val="18"/>
        </w:rPr>
        <w:t>atropine ou ses dérivés;</w:t>
      </w:r>
    </w:p>
    <w:p w14:paraId="59609BF9" w14:textId="77777777" w:rsidR="005016F0" w:rsidRPr="00DC5899" w:rsidRDefault="005016F0" w:rsidP="00E17C57">
      <w:pPr>
        <w:pStyle w:val="ListParagraph"/>
        <w:numPr>
          <w:ilvl w:val="1"/>
          <w:numId w:val="22"/>
        </w:numPr>
        <w:rPr>
          <w:rFonts w:ascii="Verdana" w:hAnsi="Verdana"/>
          <w:sz w:val="18"/>
          <w:szCs w:val="18"/>
        </w:rPr>
      </w:pPr>
      <w:r w:rsidRPr="00DC5899">
        <w:rPr>
          <w:rFonts w:ascii="Verdana" w:hAnsi="Verdana"/>
          <w:sz w:val="18"/>
        </w:rPr>
        <w:t>colchicine ou ses dérivés;</w:t>
      </w:r>
    </w:p>
    <w:p w14:paraId="6A4C9684" w14:textId="77777777" w:rsidR="005016F0" w:rsidRPr="00DC5899" w:rsidRDefault="005016F0" w:rsidP="00E17C57">
      <w:pPr>
        <w:pStyle w:val="ListParagraph"/>
        <w:numPr>
          <w:ilvl w:val="1"/>
          <w:numId w:val="22"/>
        </w:numPr>
        <w:rPr>
          <w:rFonts w:ascii="Verdana" w:hAnsi="Verdana"/>
          <w:sz w:val="18"/>
          <w:szCs w:val="18"/>
        </w:rPr>
      </w:pPr>
      <w:proofErr w:type="spellStart"/>
      <w:r w:rsidRPr="00DC5899">
        <w:rPr>
          <w:rFonts w:ascii="Verdana" w:hAnsi="Verdana"/>
          <w:sz w:val="18"/>
        </w:rPr>
        <w:t>hyoscyamine</w:t>
      </w:r>
      <w:proofErr w:type="spellEnd"/>
      <w:r w:rsidRPr="00DC5899">
        <w:rPr>
          <w:rFonts w:ascii="Verdana" w:hAnsi="Verdana"/>
          <w:sz w:val="18"/>
        </w:rPr>
        <w:t xml:space="preserve"> ou ses dérivés;</w:t>
      </w:r>
    </w:p>
    <w:p w14:paraId="173737D9" w14:textId="77777777" w:rsidR="005016F0" w:rsidRPr="00DC5899" w:rsidRDefault="00BF3143" w:rsidP="00E17C57">
      <w:pPr>
        <w:pStyle w:val="ListParagraph"/>
        <w:numPr>
          <w:ilvl w:val="1"/>
          <w:numId w:val="22"/>
        </w:numPr>
        <w:rPr>
          <w:rFonts w:ascii="Verdana" w:hAnsi="Verdana"/>
          <w:sz w:val="18"/>
          <w:szCs w:val="18"/>
        </w:rPr>
      </w:pPr>
      <w:r w:rsidRPr="00DC5899">
        <w:rPr>
          <w:rFonts w:ascii="Verdana" w:hAnsi="Verdana"/>
          <w:sz w:val="18"/>
        </w:rPr>
        <w:t>m-</w:t>
      </w:r>
      <w:proofErr w:type="spellStart"/>
      <w:r w:rsidRPr="00DC5899">
        <w:rPr>
          <w:rFonts w:ascii="Verdana" w:hAnsi="Verdana"/>
          <w:sz w:val="18"/>
        </w:rPr>
        <w:t>synéphrine</w:t>
      </w:r>
      <w:proofErr w:type="spellEnd"/>
      <w:r w:rsidRPr="00DC5899">
        <w:rPr>
          <w:rFonts w:ascii="Verdana" w:hAnsi="Verdana"/>
          <w:sz w:val="18"/>
        </w:rPr>
        <w:t xml:space="preserve"> ou o-</w:t>
      </w:r>
      <w:proofErr w:type="spellStart"/>
      <w:r w:rsidRPr="00DC5899">
        <w:rPr>
          <w:rFonts w:ascii="Verdana" w:hAnsi="Verdana"/>
          <w:sz w:val="18"/>
        </w:rPr>
        <w:t>synéphrine</w:t>
      </w:r>
      <w:proofErr w:type="spellEnd"/>
      <w:r w:rsidRPr="00DC5899">
        <w:rPr>
          <w:rFonts w:ascii="Verdana" w:hAnsi="Verdana"/>
          <w:sz w:val="18"/>
        </w:rPr>
        <w:t xml:space="preserve"> ou leurs dérivés;</w:t>
      </w:r>
    </w:p>
    <w:p w14:paraId="3C6636E8" w14:textId="34F7C2F9" w:rsidR="00BF3143" w:rsidRPr="00DC5899" w:rsidRDefault="00BF3143" w:rsidP="00E17C57">
      <w:pPr>
        <w:pStyle w:val="ListParagraph"/>
        <w:numPr>
          <w:ilvl w:val="1"/>
          <w:numId w:val="22"/>
        </w:numPr>
        <w:rPr>
          <w:rFonts w:ascii="Verdana" w:hAnsi="Verdana"/>
          <w:sz w:val="18"/>
          <w:szCs w:val="18"/>
        </w:rPr>
      </w:pPr>
      <w:r w:rsidRPr="00DC5899">
        <w:rPr>
          <w:rFonts w:ascii="Verdana" w:hAnsi="Verdana"/>
          <w:sz w:val="18"/>
        </w:rPr>
        <w:t>huile d’</w:t>
      </w:r>
      <w:proofErr w:type="spellStart"/>
      <w:r w:rsidRPr="00DC5899">
        <w:rPr>
          <w:rFonts w:ascii="Verdana" w:hAnsi="Verdana"/>
          <w:sz w:val="18"/>
        </w:rPr>
        <w:t>Artemisia</w:t>
      </w:r>
      <w:proofErr w:type="spellEnd"/>
      <w:r w:rsidRPr="00DC5899">
        <w:rPr>
          <w:rFonts w:ascii="Verdana" w:hAnsi="Verdana"/>
          <w:sz w:val="18"/>
        </w:rPr>
        <w:t xml:space="preserve"> </w:t>
      </w:r>
      <w:proofErr w:type="spellStart"/>
      <w:r w:rsidRPr="00DC5899">
        <w:rPr>
          <w:rFonts w:ascii="Verdana" w:hAnsi="Verdana"/>
          <w:sz w:val="18"/>
        </w:rPr>
        <w:t>absinthium</w:t>
      </w:r>
      <w:proofErr w:type="spellEnd"/>
      <w:r w:rsidRPr="00DC5899">
        <w:rPr>
          <w:rFonts w:ascii="Verdana" w:hAnsi="Verdana"/>
          <w:sz w:val="18"/>
        </w:rPr>
        <w:t xml:space="preserve"> (absinthe), sans préjudice des exigences énoncées à l’article</w:t>
      </w:r>
      <w:r w:rsidR="004C32BB" w:rsidRPr="00DC5899">
        <w:rPr>
          <w:rFonts w:ascii="Verdana" w:hAnsi="Verdana"/>
          <w:sz w:val="18"/>
        </w:rPr>
        <w:t> </w:t>
      </w:r>
      <w:r w:rsidRPr="00DC5899">
        <w:rPr>
          <w:rFonts w:ascii="Verdana" w:hAnsi="Verdana"/>
          <w:sz w:val="18"/>
        </w:rPr>
        <w:t>6, paragraphe</w:t>
      </w:r>
      <w:r w:rsidR="004C32BB" w:rsidRPr="00DC5899">
        <w:rPr>
          <w:rFonts w:ascii="Verdana" w:hAnsi="Verdana"/>
          <w:sz w:val="18"/>
        </w:rPr>
        <w:t> </w:t>
      </w:r>
      <w:r w:rsidRPr="00DC5899">
        <w:rPr>
          <w:rFonts w:ascii="Verdana" w:hAnsi="Verdana"/>
          <w:sz w:val="18"/>
        </w:rPr>
        <w:t>2, et à l’annexe</w:t>
      </w:r>
      <w:r w:rsidR="004C32BB" w:rsidRPr="00DC5899">
        <w:rPr>
          <w:rFonts w:ascii="Verdana" w:hAnsi="Verdana"/>
          <w:sz w:val="18"/>
        </w:rPr>
        <w:t> </w:t>
      </w:r>
      <w:r w:rsidRPr="00DC5899">
        <w:rPr>
          <w:rFonts w:ascii="Verdana" w:hAnsi="Verdana"/>
          <w:sz w:val="18"/>
        </w:rPr>
        <w:t xml:space="preserve">III, partie B, du règlement (CE) nº 1334/2008 réglementant la présence autorisée de </w:t>
      </w:r>
      <w:proofErr w:type="spellStart"/>
      <w:r w:rsidRPr="00DC5899">
        <w:rPr>
          <w:rFonts w:ascii="Verdana" w:hAnsi="Verdana"/>
          <w:sz w:val="18"/>
        </w:rPr>
        <w:t>thuyone</w:t>
      </w:r>
      <w:proofErr w:type="spellEnd"/>
      <w:r w:rsidRPr="00DC5899">
        <w:rPr>
          <w:rFonts w:ascii="Verdana" w:hAnsi="Verdana"/>
          <w:sz w:val="18"/>
        </w:rPr>
        <w:t xml:space="preserve"> dans certaines denrées alimentaires composées;</w:t>
      </w:r>
    </w:p>
    <w:p w14:paraId="3855292A" w14:textId="77777777" w:rsidR="005016F0" w:rsidRPr="00DC5899" w:rsidRDefault="005016F0" w:rsidP="00E17C57">
      <w:pPr>
        <w:pStyle w:val="ListParagraph"/>
        <w:numPr>
          <w:ilvl w:val="1"/>
          <w:numId w:val="22"/>
        </w:numPr>
        <w:rPr>
          <w:rFonts w:ascii="Verdana" w:hAnsi="Verdana"/>
          <w:sz w:val="18"/>
          <w:szCs w:val="18"/>
        </w:rPr>
      </w:pPr>
      <w:r w:rsidRPr="00DC5899">
        <w:rPr>
          <w:rFonts w:ascii="Verdana" w:hAnsi="Verdana"/>
          <w:sz w:val="18"/>
        </w:rPr>
        <w:t>pilocarpine ou ses dérivés;</w:t>
      </w:r>
    </w:p>
    <w:p w14:paraId="361903A7" w14:textId="77777777" w:rsidR="005016F0" w:rsidRPr="00DC5899" w:rsidRDefault="005016F0" w:rsidP="00E17C57">
      <w:pPr>
        <w:pStyle w:val="ListParagraph"/>
        <w:numPr>
          <w:ilvl w:val="1"/>
          <w:numId w:val="22"/>
        </w:numPr>
        <w:rPr>
          <w:rFonts w:ascii="Verdana" w:hAnsi="Verdana"/>
          <w:sz w:val="18"/>
          <w:szCs w:val="18"/>
        </w:rPr>
      </w:pPr>
      <w:r w:rsidRPr="00DC5899">
        <w:rPr>
          <w:rFonts w:ascii="Verdana" w:hAnsi="Verdana"/>
          <w:sz w:val="18"/>
        </w:rPr>
        <w:t>scopolamine ou ses dérivés;</w:t>
      </w:r>
    </w:p>
    <w:p w14:paraId="78ADFDDF" w14:textId="77777777" w:rsidR="005016F0" w:rsidRPr="00DC5899" w:rsidRDefault="005016F0" w:rsidP="00E17C57">
      <w:pPr>
        <w:pStyle w:val="ListParagraph"/>
        <w:numPr>
          <w:ilvl w:val="1"/>
          <w:numId w:val="22"/>
        </w:numPr>
        <w:rPr>
          <w:rFonts w:ascii="Verdana" w:hAnsi="Verdana"/>
          <w:sz w:val="18"/>
          <w:szCs w:val="18"/>
        </w:rPr>
      </w:pPr>
      <w:r w:rsidRPr="00DC5899">
        <w:rPr>
          <w:rFonts w:ascii="Verdana" w:hAnsi="Verdana"/>
          <w:sz w:val="18"/>
        </w:rPr>
        <w:t>strychnine ou ses dérivés; et</w:t>
      </w:r>
    </w:p>
    <w:p w14:paraId="45F15CE8" w14:textId="77777777" w:rsidR="00BF3143" w:rsidRPr="00DC5899" w:rsidRDefault="00BF3143" w:rsidP="00E17C57">
      <w:pPr>
        <w:pStyle w:val="ListParagraph"/>
        <w:numPr>
          <w:ilvl w:val="1"/>
          <w:numId w:val="22"/>
        </w:numPr>
        <w:rPr>
          <w:rFonts w:ascii="Verdana" w:hAnsi="Verdana"/>
          <w:sz w:val="18"/>
          <w:szCs w:val="18"/>
        </w:rPr>
      </w:pPr>
      <w:r w:rsidRPr="00DC5899">
        <w:rPr>
          <w:rFonts w:ascii="Verdana" w:hAnsi="Verdana"/>
          <w:sz w:val="18"/>
        </w:rPr>
        <w:t xml:space="preserve">alcaloïdes de </w:t>
      </w:r>
      <w:proofErr w:type="spellStart"/>
      <w:r w:rsidRPr="00DC5899">
        <w:rPr>
          <w:rFonts w:ascii="Verdana" w:hAnsi="Verdana"/>
          <w:sz w:val="18"/>
        </w:rPr>
        <w:t>yohimbe</w:t>
      </w:r>
      <w:proofErr w:type="spellEnd"/>
      <w:r w:rsidRPr="00DC5899">
        <w:rPr>
          <w:rFonts w:ascii="Verdana" w:hAnsi="Verdana"/>
          <w:sz w:val="18"/>
        </w:rPr>
        <w:t xml:space="preserve"> ou leurs dérivés.</w:t>
      </w:r>
    </w:p>
    <w:p w14:paraId="578604B9" w14:textId="2CDEAE54" w:rsidR="000E0515" w:rsidRPr="00DC5899" w:rsidRDefault="0043098B" w:rsidP="00E17C57">
      <w:pPr>
        <w:ind w:left="2835" w:hanging="567"/>
        <w:rPr>
          <w:rFonts w:ascii="Verdana" w:hAnsi="Verdana"/>
          <w:sz w:val="18"/>
          <w:szCs w:val="18"/>
        </w:rPr>
      </w:pPr>
      <w:r w:rsidRPr="00DC5899">
        <w:rPr>
          <w:rFonts w:ascii="Verdana" w:hAnsi="Verdana"/>
          <w:sz w:val="18"/>
        </w:rPr>
        <w:t>3.</w:t>
      </w:r>
      <w:r w:rsidRPr="00DC5899">
        <w:tab/>
      </w:r>
      <w:r w:rsidRPr="00DC5899">
        <w:rPr>
          <w:rFonts w:ascii="Verdana" w:hAnsi="Verdana"/>
          <w:sz w:val="18"/>
        </w:rPr>
        <w:t>Au troisième paragraphe, les termes «plantes visées à la partie</w:t>
      </w:r>
      <w:r w:rsidR="004C32BB" w:rsidRPr="00DC5899">
        <w:rPr>
          <w:rFonts w:ascii="Verdana" w:hAnsi="Verdana"/>
          <w:sz w:val="18"/>
        </w:rPr>
        <w:t> </w:t>
      </w:r>
      <w:r w:rsidRPr="00DC5899">
        <w:rPr>
          <w:rFonts w:ascii="Verdana" w:hAnsi="Verdana"/>
          <w:sz w:val="18"/>
        </w:rPr>
        <w:t xml:space="preserve">II de l’annexe» sont remplacés par «plantes et champignons visés à l’annexe». </w:t>
      </w:r>
    </w:p>
    <w:p w14:paraId="4B70223F" w14:textId="77777777" w:rsidR="0043098B" w:rsidRPr="00DC5899" w:rsidRDefault="00E17C57" w:rsidP="00E17C57">
      <w:pPr>
        <w:keepNext/>
        <w:keepLines/>
        <w:ind w:left="2836" w:hanging="568"/>
        <w:rPr>
          <w:rFonts w:ascii="Verdana" w:hAnsi="Verdana"/>
          <w:sz w:val="18"/>
          <w:szCs w:val="18"/>
        </w:rPr>
      </w:pPr>
      <w:r w:rsidRPr="00DC5899">
        <w:rPr>
          <w:rFonts w:ascii="Verdana" w:hAnsi="Verdana"/>
          <w:sz w:val="18"/>
        </w:rPr>
        <w:t>4.</w:t>
      </w:r>
      <w:r w:rsidRPr="00DC5899">
        <w:tab/>
      </w:r>
      <w:r w:rsidRPr="00DC5899">
        <w:rPr>
          <w:rFonts w:ascii="Verdana" w:hAnsi="Verdana"/>
          <w:sz w:val="18"/>
        </w:rPr>
        <w:t>Trois nouveaux paragraphes sont ajoutés, libellés comme suit:</w:t>
      </w:r>
    </w:p>
    <w:p w14:paraId="27DE9A16" w14:textId="77777777" w:rsidR="0043098B" w:rsidRPr="00DC5899" w:rsidRDefault="0043098B" w:rsidP="00E17C57">
      <w:pPr>
        <w:ind w:left="3544" w:hanging="708"/>
        <w:rPr>
          <w:rFonts w:ascii="Verdana" w:hAnsi="Verdana"/>
          <w:sz w:val="18"/>
          <w:szCs w:val="18"/>
        </w:rPr>
      </w:pPr>
      <w:r w:rsidRPr="00DC5899">
        <w:rPr>
          <w:rFonts w:ascii="Verdana" w:hAnsi="Verdana"/>
          <w:sz w:val="18"/>
        </w:rPr>
        <w:t>4.</w:t>
      </w:r>
      <w:r w:rsidRPr="00DC5899">
        <w:tab/>
      </w:r>
      <w:r w:rsidRPr="00DC5899">
        <w:rPr>
          <w:rFonts w:ascii="Verdana" w:hAnsi="Verdana"/>
          <w:sz w:val="18"/>
        </w:rPr>
        <w:t>Les préparations à base de plantes contiennent la dose quotidienne, préconisée dans la notice de maximum 27 mg de p-</w:t>
      </w:r>
      <w:proofErr w:type="spellStart"/>
      <w:r w:rsidRPr="00DC5899">
        <w:rPr>
          <w:rFonts w:ascii="Verdana" w:hAnsi="Verdana"/>
          <w:sz w:val="18"/>
        </w:rPr>
        <w:t>synéphrine</w:t>
      </w:r>
      <w:proofErr w:type="spellEnd"/>
      <w:r w:rsidRPr="00DC5899">
        <w:rPr>
          <w:rFonts w:ascii="Verdana" w:hAnsi="Verdana"/>
          <w:sz w:val="18"/>
        </w:rPr>
        <w:t>.</w:t>
      </w:r>
    </w:p>
    <w:p w14:paraId="21CA179C" w14:textId="77777777" w:rsidR="0095665C" w:rsidRPr="00DC5899" w:rsidRDefault="0043098B" w:rsidP="00E17C57">
      <w:pPr>
        <w:ind w:left="3544" w:hanging="708"/>
        <w:rPr>
          <w:rFonts w:ascii="Verdana" w:hAnsi="Verdana"/>
          <w:sz w:val="18"/>
          <w:szCs w:val="18"/>
        </w:rPr>
      </w:pPr>
      <w:r w:rsidRPr="00DC5899">
        <w:rPr>
          <w:rFonts w:ascii="Verdana" w:hAnsi="Verdana"/>
          <w:sz w:val="18"/>
        </w:rPr>
        <w:t>5.</w:t>
      </w:r>
      <w:r w:rsidRPr="00DC5899">
        <w:tab/>
      </w:r>
      <w:r w:rsidRPr="00DC5899">
        <w:rPr>
          <w:rFonts w:ascii="Verdana" w:hAnsi="Verdana"/>
          <w:sz w:val="18"/>
        </w:rPr>
        <w:t xml:space="preserve">Par dérogation au troisième paragraphe, les préparations à base de plantes peuvent contenir de l’huile extraite des graines de </w:t>
      </w:r>
      <w:proofErr w:type="spellStart"/>
      <w:r w:rsidRPr="00DC5899">
        <w:rPr>
          <w:rFonts w:ascii="Verdana" w:hAnsi="Verdana"/>
          <w:sz w:val="18"/>
        </w:rPr>
        <w:t>Ricinus</w:t>
      </w:r>
      <w:proofErr w:type="spellEnd"/>
      <w:r w:rsidRPr="00DC5899">
        <w:rPr>
          <w:rFonts w:ascii="Verdana" w:hAnsi="Verdana"/>
          <w:sz w:val="18"/>
        </w:rPr>
        <w:t xml:space="preserve"> </w:t>
      </w:r>
      <w:proofErr w:type="spellStart"/>
      <w:r w:rsidRPr="00DC5899">
        <w:rPr>
          <w:rFonts w:ascii="Verdana" w:hAnsi="Verdana"/>
          <w:sz w:val="18"/>
        </w:rPr>
        <w:t>communis</w:t>
      </w:r>
      <w:proofErr w:type="spellEnd"/>
      <w:r w:rsidRPr="00DC5899">
        <w:rPr>
          <w:rFonts w:ascii="Verdana" w:hAnsi="Verdana"/>
          <w:sz w:val="18"/>
        </w:rPr>
        <w:t>, dans la mesure où l’utilisation prescrite et les recommandations de dosage, visées à l’article 6, paragraphe 1, n’entraînent pas une consommation de cette huile supérieure à 0,4 g par jour.</w:t>
      </w:r>
    </w:p>
    <w:p w14:paraId="60F87870" w14:textId="288A992E" w:rsidR="00AB3B66" w:rsidRPr="00DC5899" w:rsidRDefault="00AB3B66" w:rsidP="00E17C57">
      <w:pPr>
        <w:ind w:left="3544" w:hanging="708"/>
        <w:rPr>
          <w:rFonts w:ascii="Verdana" w:hAnsi="Verdana"/>
          <w:sz w:val="18"/>
          <w:szCs w:val="18"/>
        </w:rPr>
      </w:pPr>
      <w:r w:rsidRPr="00DC5899">
        <w:rPr>
          <w:rFonts w:ascii="Verdana" w:hAnsi="Verdana"/>
          <w:sz w:val="18"/>
        </w:rPr>
        <w:t>6.</w:t>
      </w:r>
      <w:r w:rsidRPr="00DC5899">
        <w:tab/>
      </w:r>
      <w:r w:rsidRPr="00DC5899">
        <w:rPr>
          <w:rFonts w:ascii="Verdana" w:hAnsi="Verdana"/>
          <w:sz w:val="18"/>
        </w:rPr>
        <w:t>Le paragraphe</w:t>
      </w:r>
      <w:r w:rsidR="004C32BB" w:rsidRPr="00DC5899">
        <w:rPr>
          <w:rFonts w:ascii="Verdana" w:hAnsi="Verdana"/>
          <w:sz w:val="18"/>
        </w:rPr>
        <w:t> </w:t>
      </w:r>
      <w:r w:rsidRPr="00DC5899">
        <w:rPr>
          <w:rFonts w:ascii="Verdana" w:hAnsi="Verdana"/>
          <w:sz w:val="18"/>
        </w:rPr>
        <w:t xml:space="preserve">1 ne s’applique pas dans la mesure où des règles pertinentes ont été définies dans le règlement (CE) nº 1881/2006. </w:t>
      </w:r>
    </w:p>
    <w:p w14:paraId="37314671" w14:textId="77777777" w:rsidR="00D9610F" w:rsidRPr="00DC5899" w:rsidRDefault="00D9610F" w:rsidP="00E17C57">
      <w:pPr>
        <w:ind w:left="2268"/>
        <w:rPr>
          <w:rFonts w:ascii="Verdana" w:hAnsi="Verdana"/>
          <w:sz w:val="18"/>
          <w:szCs w:val="18"/>
        </w:rPr>
      </w:pPr>
    </w:p>
    <w:p w14:paraId="78682A26" w14:textId="77777777" w:rsidR="00AB4972" w:rsidRPr="00DC5899" w:rsidRDefault="00AB4972" w:rsidP="00E17C57">
      <w:pPr>
        <w:keepNext/>
        <w:keepLines/>
        <w:ind w:left="2268"/>
        <w:rPr>
          <w:rFonts w:ascii="Verdana" w:hAnsi="Verdana"/>
          <w:sz w:val="18"/>
          <w:szCs w:val="18"/>
        </w:rPr>
      </w:pPr>
      <w:r w:rsidRPr="00DC5899">
        <w:rPr>
          <w:rFonts w:ascii="Verdana" w:hAnsi="Verdana"/>
          <w:sz w:val="18"/>
        </w:rPr>
        <w:t>B</w:t>
      </w:r>
    </w:p>
    <w:p w14:paraId="4F25F07C" w14:textId="77777777" w:rsidR="00AB4972" w:rsidRPr="00DC5899" w:rsidRDefault="00AB4972" w:rsidP="00E17C57">
      <w:pPr>
        <w:keepNext/>
        <w:keepLines/>
        <w:ind w:left="2268"/>
        <w:rPr>
          <w:rFonts w:ascii="Verdana" w:hAnsi="Verdana"/>
          <w:sz w:val="18"/>
          <w:szCs w:val="18"/>
        </w:rPr>
      </w:pPr>
    </w:p>
    <w:p w14:paraId="7D87A879" w14:textId="77777777" w:rsidR="003825F1" w:rsidRPr="00DC5899" w:rsidRDefault="003825F1" w:rsidP="00E17C57">
      <w:pPr>
        <w:keepNext/>
        <w:keepLines/>
        <w:ind w:left="2268"/>
        <w:rPr>
          <w:rFonts w:ascii="Verdana" w:hAnsi="Verdana"/>
          <w:sz w:val="18"/>
          <w:szCs w:val="18"/>
        </w:rPr>
      </w:pPr>
      <w:r w:rsidRPr="00DC5899">
        <w:rPr>
          <w:rFonts w:ascii="Verdana" w:hAnsi="Verdana"/>
          <w:sz w:val="18"/>
        </w:rPr>
        <w:t>À l’article 6 est ajouté un paragraphe libellé comme suit:</w:t>
      </w:r>
    </w:p>
    <w:p w14:paraId="58572B95" w14:textId="29C58DE3" w:rsidR="003825F1" w:rsidRPr="00DC5899" w:rsidRDefault="003825F1" w:rsidP="00E17C57">
      <w:pPr>
        <w:ind w:left="2836" w:hanging="568"/>
        <w:rPr>
          <w:rFonts w:ascii="Verdana" w:hAnsi="Verdana"/>
          <w:sz w:val="18"/>
          <w:szCs w:val="18"/>
        </w:rPr>
      </w:pPr>
      <w:r w:rsidRPr="00DC5899">
        <w:rPr>
          <w:rFonts w:ascii="Verdana" w:hAnsi="Verdana"/>
          <w:sz w:val="18"/>
        </w:rPr>
        <w:t xml:space="preserve">3. </w:t>
      </w:r>
      <w:r w:rsidRPr="00DC5899">
        <w:tab/>
      </w:r>
      <w:r w:rsidRPr="00DC5899">
        <w:rPr>
          <w:rFonts w:ascii="Verdana" w:hAnsi="Verdana"/>
          <w:sz w:val="18"/>
        </w:rPr>
        <w:t>Des modalités peuvent être fixées par règlement de notre ministre concernant l’utilisation prescrite et les recommandations de dosage visées aux paragraphes</w:t>
      </w:r>
      <w:r w:rsidR="004C32BB" w:rsidRPr="00DC5899">
        <w:rPr>
          <w:rFonts w:ascii="Verdana" w:hAnsi="Verdana"/>
          <w:sz w:val="18"/>
        </w:rPr>
        <w:t> </w:t>
      </w:r>
      <w:r w:rsidRPr="00DC5899">
        <w:rPr>
          <w:rFonts w:ascii="Verdana" w:hAnsi="Verdana"/>
          <w:sz w:val="18"/>
        </w:rPr>
        <w:t>1 et 2.</w:t>
      </w:r>
    </w:p>
    <w:p w14:paraId="232FD643" w14:textId="77777777" w:rsidR="003825F1" w:rsidRPr="00DC5899" w:rsidRDefault="003825F1" w:rsidP="00E17C57">
      <w:pPr>
        <w:ind w:left="2268"/>
        <w:rPr>
          <w:rFonts w:ascii="Verdana" w:hAnsi="Verdana"/>
          <w:sz w:val="18"/>
          <w:szCs w:val="18"/>
        </w:rPr>
      </w:pPr>
    </w:p>
    <w:p w14:paraId="7D3B87BA" w14:textId="77777777" w:rsidR="003825F1" w:rsidRPr="00DC5899" w:rsidRDefault="003825F1" w:rsidP="00E17C57">
      <w:pPr>
        <w:keepNext/>
        <w:keepLines/>
        <w:ind w:left="2268"/>
        <w:rPr>
          <w:rFonts w:ascii="Verdana" w:hAnsi="Verdana"/>
          <w:sz w:val="18"/>
          <w:szCs w:val="18"/>
        </w:rPr>
      </w:pPr>
      <w:r w:rsidRPr="00DC5899">
        <w:rPr>
          <w:rFonts w:ascii="Verdana" w:hAnsi="Verdana"/>
          <w:sz w:val="18"/>
        </w:rPr>
        <w:t>C</w:t>
      </w:r>
    </w:p>
    <w:p w14:paraId="6FD2DE08" w14:textId="77777777" w:rsidR="003825F1" w:rsidRPr="00DC5899" w:rsidRDefault="003825F1" w:rsidP="00E17C57">
      <w:pPr>
        <w:keepNext/>
        <w:keepLines/>
        <w:ind w:left="2268"/>
        <w:rPr>
          <w:rFonts w:ascii="Verdana" w:hAnsi="Verdana"/>
          <w:sz w:val="18"/>
          <w:szCs w:val="18"/>
        </w:rPr>
      </w:pPr>
    </w:p>
    <w:p w14:paraId="079CD5AA" w14:textId="5A2901A2" w:rsidR="00BB07D4" w:rsidRPr="00DC5899" w:rsidRDefault="00BB07D4" w:rsidP="00E17C57">
      <w:pPr>
        <w:ind w:left="2268"/>
        <w:rPr>
          <w:rFonts w:ascii="Verdana" w:hAnsi="Verdana"/>
          <w:sz w:val="18"/>
          <w:szCs w:val="18"/>
        </w:rPr>
      </w:pPr>
      <w:r w:rsidRPr="00DC5899">
        <w:rPr>
          <w:rFonts w:ascii="Verdana" w:hAnsi="Verdana"/>
          <w:sz w:val="18"/>
        </w:rPr>
        <w:t>À l’article</w:t>
      </w:r>
      <w:r w:rsidR="004C32BB" w:rsidRPr="00DC5899">
        <w:rPr>
          <w:rFonts w:ascii="Verdana" w:hAnsi="Verdana"/>
          <w:sz w:val="18"/>
        </w:rPr>
        <w:t> </w:t>
      </w:r>
      <w:r w:rsidRPr="00DC5899">
        <w:rPr>
          <w:rFonts w:ascii="Verdana" w:hAnsi="Verdana"/>
          <w:sz w:val="18"/>
        </w:rPr>
        <w:t>7, paragraphe</w:t>
      </w:r>
      <w:r w:rsidR="004C32BB" w:rsidRPr="00DC5899">
        <w:rPr>
          <w:rFonts w:ascii="Verdana" w:hAnsi="Verdana"/>
          <w:sz w:val="18"/>
        </w:rPr>
        <w:t> </w:t>
      </w:r>
      <w:r w:rsidRPr="00DC5899">
        <w:rPr>
          <w:rFonts w:ascii="Verdana" w:hAnsi="Verdana"/>
          <w:sz w:val="18"/>
        </w:rPr>
        <w:t>1, les termes «à condition que l’article</w:t>
      </w:r>
      <w:r w:rsidR="004C32BB" w:rsidRPr="00DC5899">
        <w:rPr>
          <w:rFonts w:ascii="Verdana" w:hAnsi="Verdana"/>
          <w:sz w:val="18"/>
        </w:rPr>
        <w:t> </w:t>
      </w:r>
      <w:r w:rsidRPr="00DC5899">
        <w:rPr>
          <w:rFonts w:ascii="Verdana" w:hAnsi="Verdana"/>
          <w:sz w:val="18"/>
        </w:rPr>
        <w:t>4, paragraphes</w:t>
      </w:r>
      <w:r w:rsidR="004C32BB" w:rsidRPr="00DC5899">
        <w:rPr>
          <w:rFonts w:ascii="Verdana" w:hAnsi="Verdana"/>
          <w:sz w:val="18"/>
        </w:rPr>
        <w:t> </w:t>
      </w:r>
      <w:r w:rsidRPr="00DC5899">
        <w:rPr>
          <w:rFonts w:ascii="Verdana" w:hAnsi="Verdana"/>
          <w:sz w:val="18"/>
        </w:rPr>
        <w:t>1 et 3, entre en vigueur le 1</w:t>
      </w:r>
      <w:r w:rsidRPr="00DC5899">
        <w:rPr>
          <w:rFonts w:ascii="Verdana" w:hAnsi="Verdana"/>
          <w:sz w:val="18"/>
          <w:vertAlign w:val="superscript"/>
        </w:rPr>
        <w:t>er</w:t>
      </w:r>
      <w:r w:rsidR="004C32BB" w:rsidRPr="00DC5899">
        <w:rPr>
          <w:rFonts w:ascii="Verdana" w:hAnsi="Verdana"/>
          <w:sz w:val="18"/>
        </w:rPr>
        <w:t> </w:t>
      </w:r>
      <w:r w:rsidRPr="00DC5899">
        <w:rPr>
          <w:rFonts w:ascii="Verdana" w:hAnsi="Verdana"/>
          <w:sz w:val="18"/>
        </w:rPr>
        <w:t>août</w:t>
      </w:r>
      <w:r w:rsidR="004C32BB" w:rsidRPr="00DC5899">
        <w:rPr>
          <w:rFonts w:ascii="Verdana" w:hAnsi="Verdana"/>
          <w:sz w:val="18"/>
        </w:rPr>
        <w:t> </w:t>
      </w:r>
      <w:r w:rsidRPr="00DC5899">
        <w:rPr>
          <w:rFonts w:ascii="Verdana" w:hAnsi="Verdana"/>
          <w:sz w:val="18"/>
        </w:rPr>
        <w:t xml:space="preserve">2001 pour les préparations </w:t>
      </w:r>
      <w:r w:rsidRPr="00DC5899">
        <w:rPr>
          <w:rFonts w:ascii="Verdana" w:hAnsi="Verdana"/>
          <w:sz w:val="18"/>
        </w:rPr>
        <w:lastRenderedPageBreak/>
        <w:t>à base de plantes, autres que des denrées alimentaires ou des boissons, exclusivement destinées à être en contact avec les différentes parties de la surface du corps humain et dans lesquelles n’est présente aucune plante autre que celles désignées par le chiffre</w:t>
      </w:r>
      <w:r w:rsidR="004C32BB" w:rsidRPr="00DC5899">
        <w:rPr>
          <w:rFonts w:ascii="Verdana" w:hAnsi="Verdana"/>
          <w:sz w:val="18"/>
        </w:rPr>
        <w:t> </w:t>
      </w:r>
      <w:r w:rsidRPr="00DC5899">
        <w:rPr>
          <w:rFonts w:ascii="Verdana" w:hAnsi="Verdana"/>
          <w:sz w:val="18"/>
        </w:rPr>
        <w:t>1 dans la dernière colonne de l’annexe n’est présente» sont supprimés.</w:t>
      </w:r>
    </w:p>
    <w:p w14:paraId="26BD9EDF" w14:textId="77777777" w:rsidR="00BB07D4" w:rsidRPr="00DC5899" w:rsidRDefault="00BB07D4" w:rsidP="00E17C57">
      <w:pPr>
        <w:ind w:left="2268"/>
        <w:rPr>
          <w:rFonts w:ascii="Verdana" w:hAnsi="Verdana"/>
          <w:sz w:val="18"/>
          <w:szCs w:val="18"/>
        </w:rPr>
      </w:pPr>
    </w:p>
    <w:p w14:paraId="538488C2" w14:textId="77777777" w:rsidR="00BB07D4" w:rsidRPr="00DC5899" w:rsidRDefault="00BB07D4" w:rsidP="00E17C57">
      <w:pPr>
        <w:keepNext/>
        <w:keepLines/>
        <w:ind w:left="2268"/>
        <w:rPr>
          <w:rFonts w:ascii="Verdana" w:hAnsi="Verdana"/>
          <w:sz w:val="18"/>
          <w:szCs w:val="18"/>
        </w:rPr>
      </w:pPr>
      <w:r w:rsidRPr="00DC5899">
        <w:rPr>
          <w:rFonts w:ascii="Verdana" w:hAnsi="Verdana"/>
          <w:sz w:val="18"/>
        </w:rPr>
        <w:t>D</w:t>
      </w:r>
    </w:p>
    <w:p w14:paraId="1E7F59B6" w14:textId="77777777" w:rsidR="00BB07D4" w:rsidRPr="00DC5899" w:rsidRDefault="00BB07D4" w:rsidP="00E17C57">
      <w:pPr>
        <w:keepNext/>
        <w:keepLines/>
        <w:ind w:left="2268"/>
        <w:rPr>
          <w:rFonts w:ascii="Verdana" w:hAnsi="Verdana"/>
          <w:sz w:val="18"/>
          <w:szCs w:val="18"/>
        </w:rPr>
      </w:pPr>
    </w:p>
    <w:p w14:paraId="16A16FCA" w14:textId="77777777" w:rsidR="00BB11AA" w:rsidRPr="00DC5899" w:rsidRDefault="00F6533C" w:rsidP="00E17C57">
      <w:pPr>
        <w:keepNext/>
        <w:keepLines/>
        <w:ind w:left="2268"/>
        <w:rPr>
          <w:rFonts w:ascii="Verdana" w:hAnsi="Verdana"/>
          <w:sz w:val="18"/>
          <w:szCs w:val="18"/>
        </w:rPr>
      </w:pPr>
      <w:r w:rsidRPr="00DC5899">
        <w:rPr>
          <w:rFonts w:ascii="Verdana" w:hAnsi="Verdana"/>
          <w:sz w:val="18"/>
        </w:rPr>
        <w:t>L’annexe est modifiée comme suit:</w:t>
      </w:r>
    </w:p>
    <w:p w14:paraId="4A4A5599" w14:textId="417F4102" w:rsidR="00F6533C" w:rsidRPr="00DC5899" w:rsidRDefault="00F6533C" w:rsidP="00E17C57">
      <w:pPr>
        <w:pStyle w:val="ListParagraph"/>
        <w:numPr>
          <w:ilvl w:val="0"/>
          <w:numId w:val="23"/>
        </w:numPr>
        <w:rPr>
          <w:rFonts w:ascii="Verdana" w:hAnsi="Verdana"/>
          <w:sz w:val="18"/>
          <w:szCs w:val="18"/>
        </w:rPr>
      </w:pPr>
      <w:r w:rsidRPr="00DC5899">
        <w:rPr>
          <w:rFonts w:ascii="Verdana" w:hAnsi="Verdana"/>
          <w:sz w:val="18"/>
        </w:rPr>
        <w:t>La phrase «Cette annexe appartient à l’article</w:t>
      </w:r>
      <w:r w:rsidR="004C32BB" w:rsidRPr="00DC5899">
        <w:rPr>
          <w:rFonts w:ascii="Verdana" w:hAnsi="Verdana"/>
          <w:sz w:val="18"/>
        </w:rPr>
        <w:t> </w:t>
      </w:r>
      <w:r w:rsidRPr="00DC5899">
        <w:rPr>
          <w:rFonts w:ascii="Verdana" w:hAnsi="Verdana"/>
          <w:sz w:val="18"/>
        </w:rPr>
        <w:t>4.» est remplacée par «Cette annexe appartient à l’article</w:t>
      </w:r>
      <w:r w:rsidR="004C32BB" w:rsidRPr="00DC5899">
        <w:rPr>
          <w:rFonts w:ascii="Verdana" w:hAnsi="Verdana"/>
          <w:sz w:val="18"/>
        </w:rPr>
        <w:t> </w:t>
      </w:r>
      <w:r w:rsidRPr="00DC5899">
        <w:rPr>
          <w:rFonts w:ascii="Verdana" w:hAnsi="Verdana"/>
          <w:sz w:val="18"/>
        </w:rPr>
        <w:t>4, paragraphe</w:t>
      </w:r>
      <w:r w:rsidR="004C32BB" w:rsidRPr="00DC5899">
        <w:rPr>
          <w:rFonts w:ascii="Verdana" w:hAnsi="Verdana"/>
          <w:sz w:val="18"/>
        </w:rPr>
        <w:t> </w:t>
      </w:r>
      <w:r w:rsidRPr="00DC5899">
        <w:rPr>
          <w:rFonts w:ascii="Verdana" w:hAnsi="Verdana"/>
          <w:sz w:val="18"/>
        </w:rPr>
        <w:t xml:space="preserve">3.». </w:t>
      </w:r>
    </w:p>
    <w:p w14:paraId="20C2B7C9" w14:textId="77777777" w:rsidR="00F6533C" w:rsidRPr="00DC5899" w:rsidRDefault="00BB02A9" w:rsidP="00E17C57">
      <w:pPr>
        <w:pStyle w:val="ListParagraph"/>
        <w:numPr>
          <w:ilvl w:val="0"/>
          <w:numId w:val="23"/>
        </w:numPr>
        <w:rPr>
          <w:rFonts w:ascii="Verdana" w:hAnsi="Verdana"/>
          <w:sz w:val="18"/>
          <w:szCs w:val="18"/>
        </w:rPr>
      </w:pPr>
      <w:r w:rsidRPr="00DC5899">
        <w:rPr>
          <w:rFonts w:ascii="Verdana" w:hAnsi="Verdana"/>
          <w:sz w:val="18"/>
        </w:rPr>
        <w:t>L’annexe I est supprimée.</w:t>
      </w:r>
    </w:p>
    <w:p w14:paraId="69114E64" w14:textId="05C5B04C" w:rsidR="00F6533C" w:rsidRPr="00DC5899" w:rsidRDefault="00BB07D4" w:rsidP="00E17C57">
      <w:pPr>
        <w:pStyle w:val="ListParagraph"/>
        <w:numPr>
          <w:ilvl w:val="0"/>
          <w:numId w:val="23"/>
        </w:numPr>
        <w:rPr>
          <w:rFonts w:ascii="Verdana" w:hAnsi="Verdana"/>
          <w:sz w:val="18"/>
          <w:szCs w:val="18"/>
        </w:rPr>
      </w:pPr>
      <w:r w:rsidRPr="00DC5899">
        <w:rPr>
          <w:rFonts w:ascii="Verdana" w:hAnsi="Verdana"/>
          <w:sz w:val="18"/>
        </w:rPr>
        <w:t>Le texte</w:t>
      </w:r>
      <w:r w:rsidR="004C32BB" w:rsidRPr="00DC5899">
        <w:rPr>
          <w:rFonts w:ascii="Verdana" w:hAnsi="Verdana"/>
          <w:sz w:val="18"/>
        </w:rPr>
        <w:t> </w:t>
      </w:r>
      <w:r w:rsidRPr="00DC5899">
        <w:rPr>
          <w:rFonts w:ascii="Verdana" w:hAnsi="Verdana"/>
          <w:sz w:val="18"/>
        </w:rPr>
        <w:t>«II. Les plantes et champignons suivants:» est remplacé par «Les plantes et les champignons visés à l’article</w:t>
      </w:r>
      <w:r w:rsidR="004C32BB" w:rsidRPr="00DC5899">
        <w:rPr>
          <w:rFonts w:ascii="Verdana" w:hAnsi="Verdana"/>
          <w:sz w:val="18"/>
        </w:rPr>
        <w:t> </w:t>
      </w:r>
      <w:r w:rsidRPr="00DC5899">
        <w:rPr>
          <w:rFonts w:ascii="Verdana" w:hAnsi="Verdana"/>
          <w:sz w:val="18"/>
        </w:rPr>
        <w:t>4, paragraphe</w:t>
      </w:r>
      <w:r w:rsidR="004C32BB" w:rsidRPr="00DC5899">
        <w:rPr>
          <w:rFonts w:ascii="Verdana" w:hAnsi="Verdana"/>
          <w:sz w:val="18"/>
        </w:rPr>
        <w:t> </w:t>
      </w:r>
      <w:r w:rsidRPr="00DC5899">
        <w:rPr>
          <w:rFonts w:ascii="Verdana" w:hAnsi="Verdana"/>
          <w:sz w:val="18"/>
        </w:rPr>
        <w:t>3, sont:».</w:t>
      </w:r>
    </w:p>
    <w:p w14:paraId="57F95141" w14:textId="77777777" w:rsidR="00740EC3" w:rsidRPr="00DC5899" w:rsidRDefault="00740EC3" w:rsidP="00E17C57">
      <w:pPr>
        <w:pStyle w:val="ListParagraph"/>
        <w:keepNext/>
        <w:keepLines/>
        <w:numPr>
          <w:ilvl w:val="0"/>
          <w:numId w:val="23"/>
        </w:numPr>
        <w:rPr>
          <w:rFonts w:ascii="Verdana" w:hAnsi="Verdana"/>
          <w:sz w:val="18"/>
          <w:szCs w:val="18"/>
        </w:rPr>
      </w:pPr>
      <w:r w:rsidRPr="00DC5899">
        <w:rPr>
          <w:rFonts w:ascii="Verdana" w:hAnsi="Verdana"/>
          <w:sz w:val="18"/>
        </w:rPr>
        <w:t>Les éléments suivants sont insérés par ordre alphabétique:</w:t>
      </w:r>
    </w:p>
    <w:p w14:paraId="12AF1F48" w14:textId="77777777" w:rsidR="00183469" w:rsidRPr="00DC5899" w:rsidRDefault="00740EC3" w:rsidP="00E17C57">
      <w:pPr>
        <w:ind w:left="1919" w:firstLine="709"/>
        <w:rPr>
          <w:rFonts w:ascii="Verdana" w:hAnsi="Verdana"/>
          <w:sz w:val="18"/>
          <w:szCs w:val="18"/>
        </w:rPr>
      </w:pPr>
      <w:proofErr w:type="spellStart"/>
      <w:r w:rsidRPr="00DC5899">
        <w:rPr>
          <w:rFonts w:ascii="Verdana" w:hAnsi="Verdana"/>
          <w:sz w:val="18"/>
        </w:rPr>
        <w:t>Aconitum</w:t>
      </w:r>
      <w:proofErr w:type="spellEnd"/>
      <w:r w:rsidRPr="00DC5899">
        <w:rPr>
          <w:rFonts w:ascii="Verdana" w:hAnsi="Verdana"/>
          <w:sz w:val="18"/>
        </w:rPr>
        <w:t xml:space="preserve"> </w:t>
      </w:r>
      <w:proofErr w:type="spellStart"/>
      <w:r w:rsidRPr="00DC5899">
        <w:rPr>
          <w:rFonts w:ascii="Verdana" w:hAnsi="Verdana"/>
          <w:sz w:val="18"/>
        </w:rPr>
        <w:t>carmichaelii</w:t>
      </w:r>
      <w:proofErr w:type="spellEnd"/>
      <w:r w:rsidRPr="00DC5899">
        <w:rPr>
          <w:rFonts w:ascii="Verdana" w:hAnsi="Verdana"/>
          <w:sz w:val="18"/>
        </w:rPr>
        <w:t>;</w:t>
      </w:r>
    </w:p>
    <w:p w14:paraId="634FB983" w14:textId="77777777" w:rsidR="00740EC3" w:rsidRPr="00DC5899" w:rsidRDefault="00740EC3" w:rsidP="00E17C57">
      <w:pPr>
        <w:ind w:left="1919" w:firstLine="709"/>
        <w:rPr>
          <w:rFonts w:ascii="Verdana" w:hAnsi="Verdana"/>
          <w:sz w:val="18"/>
          <w:szCs w:val="18"/>
        </w:rPr>
      </w:pPr>
      <w:proofErr w:type="spellStart"/>
      <w:r w:rsidRPr="00DC5899">
        <w:rPr>
          <w:rFonts w:ascii="Verdana" w:hAnsi="Verdana"/>
          <w:sz w:val="18"/>
        </w:rPr>
        <w:t>Aconitum</w:t>
      </w:r>
      <w:proofErr w:type="spellEnd"/>
      <w:r w:rsidRPr="00DC5899">
        <w:rPr>
          <w:rFonts w:ascii="Verdana" w:hAnsi="Verdana"/>
          <w:sz w:val="18"/>
        </w:rPr>
        <w:t xml:space="preserve"> </w:t>
      </w:r>
      <w:proofErr w:type="spellStart"/>
      <w:r w:rsidRPr="00DC5899">
        <w:rPr>
          <w:rFonts w:ascii="Verdana" w:hAnsi="Verdana"/>
          <w:sz w:val="18"/>
        </w:rPr>
        <w:t>kusnezoffii</w:t>
      </w:r>
      <w:proofErr w:type="spellEnd"/>
      <w:r w:rsidRPr="00DC5899">
        <w:rPr>
          <w:rFonts w:ascii="Verdana" w:hAnsi="Verdana"/>
          <w:sz w:val="18"/>
        </w:rPr>
        <w:t>;</w:t>
      </w:r>
    </w:p>
    <w:p w14:paraId="048CC4D0" w14:textId="77777777" w:rsidR="00740EC3" w:rsidRPr="00DC5899" w:rsidRDefault="00740EC3" w:rsidP="00E17C57">
      <w:pPr>
        <w:ind w:left="1919" w:firstLine="709"/>
        <w:rPr>
          <w:rFonts w:ascii="Verdana" w:hAnsi="Verdana"/>
          <w:sz w:val="18"/>
          <w:szCs w:val="18"/>
        </w:rPr>
      </w:pPr>
      <w:proofErr w:type="spellStart"/>
      <w:r w:rsidRPr="00DC5899">
        <w:rPr>
          <w:rFonts w:ascii="Verdana" w:hAnsi="Verdana"/>
          <w:sz w:val="18"/>
        </w:rPr>
        <w:t>Pilocarpus</w:t>
      </w:r>
      <w:proofErr w:type="spellEnd"/>
      <w:r w:rsidRPr="00DC5899">
        <w:rPr>
          <w:rFonts w:ascii="Verdana" w:hAnsi="Verdana"/>
          <w:sz w:val="18"/>
        </w:rPr>
        <w:t xml:space="preserve"> jaborandi.</w:t>
      </w:r>
    </w:p>
    <w:p w14:paraId="27671A75" w14:textId="77777777" w:rsidR="00183469" w:rsidRPr="00DC5899" w:rsidRDefault="00BB551C" w:rsidP="00147025">
      <w:pPr>
        <w:pStyle w:val="ListParagraph"/>
        <w:numPr>
          <w:ilvl w:val="0"/>
          <w:numId w:val="23"/>
        </w:numPr>
        <w:rPr>
          <w:rFonts w:ascii="Verdana" w:hAnsi="Verdana"/>
          <w:sz w:val="18"/>
          <w:szCs w:val="18"/>
        </w:rPr>
      </w:pPr>
      <w:r w:rsidRPr="00DC5899">
        <w:rPr>
          <w:rFonts w:ascii="Verdana" w:hAnsi="Verdana"/>
          <w:sz w:val="18"/>
        </w:rPr>
        <w:t>«</w:t>
      </w:r>
      <w:proofErr w:type="spellStart"/>
      <w:r w:rsidRPr="00DC5899">
        <w:rPr>
          <w:rFonts w:ascii="Verdana" w:hAnsi="Verdana"/>
          <w:sz w:val="18"/>
        </w:rPr>
        <w:t>Brassica</w:t>
      </w:r>
      <w:proofErr w:type="spellEnd"/>
      <w:r w:rsidRPr="00DC5899">
        <w:rPr>
          <w:rFonts w:ascii="Verdana" w:hAnsi="Verdana"/>
          <w:sz w:val="18"/>
        </w:rPr>
        <w:t xml:space="preserve"> </w:t>
      </w:r>
      <w:proofErr w:type="spellStart"/>
      <w:r w:rsidRPr="00DC5899">
        <w:rPr>
          <w:rFonts w:ascii="Verdana" w:hAnsi="Verdana"/>
          <w:sz w:val="18"/>
        </w:rPr>
        <w:t>nigra</w:t>
      </w:r>
      <w:proofErr w:type="spellEnd"/>
      <w:r w:rsidRPr="00DC5899">
        <w:rPr>
          <w:rFonts w:ascii="Verdana" w:hAnsi="Verdana"/>
          <w:sz w:val="18"/>
        </w:rPr>
        <w:t xml:space="preserve"> (moutarde noire), à l’exception de l’utilisation dans les denrées alimentaires de la graine </w:t>
      </w:r>
      <w:proofErr w:type="spellStart"/>
      <w:r w:rsidRPr="00DC5899">
        <w:rPr>
          <w:rFonts w:ascii="Verdana" w:hAnsi="Verdana"/>
          <w:sz w:val="18"/>
        </w:rPr>
        <w:t>Bryonia</w:t>
      </w:r>
      <w:proofErr w:type="spellEnd"/>
      <w:r w:rsidRPr="00DC5899">
        <w:rPr>
          <w:rFonts w:ascii="Verdana" w:hAnsi="Verdana"/>
          <w:sz w:val="18"/>
        </w:rPr>
        <w:t xml:space="preserve"> alba (bryone)» est remplacé par «</w:t>
      </w:r>
      <w:proofErr w:type="spellStart"/>
      <w:r w:rsidRPr="00DC5899">
        <w:rPr>
          <w:rFonts w:ascii="Verdana" w:hAnsi="Verdana"/>
          <w:sz w:val="18"/>
        </w:rPr>
        <w:t>Brassica</w:t>
      </w:r>
      <w:proofErr w:type="spellEnd"/>
      <w:r w:rsidRPr="00DC5899">
        <w:rPr>
          <w:rFonts w:ascii="Verdana" w:hAnsi="Verdana"/>
          <w:sz w:val="18"/>
        </w:rPr>
        <w:t xml:space="preserve"> </w:t>
      </w:r>
      <w:proofErr w:type="spellStart"/>
      <w:r w:rsidRPr="00DC5899">
        <w:rPr>
          <w:rFonts w:ascii="Verdana" w:hAnsi="Verdana"/>
          <w:sz w:val="18"/>
        </w:rPr>
        <w:t>nigra</w:t>
      </w:r>
      <w:proofErr w:type="spellEnd"/>
      <w:r w:rsidRPr="00DC5899">
        <w:rPr>
          <w:rFonts w:ascii="Verdana" w:hAnsi="Verdana"/>
          <w:sz w:val="18"/>
        </w:rPr>
        <w:t xml:space="preserve"> (moutarde noire), à l’exception de l’utilisation dans les denrées alimentaires de la graine </w:t>
      </w:r>
      <w:proofErr w:type="spellStart"/>
      <w:r w:rsidRPr="00DC5899">
        <w:rPr>
          <w:rFonts w:ascii="Verdana" w:hAnsi="Verdana"/>
          <w:sz w:val="18"/>
        </w:rPr>
        <w:t>Bryonia</w:t>
      </w:r>
      <w:proofErr w:type="spellEnd"/>
      <w:r w:rsidRPr="00DC5899">
        <w:rPr>
          <w:rFonts w:ascii="Verdana" w:hAnsi="Verdana"/>
          <w:sz w:val="18"/>
        </w:rPr>
        <w:t xml:space="preserve"> alba (bryone)».</w:t>
      </w:r>
    </w:p>
    <w:p w14:paraId="396ECB81" w14:textId="77777777" w:rsidR="00740EC3" w:rsidRPr="00DC5899" w:rsidRDefault="00740EC3" w:rsidP="00E17C57">
      <w:pPr>
        <w:pStyle w:val="ListParagraph"/>
        <w:numPr>
          <w:ilvl w:val="0"/>
          <w:numId w:val="23"/>
        </w:numPr>
        <w:rPr>
          <w:rFonts w:ascii="Verdana" w:hAnsi="Verdana"/>
          <w:sz w:val="18"/>
          <w:szCs w:val="18"/>
        </w:rPr>
      </w:pPr>
      <w:r w:rsidRPr="00DC5899">
        <w:rPr>
          <w:rFonts w:ascii="Verdana" w:hAnsi="Verdana"/>
          <w:sz w:val="18"/>
        </w:rPr>
        <w:t>Les termes «</w:t>
      </w:r>
      <w:proofErr w:type="spellStart"/>
      <w:r w:rsidRPr="00DC5899">
        <w:rPr>
          <w:rFonts w:ascii="Verdana" w:hAnsi="Verdana"/>
          <w:sz w:val="18"/>
        </w:rPr>
        <w:t>Citrullus</w:t>
      </w:r>
      <w:proofErr w:type="spellEnd"/>
      <w:r w:rsidRPr="00DC5899">
        <w:rPr>
          <w:rFonts w:ascii="Verdana" w:hAnsi="Verdana"/>
          <w:sz w:val="18"/>
        </w:rPr>
        <w:t xml:space="preserve"> </w:t>
      </w:r>
      <w:proofErr w:type="spellStart"/>
      <w:r w:rsidRPr="00DC5899">
        <w:rPr>
          <w:rFonts w:ascii="Verdana" w:hAnsi="Verdana"/>
          <w:sz w:val="18"/>
        </w:rPr>
        <w:t>colocynthidis</w:t>
      </w:r>
      <w:proofErr w:type="spellEnd"/>
      <w:r w:rsidRPr="00DC5899">
        <w:rPr>
          <w:rFonts w:ascii="Verdana" w:hAnsi="Verdana"/>
          <w:sz w:val="18"/>
        </w:rPr>
        <w:t>» sont remplacés par «</w:t>
      </w:r>
      <w:proofErr w:type="spellStart"/>
      <w:r w:rsidRPr="00DC5899">
        <w:rPr>
          <w:rFonts w:ascii="Verdana" w:hAnsi="Verdana"/>
          <w:sz w:val="18"/>
        </w:rPr>
        <w:t>Citrullus</w:t>
      </w:r>
      <w:proofErr w:type="spellEnd"/>
      <w:r w:rsidRPr="00DC5899">
        <w:rPr>
          <w:rFonts w:ascii="Verdana" w:hAnsi="Verdana"/>
          <w:sz w:val="18"/>
        </w:rPr>
        <w:t xml:space="preserve"> </w:t>
      </w:r>
      <w:proofErr w:type="spellStart"/>
      <w:r w:rsidRPr="00DC5899">
        <w:rPr>
          <w:rFonts w:ascii="Verdana" w:hAnsi="Verdana"/>
          <w:sz w:val="18"/>
        </w:rPr>
        <w:t>colocynthis</w:t>
      </w:r>
      <w:proofErr w:type="spellEnd"/>
      <w:r w:rsidRPr="00DC5899">
        <w:rPr>
          <w:rFonts w:ascii="Verdana" w:hAnsi="Verdana"/>
          <w:sz w:val="18"/>
        </w:rPr>
        <w:t xml:space="preserve">». </w:t>
      </w:r>
    </w:p>
    <w:p w14:paraId="6A81D4E6" w14:textId="77777777" w:rsidR="00740EC3" w:rsidRPr="00DC5899" w:rsidRDefault="00740EC3" w:rsidP="00E17C57">
      <w:pPr>
        <w:pStyle w:val="ListParagraph"/>
        <w:numPr>
          <w:ilvl w:val="0"/>
          <w:numId w:val="23"/>
        </w:numPr>
        <w:rPr>
          <w:rFonts w:ascii="Verdana" w:hAnsi="Verdana"/>
          <w:sz w:val="18"/>
          <w:szCs w:val="18"/>
        </w:rPr>
      </w:pPr>
      <w:r w:rsidRPr="00DC5899">
        <w:rPr>
          <w:rFonts w:ascii="Verdana" w:hAnsi="Verdana"/>
          <w:sz w:val="18"/>
        </w:rPr>
        <w:t>Les termes «</w:t>
      </w:r>
      <w:proofErr w:type="spellStart"/>
      <w:r w:rsidRPr="00DC5899">
        <w:rPr>
          <w:rFonts w:ascii="Verdana" w:hAnsi="Verdana"/>
          <w:sz w:val="18"/>
        </w:rPr>
        <w:t>Mallotus</w:t>
      </w:r>
      <w:proofErr w:type="spellEnd"/>
      <w:r w:rsidRPr="00DC5899">
        <w:rPr>
          <w:rFonts w:ascii="Verdana" w:hAnsi="Verdana"/>
          <w:sz w:val="18"/>
        </w:rPr>
        <w:t xml:space="preserve"> </w:t>
      </w:r>
      <w:proofErr w:type="spellStart"/>
      <w:r w:rsidRPr="00DC5899">
        <w:rPr>
          <w:rFonts w:ascii="Verdana" w:hAnsi="Verdana"/>
          <w:sz w:val="18"/>
        </w:rPr>
        <w:t>philipinensis</w:t>
      </w:r>
      <w:proofErr w:type="spellEnd"/>
      <w:r w:rsidRPr="00DC5899">
        <w:rPr>
          <w:rFonts w:ascii="Verdana" w:hAnsi="Verdana"/>
          <w:sz w:val="18"/>
        </w:rPr>
        <w:t>» sont remplacés par «</w:t>
      </w:r>
      <w:proofErr w:type="spellStart"/>
      <w:r w:rsidRPr="00DC5899">
        <w:rPr>
          <w:rFonts w:ascii="Verdana" w:hAnsi="Verdana"/>
          <w:sz w:val="18"/>
        </w:rPr>
        <w:t>Mallotus</w:t>
      </w:r>
      <w:proofErr w:type="spellEnd"/>
      <w:r w:rsidRPr="00DC5899">
        <w:rPr>
          <w:rFonts w:ascii="Verdana" w:hAnsi="Verdana"/>
          <w:sz w:val="18"/>
        </w:rPr>
        <w:t xml:space="preserve"> </w:t>
      </w:r>
      <w:proofErr w:type="spellStart"/>
      <w:r w:rsidRPr="00DC5899">
        <w:rPr>
          <w:rFonts w:ascii="Verdana" w:hAnsi="Verdana"/>
          <w:sz w:val="18"/>
        </w:rPr>
        <w:t>philippensis</w:t>
      </w:r>
      <w:proofErr w:type="spellEnd"/>
      <w:r w:rsidRPr="00DC5899">
        <w:rPr>
          <w:rFonts w:ascii="Verdana" w:hAnsi="Verdana"/>
          <w:sz w:val="18"/>
        </w:rPr>
        <w:t xml:space="preserve">». </w:t>
      </w:r>
    </w:p>
    <w:p w14:paraId="11D16EDF" w14:textId="77777777" w:rsidR="00740EC3" w:rsidRPr="00DC5899" w:rsidRDefault="00740EC3" w:rsidP="00E17C57">
      <w:pPr>
        <w:pStyle w:val="ListParagraph"/>
        <w:numPr>
          <w:ilvl w:val="0"/>
          <w:numId w:val="23"/>
        </w:numPr>
        <w:rPr>
          <w:rFonts w:ascii="Verdana" w:hAnsi="Verdana"/>
          <w:sz w:val="18"/>
          <w:szCs w:val="18"/>
        </w:rPr>
      </w:pPr>
      <w:r w:rsidRPr="00DC5899">
        <w:rPr>
          <w:rFonts w:ascii="Verdana" w:hAnsi="Verdana"/>
          <w:sz w:val="18"/>
        </w:rPr>
        <w:t>Les termes «</w:t>
      </w:r>
      <w:proofErr w:type="spellStart"/>
      <w:r w:rsidRPr="00DC5899">
        <w:rPr>
          <w:rFonts w:ascii="Verdana" w:hAnsi="Verdana"/>
          <w:sz w:val="18"/>
        </w:rPr>
        <w:t>Mandragora</w:t>
      </w:r>
      <w:proofErr w:type="spellEnd"/>
      <w:r w:rsidRPr="00DC5899">
        <w:rPr>
          <w:rFonts w:ascii="Verdana" w:hAnsi="Verdana"/>
          <w:sz w:val="18"/>
        </w:rPr>
        <w:t xml:space="preserve"> </w:t>
      </w:r>
      <w:proofErr w:type="spellStart"/>
      <w:r w:rsidRPr="00DC5899">
        <w:rPr>
          <w:rFonts w:ascii="Verdana" w:hAnsi="Verdana"/>
          <w:sz w:val="18"/>
        </w:rPr>
        <w:t>officinalis</w:t>
      </w:r>
      <w:proofErr w:type="spellEnd"/>
      <w:r w:rsidRPr="00DC5899">
        <w:rPr>
          <w:rFonts w:ascii="Verdana" w:hAnsi="Verdana"/>
          <w:sz w:val="18"/>
        </w:rPr>
        <w:t>» sont remplacés par «</w:t>
      </w:r>
      <w:proofErr w:type="spellStart"/>
      <w:r w:rsidRPr="00DC5899">
        <w:rPr>
          <w:rFonts w:ascii="Verdana" w:hAnsi="Verdana"/>
          <w:sz w:val="18"/>
        </w:rPr>
        <w:t>Mandragora</w:t>
      </w:r>
      <w:proofErr w:type="spellEnd"/>
      <w:r w:rsidRPr="00DC5899">
        <w:rPr>
          <w:rFonts w:ascii="Verdana" w:hAnsi="Verdana"/>
          <w:sz w:val="18"/>
        </w:rPr>
        <w:t xml:space="preserve"> </w:t>
      </w:r>
      <w:proofErr w:type="spellStart"/>
      <w:r w:rsidRPr="00DC5899">
        <w:rPr>
          <w:rFonts w:ascii="Verdana" w:hAnsi="Verdana"/>
          <w:sz w:val="18"/>
        </w:rPr>
        <w:t>officinarum</w:t>
      </w:r>
      <w:proofErr w:type="spellEnd"/>
      <w:r w:rsidRPr="00DC5899">
        <w:rPr>
          <w:rFonts w:ascii="Verdana" w:hAnsi="Verdana"/>
          <w:sz w:val="18"/>
        </w:rPr>
        <w:t>».</w:t>
      </w:r>
    </w:p>
    <w:p w14:paraId="2A972965" w14:textId="77777777" w:rsidR="00BB551C" w:rsidRPr="00DC5899" w:rsidRDefault="00740EC3" w:rsidP="00E17C57">
      <w:pPr>
        <w:pStyle w:val="ListParagraph"/>
        <w:numPr>
          <w:ilvl w:val="0"/>
          <w:numId w:val="23"/>
        </w:numPr>
        <w:rPr>
          <w:rFonts w:ascii="Verdana" w:hAnsi="Verdana"/>
          <w:sz w:val="18"/>
          <w:szCs w:val="18"/>
        </w:rPr>
      </w:pPr>
      <w:r w:rsidRPr="00DC5899">
        <w:rPr>
          <w:rFonts w:ascii="Verdana" w:hAnsi="Verdana"/>
          <w:sz w:val="18"/>
        </w:rPr>
        <w:t>Les termes «</w:t>
      </w:r>
      <w:proofErr w:type="spellStart"/>
      <w:r w:rsidRPr="00DC5899">
        <w:rPr>
          <w:rFonts w:ascii="Verdana" w:hAnsi="Verdana"/>
          <w:sz w:val="18"/>
        </w:rPr>
        <w:t>Pausinystalia</w:t>
      </w:r>
      <w:proofErr w:type="spellEnd"/>
      <w:r w:rsidRPr="00DC5899">
        <w:rPr>
          <w:rFonts w:ascii="Verdana" w:hAnsi="Verdana"/>
          <w:sz w:val="18"/>
        </w:rPr>
        <w:t xml:space="preserve"> </w:t>
      </w:r>
      <w:proofErr w:type="spellStart"/>
      <w:r w:rsidRPr="00DC5899">
        <w:rPr>
          <w:rFonts w:ascii="Verdana" w:hAnsi="Verdana"/>
          <w:sz w:val="18"/>
        </w:rPr>
        <w:t>yohimbe</w:t>
      </w:r>
      <w:proofErr w:type="spellEnd"/>
      <w:r w:rsidRPr="00DC5899">
        <w:rPr>
          <w:rFonts w:ascii="Verdana" w:hAnsi="Verdana"/>
          <w:sz w:val="18"/>
        </w:rPr>
        <w:t xml:space="preserve"> ou </w:t>
      </w:r>
      <w:proofErr w:type="spellStart"/>
      <w:r w:rsidRPr="00DC5899">
        <w:rPr>
          <w:rFonts w:ascii="Verdana" w:hAnsi="Verdana"/>
          <w:sz w:val="18"/>
        </w:rPr>
        <w:t>Coynanthe</w:t>
      </w:r>
      <w:proofErr w:type="spellEnd"/>
      <w:r w:rsidRPr="00DC5899">
        <w:rPr>
          <w:rFonts w:ascii="Verdana" w:hAnsi="Verdana"/>
          <w:sz w:val="18"/>
        </w:rPr>
        <w:t xml:space="preserve"> </w:t>
      </w:r>
      <w:proofErr w:type="spellStart"/>
      <w:r w:rsidRPr="00DC5899">
        <w:rPr>
          <w:rFonts w:ascii="Verdana" w:hAnsi="Verdana"/>
          <w:sz w:val="18"/>
        </w:rPr>
        <w:t>yohimbe</w:t>
      </w:r>
      <w:proofErr w:type="spellEnd"/>
      <w:r w:rsidRPr="00DC5899">
        <w:rPr>
          <w:rFonts w:ascii="Verdana" w:hAnsi="Verdana"/>
          <w:sz w:val="18"/>
        </w:rPr>
        <w:t>» sont remplacés par «</w:t>
      </w:r>
      <w:proofErr w:type="spellStart"/>
      <w:r w:rsidRPr="00DC5899">
        <w:rPr>
          <w:rFonts w:ascii="Verdana" w:hAnsi="Verdana"/>
          <w:sz w:val="18"/>
        </w:rPr>
        <w:t>Pausinystalia</w:t>
      </w:r>
      <w:proofErr w:type="spellEnd"/>
      <w:r w:rsidRPr="00DC5899">
        <w:rPr>
          <w:rFonts w:ascii="Verdana" w:hAnsi="Verdana"/>
          <w:sz w:val="18"/>
        </w:rPr>
        <w:t xml:space="preserve"> </w:t>
      </w:r>
      <w:proofErr w:type="spellStart"/>
      <w:r w:rsidRPr="00DC5899">
        <w:rPr>
          <w:rFonts w:ascii="Verdana" w:hAnsi="Verdana"/>
          <w:sz w:val="18"/>
        </w:rPr>
        <w:t>yohimbe</w:t>
      </w:r>
      <w:proofErr w:type="spellEnd"/>
      <w:r w:rsidRPr="00DC5899">
        <w:rPr>
          <w:rFonts w:ascii="Verdana" w:hAnsi="Verdana"/>
          <w:sz w:val="18"/>
        </w:rPr>
        <w:t xml:space="preserve"> ou </w:t>
      </w:r>
      <w:proofErr w:type="spellStart"/>
      <w:r w:rsidRPr="00DC5899">
        <w:rPr>
          <w:rFonts w:ascii="Verdana" w:hAnsi="Verdana"/>
          <w:sz w:val="18"/>
        </w:rPr>
        <w:t>Corynanthe</w:t>
      </w:r>
      <w:proofErr w:type="spellEnd"/>
      <w:r w:rsidRPr="00DC5899">
        <w:rPr>
          <w:rFonts w:ascii="Verdana" w:hAnsi="Verdana"/>
          <w:sz w:val="18"/>
        </w:rPr>
        <w:t xml:space="preserve"> </w:t>
      </w:r>
      <w:proofErr w:type="spellStart"/>
      <w:r w:rsidRPr="00DC5899">
        <w:rPr>
          <w:rFonts w:ascii="Verdana" w:hAnsi="Verdana"/>
          <w:sz w:val="18"/>
        </w:rPr>
        <w:t>johimbe</w:t>
      </w:r>
      <w:proofErr w:type="spellEnd"/>
      <w:r w:rsidRPr="00DC5899">
        <w:rPr>
          <w:rFonts w:ascii="Verdana" w:hAnsi="Verdana"/>
          <w:sz w:val="18"/>
        </w:rPr>
        <w:t>».</w:t>
      </w:r>
    </w:p>
    <w:p w14:paraId="041BCD01" w14:textId="5283FB9A" w:rsidR="00740EC3" w:rsidRPr="00DC5899" w:rsidRDefault="00BB551C" w:rsidP="00E17C57">
      <w:pPr>
        <w:pStyle w:val="ListParagraph"/>
        <w:numPr>
          <w:ilvl w:val="0"/>
          <w:numId w:val="23"/>
        </w:numPr>
        <w:rPr>
          <w:rFonts w:ascii="Verdana" w:hAnsi="Verdana"/>
          <w:sz w:val="18"/>
          <w:szCs w:val="18"/>
        </w:rPr>
      </w:pPr>
      <w:r w:rsidRPr="00DC5899">
        <w:rPr>
          <w:rFonts w:ascii="Verdana" w:hAnsi="Verdana"/>
          <w:sz w:val="18"/>
        </w:rPr>
        <w:t>La deuxième colonne avec le chiffre</w:t>
      </w:r>
      <w:r w:rsidR="004C32BB" w:rsidRPr="00DC5899">
        <w:rPr>
          <w:rFonts w:ascii="Verdana" w:hAnsi="Verdana"/>
          <w:sz w:val="18"/>
        </w:rPr>
        <w:t> </w:t>
      </w:r>
      <w:r w:rsidRPr="00DC5899">
        <w:rPr>
          <w:rFonts w:ascii="Verdana" w:hAnsi="Verdana"/>
          <w:sz w:val="18"/>
        </w:rPr>
        <w:t>«1» est supprimée.</w:t>
      </w:r>
    </w:p>
    <w:p w14:paraId="39945384" w14:textId="77777777" w:rsidR="007E7D62" w:rsidRPr="00DC5899" w:rsidRDefault="007E7D62" w:rsidP="00E17C57">
      <w:pPr>
        <w:ind w:left="2268"/>
        <w:rPr>
          <w:rFonts w:ascii="Verdana" w:hAnsi="Verdana"/>
          <w:sz w:val="18"/>
          <w:szCs w:val="18"/>
        </w:rPr>
      </w:pPr>
    </w:p>
    <w:p w14:paraId="0A54B29E" w14:textId="77777777" w:rsidR="00E17C57" w:rsidRPr="00DC5899" w:rsidRDefault="00E17C57" w:rsidP="00E17C57">
      <w:pPr>
        <w:ind w:left="2268"/>
        <w:rPr>
          <w:rFonts w:ascii="Verdana" w:hAnsi="Verdana"/>
          <w:sz w:val="18"/>
          <w:szCs w:val="18"/>
        </w:rPr>
      </w:pPr>
    </w:p>
    <w:p w14:paraId="6E550BB2" w14:textId="77777777" w:rsidR="00F517C1" w:rsidRPr="00DC5899" w:rsidRDefault="00F517C1" w:rsidP="00E17C57">
      <w:pPr>
        <w:keepNext/>
        <w:keepLines/>
        <w:ind w:left="2268"/>
        <w:rPr>
          <w:rFonts w:ascii="Verdana" w:hAnsi="Verdana"/>
          <w:b/>
          <w:sz w:val="18"/>
          <w:szCs w:val="18"/>
        </w:rPr>
      </w:pPr>
      <w:r w:rsidRPr="00DC5899">
        <w:rPr>
          <w:rFonts w:ascii="Verdana" w:hAnsi="Verdana"/>
          <w:b/>
          <w:sz w:val="18"/>
        </w:rPr>
        <w:t>Article II</w:t>
      </w:r>
    </w:p>
    <w:p w14:paraId="4FAEA3A0" w14:textId="77777777" w:rsidR="00F517C1" w:rsidRPr="00DC5899" w:rsidRDefault="00F517C1" w:rsidP="00E17C57">
      <w:pPr>
        <w:keepNext/>
        <w:keepLines/>
        <w:ind w:left="2268"/>
        <w:rPr>
          <w:rFonts w:ascii="Verdana" w:hAnsi="Verdana"/>
          <w:sz w:val="18"/>
          <w:szCs w:val="18"/>
        </w:rPr>
      </w:pPr>
    </w:p>
    <w:p w14:paraId="79C8039E" w14:textId="77777777" w:rsidR="00F517C1" w:rsidRPr="00DC5899" w:rsidRDefault="008E734A" w:rsidP="00E17C57">
      <w:pPr>
        <w:keepNext/>
        <w:keepLines/>
        <w:ind w:left="2268"/>
        <w:rPr>
          <w:rFonts w:ascii="Verdana" w:hAnsi="Verdana"/>
          <w:sz w:val="18"/>
          <w:szCs w:val="18"/>
        </w:rPr>
      </w:pPr>
      <w:r w:rsidRPr="00DC5899">
        <w:rPr>
          <w:rFonts w:ascii="Verdana" w:hAnsi="Verdana"/>
          <w:sz w:val="18"/>
        </w:rPr>
        <w:t>Dans la rubrique C-22 de l’annexe du décret adopté en vertu de la loi sur les denrées alimentaires relatif aux amendes administratives sont insérés:</w:t>
      </w:r>
    </w:p>
    <w:tbl>
      <w:tblPr>
        <w:tblStyle w:val="TableGrid"/>
        <w:tblW w:w="0" w:type="auto"/>
        <w:tblInd w:w="2268" w:type="dxa"/>
        <w:tblLook w:val="04A0" w:firstRow="1" w:lastRow="0" w:firstColumn="1" w:lastColumn="0" w:noHBand="0" w:noVBand="1"/>
      </w:tblPr>
      <w:tblGrid>
        <w:gridCol w:w="1079"/>
        <w:gridCol w:w="3655"/>
        <w:gridCol w:w="821"/>
        <w:gridCol w:w="995"/>
        <w:gridCol w:w="401"/>
      </w:tblGrid>
      <w:tr w:rsidR="001960C4" w:rsidRPr="00DC5899" w14:paraId="5E330F03" w14:textId="77777777" w:rsidTr="00E17C57">
        <w:trPr>
          <w:cantSplit/>
        </w:trPr>
        <w:tc>
          <w:tcPr>
            <w:tcW w:w="1101" w:type="dxa"/>
          </w:tcPr>
          <w:p w14:paraId="093FC414" w14:textId="77777777" w:rsidR="001960C4" w:rsidRPr="00DC5899" w:rsidRDefault="001960C4" w:rsidP="00E17C57">
            <w:pPr>
              <w:rPr>
                <w:rFonts w:ascii="Verdana" w:hAnsi="Verdana"/>
                <w:sz w:val="18"/>
                <w:szCs w:val="18"/>
              </w:rPr>
            </w:pPr>
            <w:r w:rsidRPr="00DC5899">
              <w:rPr>
                <w:rFonts w:ascii="Verdana" w:hAnsi="Verdana"/>
                <w:sz w:val="18"/>
              </w:rPr>
              <w:t>C-22.4.1</w:t>
            </w:r>
          </w:p>
        </w:tc>
        <w:tc>
          <w:tcPr>
            <w:tcW w:w="3827" w:type="dxa"/>
          </w:tcPr>
          <w:p w14:paraId="6E51FA85" w14:textId="4E0CC572" w:rsidR="001960C4" w:rsidRPr="00DC5899" w:rsidRDefault="001960C4" w:rsidP="00E17C57">
            <w:pPr>
              <w:rPr>
                <w:rFonts w:ascii="Verdana" w:hAnsi="Verdana"/>
                <w:sz w:val="18"/>
                <w:szCs w:val="18"/>
              </w:rPr>
            </w:pPr>
            <w:r w:rsidRPr="00DC5899">
              <w:rPr>
                <w:rFonts w:ascii="Verdana" w:hAnsi="Verdana"/>
                <w:sz w:val="18"/>
              </w:rPr>
              <w:t>article</w:t>
            </w:r>
            <w:r w:rsidR="004C32BB" w:rsidRPr="00DC5899">
              <w:rPr>
                <w:rFonts w:ascii="Verdana" w:hAnsi="Verdana"/>
                <w:sz w:val="18"/>
              </w:rPr>
              <w:t> </w:t>
            </w:r>
            <w:r w:rsidRPr="00DC5899">
              <w:rPr>
                <w:rFonts w:ascii="Verdana" w:hAnsi="Verdana"/>
                <w:sz w:val="18"/>
              </w:rPr>
              <w:t>2, lu conjointement avec l’article</w:t>
            </w:r>
            <w:r w:rsidR="004C32BB" w:rsidRPr="00DC5899">
              <w:rPr>
                <w:rFonts w:ascii="Verdana" w:hAnsi="Verdana"/>
                <w:sz w:val="18"/>
              </w:rPr>
              <w:t> </w:t>
            </w:r>
            <w:r w:rsidRPr="00DC5899">
              <w:rPr>
                <w:rFonts w:ascii="Verdana" w:hAnsi="Verdana"/>
                <w:sz w:val="18"/>
              </w:rPr>
              <w:t>4, paragraphe</w:t>
            </w:r>
            <w:r w:rsidR="004C32BB" w:rsidRPr="00DC5899">
              <w:rPr>
                <w:rFonts w:ascii="Verdana" w:hAnsi="Verdana"/>
                <w:sz w:val="18"/>
              </w:rPr>
              <w:t> </w:t>
            </w:r>
            <w:r w:rsidRPr="00DC5899">
              <w:rPr>
                <w:rFonts w:ascii="Verdana" w:hAnsi="Verdana"/>
                <w:sz w:val="18"/>
              </w:rPr>
              <w:t>4</w:t>
            </w:r>
          </w:p>
        </w:tc>
        <w:tc>
          <w:tcPr>
            <w:tcW w:w="842" w:type="dxa"/>
          </w:tcPr>
          <w:p w14:paraId="5A04B68D" w14:textId="77777777" w:rsidR="001960C4" w:rsidRPr="00DC5899" w:rsidRDefault="001960C4" w:rsidP="00E17C57">
            <w:pPr>
              <w:rPr>
                <w:rFonts w:ascii="Verdana" w:hAnsi="Verdana"/>
                <w:sz w:val="18"/>
                <w:szCs w:val="18"/>
              </w:rPr>
            </w:pPr>
            <w:r w:rsidRPr="00DC5899">
              <w:rPr>
                <w:rFonts w:ascii="Verdana" w:hAnsi="Verdana"/>
                <w:sz w:val="18"/>
              </w:rPr>
              <w:t>525 €</w:t>
            </w:r>
          </w:p>
        </w:tc>
        <w:tc>
          <w:tcPr>
            <w:tcW w:w="1001" w:type="dxa"/>
          </w:tcPr>
          <w:p w14:paraId="01DC3158" w14:textId="77777777" w:rsidR="001960C4" w:rsidRPr="00DC5899" w:rsidRDefault="001960C4" w:rsidP="00E17C57">
            <w:pPr>
              <w:rPr>
                <w:rFonts w:ascii="Verdana" w:hAnsi="Verdana"/>
                <w:sz w:val="18"/>
                <w:szCs w:val="18"/>
              </w:rPr>
            </w:pPr>
            <w:r w:rsidRPr="00DC5899">
              <w:rPr>
                <w:rFonts w:ascii="Verdana" w:hAnsi="Verdana"/>
                <w:sz w:val="18"/>
              </w:rPr>
              <w:t>1 050 €</w:t>
            </w:r>
          </w:p>
        </w:tc>
        <w:tc>
          <w:tcPr>
            <w:tcW w:w="406" w:type="dxa"/>
          </w:tcPr>
          <w:p w14:paraId="775DA294" w14:textId="77777777" w:rsidR="001960C4" w:rsidRPr="00DC5899" w:rsidRDefault="001960C4" w:rsidP="00E17C57">
            <w:pPr>
              <w:rPr>
                <w:rFonts w:ascii="Verdana" w:hAnsi="Verdana"/>
                <w:sz w:val="18"/>
                <w:szCs w:val="18"/>
              </w:rPr>
            </w:pPr>
            <w:r w:rsidRPr="00DC5899">
              <w:rPr>
                <w:rFonts w:ascii="Verdana" w:hAnsi="Verdana"/>
                <w:sz w:val="18"/>
              </w:rPr>
              <w:t>X</w:t>
            </w:r>
          </w:p>
        </w:tc>
      </w:tr>
    </w:tbl>
    <w:p w14:paraId="67D3D19C" w14:textId="77777777" w:rsidR="00B67E83" w:rsidRPr="00DC5899" w:rsidRDefault="00B67E83" w:rsidP="00E17C57">
      <w:pPr>
        <w:ind w:left="2268"/>
        <w:rPr>
          <w:rFonts w:ascii="Verdana" w:hAnsi="Verdana"/>
          <w:sz w:val="18"/>
          <w:szCs w:val="18"/>
        </w:rPr>
      </w:pPr>
    </w:p>
    <w:p w14:paraId="441D409D" w14:textId="77777777" w:rsidR="001960C4" w:rsidRPr="00DC5899" w:rsidRDefault="001960C4" w:rsidP="00E17C57">
      <w:pPr>
        <w:ind w:left="2268"/>
        <w:rPr>
          <w:rFonts w:ascii="Verdana" w:hAnsi="Verdana"/>
          <w:sz w:val="18"/>
          <w:szCs w:val="18"/>
        </w:rPr>
      </w:pPr>
    </w:p>
    <w:p w14:paraId="314492F0" w14:textId="77777777" w:rsidR="00B56093" w:rsidRPr="00DC5899" w:rsidRDefault="00F517C1" w:rsidP="00E17C57">
      <w:pPr>
        <w:keepNext/>
        <w:keepLines/>
        <w:ind w:left="2268"/>
        <w:rPr>
          <w:rFonts w:ascii="Verdana" w:hAnsi="Verdana"/>
          <w:b/>
          <w:sz w:val="18"/>
          <w:szCs w:val="18"/>
        </w:rPr>
      </w:pPr>
      <w:r w:rsidRPr="00DC5899">
        <w:rPr>
          <w:rFonts w:ascii="Verdana" w:hAnsi="Verdana"/>
          <w:b/>
          <w:sz w:val="18"/>
        </w:rPr>
        <w:t>Article III</w:t>
      </w:r>
    </w:p>
    <w:p w14:paraId="2EC5DB1A" w14:textId="77777777" w:rsidR="00B56093" w:rsidRPr="00DC5899" w:rsidRDefault="00B56093" w:rsidP="00E17C57">
      <w:pPr>
        <w:keepNext/>
        <w:keepLines/>
        <w:ind w:left="2268"/>
        <w:rPr>
          <w:rFonts w:ascii="Verdana" w:hAnsi="Verdana"/>
          <w:sz w:val="18"/>
          <w:szCs w:val="18"/>
        </w:rPr>
      </w:pPr>
    </w:p>
    <w:p w14:paraId="77734D15" w14:textId="4A9A723B" w:rsidR="00D9610F" w:rsidRPr="00DC5899" w:rsidRDefault="00D9610F" w:rsidP="00E17C57">
      <w:pPr>
        <w:ind w:left="2836" w:hanging="568"/>
        <w:rPr>
          <w:rFonts w:ascii="Verdana" w:hAnsi="Verdana"/>
          <w:sz w:val="18"/>
          <w:szCs w:val="18"/>
        </w:rPr>
      </w:pPr>
      <w:r w:rsidRPr="00DC5899">
        <w:rPr>
          <w:rFonts w:ascii="Verdana" w:hAnsi="Verdana"/>
          <w:sz w:val="18"/>
        </w:rPr>
        <w:t>Le présent décret entre en vigueur le 1</w:t>
      </w:r>
      <w:r w:rsidRPr="00DC5899">
        <w:rPr>
          <w:rFonts w:ascii="Verdana" w:hAnsi="Verdana"/>
          <w:sz w:val="18"/>
          <w:vertAlign w:val="superscript"/>
        </w:rPr>
        <w:t>er</w:t>
      </w:r>
      <w:r w:rsidR="004C32BB" w:rsidRPr="00DC5899">
        <w:rPr>
          <w:rFonts w:ascii="Verdana" w:hAnsi="Verdana"/>
          <w:sz w:val="18"/>
          <w:vertAlign w:val="superscript"/>
        </w:rPr>
        <w:t> </w:t>
      </w:r>
      <w:r w:rsidRPr="00DC5899">
        <w:rPr>
          <w:rFonts w:ascii="Verdana" w:hAnsi="Verdana"/>
          <w:sz w:val="18"/>
        </w:rPr>
        <w:t>janvier</w:t>
      </w:r>
      <w:r w:rsidR="004C32BB" w:rsidRPr="00DC5899">
        <w:rPr>
          <w:rFonts w:ascii="Verdana" w:hAnsi="Verdana"/>
          <w:sz w:val="18"/>
        </w:rPr>
        <w:t> </w:t>
      </w:r>
      <w:r w:rsidRPr="00DC5899">
        <w:rPr>
          <w:rFonts w:ascii="Verdana" w:hAnsi="Verdana"/>
          <w:sz w:val="18"/>
        </w:rPr>
        <w:t>2020.</w:t>
      </w:r>
    </w:p>
    <w:p w14:paraId="1D611A43" w14:textId="77777777" w:rsidR="003143CD" w:rsidRPr="00DC5899" w:rsidRDefault="003143CD" w:rsidP="00E17C57">
      <w:pPr>
        <w:ind w:left="2268"/>
        <w:rPr>
          <w:rFonts w:ascii="Verdana" w:hAnsi="Verdana"/>
          <w:sz w:val="18"/>
          <w:szCs w:val="18"/>
        </w:rPr>
      </w:pPr>
    </w:p>
    <w:p w14:paraId="31394B17" w14:textId="77777777" w:rsidR="003143CD" w:rsidRPr="00DC5899" w:rsidRDefault="007E7D62" w:rsidP="00E17C57">
      <w:pPr>
        <w:ind w:left="2268"/>
        <w:rPr>
          <w:rFonts w:ascii="Verdana" w:hAnsi="Verdana"/>
          <w:snapToGrid w:val="0"/>
          <w:sz w:val="18"/>
          <w:szCs w:val="18"/>
        </w:rPr>
      </w:pPr>
      <w:r w:rsidRPr="00DC5899">
        <w:rPr>
          <w:rFonts w:ascii="Verdana" w:hAnsi="Verdana"/>
          <w:snapToGrid w:val="0"/>
          <w:sz w:val="18"/>
        </w:rPr>
        <w:t>Mandons et ordonnons que le présent décret et l’exposé des motifs y afférent soient publiés au journal officiel.</w:t>
      </w:r>
    </w:p>
    <w:p w14:paraId="7E028785" w14:textId="77777777" w:rsidR="003143CD" w:rsidRPr="00DC5899" w:rsidRDefault="003143CD" w:rsidP="00E17C57">
      <w:pPr>
        <w:ind w:left="2268"/>
        <w:rPr>
          <w:rFonts w:ascii="Verdana" w:hAnsi="Verdana"/>
          <w:snapToGrid w:val="0"/>
          <w:sz w:val="18"/>
          <w:szCs w:val="18"/>
        </w:rPr>
      </w:pPr>
    </w:p>
    <w:p w14:paraId="4215F52C" w14:textId="77777777" w:rsidR="003143CD" w:rsidRPr="00DC5899" w:rsidRDefault="003143CD" w:rsidP="00E17C57">
      <w:pPr>
        <w:tabs>
          <w:tab w:val="left" w:pos="2268"/>
        </w:tabs>
        <w:ind w:left="2268"/>
        <w:rPr>
          <w:rFonts w:ascii="Verdana" w:hAnsi="Verdana"/>
          <w:kern w:val="2"/>
          <w:sz w:val="18"/>
          <w:szCs w:val="18"/>
        </w:rPr>
      </w:pPr>
      <w:r w:rsidRPr="00DC5899">
        <w:rPr>
          <w:rFonts w:ascii="Verdana" w:hAnsi="Verdana"/>
          <w:kern w:val="2"/>
          <w:sz w:val="18"/>
        </w:rPr>
        <w:t>Le ministre des soins médicaux,</w:t>
      </w:r>
    </w:p>
    <w:p w14:paraId="5F264154" w14:textId="77777777" w:rsidR="003143CD" w:rsidRPr="00DC5899" w:rsidRDefault="003143CD" w:rsidP="0076472B">
      <w:pPr>
        <w:tabs>
          <w:tab w:val="left" w:pos="2268"/>
        </w:tabs>
        <w:rPr>
          <w:rFonts w:ascii="Verdana" w:hAnsi="Verdana"/>
          <w:kern w:val="2"/>
          <w:sz w:val="18"/>
          <w:szCs w:val="18"/>
        </w:rPr>
      </w:pPr>
    </w:p>
    <w:p w14:paraId="59A50C14" w14:textId="77777777" w:rsidR="003143CD" w:rsidRPr="00DC5899" w:rsidRDefault="003143CD" w:rsidP="00E17C57">
      <w:pPr>
        <w:tabs>
          <w:tab w:val="left" w:pos="2268"/>
        </w:tabs>
        <w:ind w:left="2268"/>
        <w:rPr>
          <w:rFonts w:ascii="Verdana" w:hAnsi="Verdana"/>
          <w:kern w:val="2"/>
          <w:sz w:val="18"/>
          <w:szCs w:val="18"/>
        </w:rPr>
      </w:pPr>
    </w:p>
    <w:p w14:paraId="2BCD4FEE" w14:textId="77777777" w:rsidR="003143CD" w:rsidRPr="00DC5899" w:rsidRDefault="003143CD" w:rsidP="00E17C57">
      <w:pPr>
        <w:tabs>
          <w:tab w:val="left" w:pos="2268"/>
        </w:tabs>
        <w:ind w:left="2268"/>
        <w:rPr>
          <w:rFonts w:ascii="Verdana" w:hAnsi="Verdana"/>
          <w:kern w:val="2"/>
          <w:sz w:val="18"/>
          <w:szCs w:val="18"/>
        </w:rPr>
      </w:pPr>
      <w:r w:rsidRPr="00DC5899">
        <w:rPr>
          <w:rFonts w:ascii="Verdana" w:hAnsi="Verdana"/>
          <w:kern w:val="2"/>
          <w:sz w:val="18"/>
        </w:rPr>
        <w:t xml:space="preserve">B. J. </w:t>
      </w:r>
      <w:proofErr w:type="spellStart"/>
      <w:r w:rsidRPr="00DC5899">
        <w:rPr>
          <w:rFonts w:ascii="Verdana" w:hAnsi="Verdana"/>
          <w:kern w:val="2"/>
          <w:sz w:val="18"/>
        </w:rPr>
        <w:t>Bruins</w:t>
      </w:r>
      <w:proofErr w:type="spellEnd"/>
    </w:p>
    <w:p w14:paraId="7E80302E" w14:textId="77777777" w:rsidR="005B43ED" w:rsidRPr="00DC5899" w:rsidRDefault="007E7D62" w:rsidP="00E17C57">
      <w:pPr>
        <w:keepNext/>
        <w:keepLines/>
        <w:pageBreakBefore/>
        <w:tabs>
          <w:tab w:val="left" w:pos="2268"/>
        </w:tabs>
        <w:ind w:left="2268"/>
        <w:rPr>
          <w:rFonts w:ascii="Verdana" w:hAnsi="Verdana"/>
          <w:sz w:val="18"/>
          <w:szCs w:val="18"/>
        </w:rPr>
      </w:pPr>
      <w:r w:rsidRPr="00DC5899">
        <w:rPr>
          <w:rFonts w:ascii="Verdana" w:hAnsi="Verdana"/>
          <w:b/>
          <w:sz w:val="18"/>
        </w:rPr>
        <w:lastRenderedPageBreak/>
        <w:t>Exposé des motifs</w:t>
      </w:r>
    </w:p>
    <w:p w14:paraId="16C542EF" w14:textId="77777777" w:rsidR="00B24606" w:rsidRPr="00DC5899" w:rsidRDefault="00B24606" w:rsidP="00E17C57">
      <w:pPr>
        <w:keepNext/>
        <w:keepLines/>
        <w:tabs>
          <w:tab w:val="left" w:pos="2268"/>
        </w:tabs>
        <w:ind w:left="2268"/>
        <w:rPr>
          <w:rFonts w:ascii="Verdana" w:hAnsi="Verdana"/>
          <w:kern w:val="2"/>
          <w:sz w:val="18"/>
          <w:szCs w:val="18"/>
        </w:rPr>
      </w:pPr>
    </w:p>
    <w:p w14:paraId="28A585CB" w14:textId="77777777" w:rsidR="0064439B" w:rsidRPr="00DC5899" w:rsidRDefault="00F07731" w:rsidP="00E17C57">
      <w:pPr>
        <w:keepNext/>
        <w:keepLines/>
        <w:tabs>
          <w:tab w:val="left" w:pos="2268"/>
        </w:tabs>
        <w:ind w:left="2268"/>
        <w:rPr>
          <w:rFonts w:ascii="Verdana" w:hAnsi="Verdana"/>
          <w:b/>
          <w:kern w:val="2"/>
          <w:sz w:val="18"/>
          <w:szCs w:val="18"/>
        </w:rPr>
      </w:pPr>
      <w:r w:rsidRPr="00DC5899">
        <w:rPr>
          <w:rFonts w:ascii="Verdana" w:hAnsi="Verdana"/>
          <w:b/>
          <w:kern w:val="2"/>
          <w:sz w:val="18"/>
        </w:rPr>
        <w:t>1. Généralités</w:t>
      </w:r>
    </w:p>
    <w:p w14:paraId="710A94B6" w14:textId="77777777" w:rsidR="00B24606" w:rsidRPr="00DC5899" w:rsidRDefault="00B24606" w:rsidP="00E17C57">
      <w:pPr>
        <w:keepNext/>
        <w:keepLines/>
        <w:tabs>
          <w:tab w:val="left" w:pos="2268"/>
        </w:tabs>
        <w:ind w:left="2268"/>
        <w:rPr>
          <w:rFonts w:ascii="Verdana" w:hAnsi="Verdana"/>
          <w:kern w:val="2"/>
          <w:sz w:val="18"/>
          <w:szCs w:val="18"/>
        </w:rPr>
      </w:pPr>
    </w:p>
    <w:p w14:paraId="3DF7ED66" w14:textId="14E8664F" w:rsidR="00B428D8" w:rsidRPr="00DC5899" w:rsidRDefault="00B24606" w:rsidP="00E17C57">
      <w:pPr>
        <w:tabs>
          <w:tab w:val="left" w:pos="2268"/>
        </w:tabs>
        <w:ind w:left="2268"/>
        <w:rPr>
          <w:rFonts w:ascii="Verdana" w:hAnsi="Verdana"/>
          <w:kern w:val="2"/>
          <w:sz w:val="18"/>
          <w:szCs w:val="18"/>
        </w:rPr>
      </w:pPr>
      <w:r w:rsidRPr="00DC5899">
        <w:rPr>
          <w:rFonts w:ascii="Verdana" w:hAnsi="Verdana"/>
          <w:kern w:val="2"/>
          <w:sz w:val="18"/>
        </w:rPr>
        <w:t>Le décret adopté en vertu de la loi sur les denrées alimentaires relatif aux préparations à base de plantes impose des exigences aux préparations à base de plantes pour protéger la santé publique. Sur la base des évaluations des risques des plantes, le décret est complété par une interdiction de certaines plantes. Il a également été décidé d’interdire la présence de substances nocives provenant de plantes et de champignons dans les préparations à base de plantes (article premier, partie A, point</w:t>
      </w:r>
      <w:r w:rsidR="004C32BB" w:rsidRPr="00DC5899">
        <w:rPr>
          <w:rFonts w:ascii="Verdana" w:hAnsi="Verdana"/>
          <w:kern w:val="2"/>
          <w:sz w:val="18"/>
        </w:rPr>
        <w:t> </w:t>
      </w:r>
      <w:r w:rsidRPr="00DC5899">
        <w:rPr>
          <w:rFonts w:ascii="Verdana" w:hAnsi="Verdana"/>
          <w:kern w:val="2"/>
          <w:sz w:val="18"/>
        </w:rPr>
        <w:t>2). Cela augmente le caractère exécutoire du décret adopté en vertu de la loi sur les denrées alimentaires relatif aux préparations à base de plantes. Par conséquent, les consommateurs sont mieux protégés des produits pouvant nuire à la santé.</w:t>
      </w:r>
    </w:p>
    <w:p w14:paraId="6B5B2F74" w14:textId="77777777" w:rsidR="003B5162" w:rsidRPr="00DC5899" w:rsidRDefault="003B5162" w:rsidP="00E17C57">
      <w:pPr>
        <w:tabs>
          <w:tab w:val="left" w:pos="2268"/>
        </w:tabs>
        <w:ind w:left="2268"/>
        <w:rPr>
          <w:rFonts w:ascii="Verdana" w:hAnsi="Verdana"/>
          <w:kern w:val="2"/>
          <w:sz w:val="18"/>
          <w:szCs w:val="18"/>
        </w:rPr>
      </w:pPr>
    </w:p>
    <w:p w14:paraId="24386755" w14:textId="77777777" w:rsidR="003B5162" w:rsidRPr="00DC5899" w:rsidRDefault="003B5162" w:rsidP="00E17C57">
      <w:pPr>
        <w:tabs>
          <w:tab w:val="left" w:pos="2268"/>
        </w:tabs>
        <w:ind w:left="2268"/>
        <w:rPr>
          <w:rFonts w:ascii="Verdana" w:hAnsi="Verdana"/>
          <w:kern w:val="2"/>
          <w:sz w:val="18"/>
          <w:szCs w:val="18"/>
        </w:rPr>
      </w:pPr>
      <w:r w:rsidRPr="00DC5899">
        <w:rPr>
          <w:rFonts w:ascii="Verdana" w:hAnsi="Verdana"/>
          <w:kern w:val="2"/>
          <w:sz w:val="18"/>
        </w:rPr>
        <w:t>L’article 13d de la loi sur les denrées alimentaires inclut une clause de reconnaissance mutuelle. En vertu du principe de reconnaissance mutuelle, un État membre de l’Union européenne ne peut interdire la vente de marchandises légalement commercialisées dans un autre État membre de l’Union européenne sur son territoire en justifiant l’interdiction par la non-conformité de ces marchandises à ses prescriptions nationales. Il importe toutefois à cet égard que les marchandises provenant d’un autre État membre de l’Union européenne présentent tout au moins un niveau de protection équivalent. La commercialisation de marchandises provenant d’autres États membres de l’Union européenne relevant du champ d’application du présent arrêté n’est donc pas interdite en vertu des exigences exposées dans le présent arrêté.</w:t>
      </w:r>
    </w:p>
    <w:p w14:paraId="22E0FAD4" w14:textId="77777777" w:rsidR="003B5162" w:rsidRPr="00DC5899" w:rsidRDefault="003B5162" w:rsidP="00E17C57">
      <w:pPr>
        <w:tabs>
          <w:tab w:val="left" w:pos="2268"/>
        </w:tabs>
        <w:ind w:left="2268"/>
        <w:rPr>
          <w:rFonts w:ascii="Verdana" w:hAnsi="Verdana"/>
          <w:kern w:val="2"/>
          <w:sz w:val="18"/>
          <w:szCs w:val="18"/>
        </w:rPr>
      </w:pPr>
    </w:p>
    <w:p w14:paraId="2C034D6A" w14:textId="77777777" w:rsidR="003B5162" w:rsidRPr="00DC5899" w:rsidRDefault="003B5162" w:rsidP="00E17C57">
      <w:pPr>
        <w:tabs>
          <w:tab w:val="left" w:pos="2268"/>
        </w:tabs>
        <w:ind w:left="2268"/>
        <w:rPr>
          <w:rFonts w:ascii="Verdana" w:hAnsi="Verdana"/>
          <w:kern w:val="2"/>
          <w:sz w:val="18"/>
          <w:szCs w:val="18"/>
        </w:rPr>
      </w:pPr>
      <w:r w:rsidRPr="00DC5899">
        <w:rPr>
          <w:rFonts w:ascii="Verdana" w:hAnsi="Verdana"/>
          <w:kern w:val="2"/>
          <w:sz w:val="18"/>
        </w:rPr>
        <w:t>Les exigences imposées aux marchandises par ce décret sont justifiées au regard de la protection des consommateurs contre des produits nocifs.</w:t>
      </w:r>
    </w:p>
    <w:p w14:paraId="15BDB068" w14:textId="77777777" w:rsidR="00E17C57" w:rsidRPr="00DC5899" w:rsidRDefault="00E17C57" w:rsidP="00E17C57">
      <w:pPr>
        <w:tabs>
          <w:tab w:val="left" w:pos="2268"/>
        </w:tabs>
        <w:ind w:left="2268"/>
        <w:rPr>
          <w:rFonts w:ascii="Verdana" w:hAnsi="Verdana"/>
          <w:kern w:val="2"/>
          <w:sz w:val="18"/>
          <w:szCs w:val="18"/>
        </w:rPr>
      </w:pPr>
    </w:p>
    <w:p w14:paraId="2925318B" w14:textId="77777777" w:rsidR="00B428D8" w:rsidRPr="00DC5899" w:rsidRDefault="00F07731" w:rsidP="00E17C57">
      <w:pPr>
        <w:keepNext/>
        <w:keepLines/>
        <w:tabs>
          <w:tab w:val="left" w:pos="2268"/>
        </w:tabs>
        <w:ind w:left="2268"/>
        <w:rPr>
          <w:rFonts w:ascii="Verdana" w:hAnsi="Verdana"/>
          <w:b/>
          <w:kern w:val="2"/>
          <w:sz w:val="18"/>
          <w:szCs w:val="18"/>
        </w:rPr>
      </w:pPr>
      <w:r w:rsidRPr="00DC5899">
        <w:rPr>
          <w:rFonts w:ascii="Verdana" w:hAnsi="Verdana"/>
          <w:b/>
          <w:kern w:val="2"/>
          <w:sz w:val="18"/>
        </w:rPr>
        <w:t>2. Conséquences sur les charges administratives</w:t>
      </w:r>
    </w:p>
    <w:p w14:paraId="12EA57F9" w14:textId="77777777" w:rsidR="00B428D8" w:rsidRPr="00DC5899" w:rsidRDefault="00B428D8" w:rsidP="00E17C57">
      <w:pPr>
        <w:keepNext/>
        <w:keepLines/>
        <w:tabs>
          <w:tab w:val="left" w:pos="2268"/>
        </w:tabs>
        <w:ind w:left="2268"/>
        <w:rPr>
          <w:rFonts w:ascii="Verdana" w:hAnsi="Verdana"/>
          <w:kern w:val="2"/>
          <w:sz w:val="18"/>
          <w:szCs w:val="18"/>
        </w:rPr>
      </w:pPr>
    </w:p>
    <w:p w14:paraId="433DA0F5" w14:textId="77777777" w:rsidR="00B428D8" w:rsidRPr="00DC5899" w:rsidRDefault="00B428D8" w:rsidP="00E17C57">
      <w:pPr>
        <w:tabs>
          <w:tab w:val="left" w:pos="2268"/>
        </w:tabs>
        <w:ind w:left="2268"/>
        <w:rPr>
          <w:rFonts w:ascii="Verdana" w:hAnsi="Verdana"/>
          <w:kern w:val="2"/>
          <w:sz w:val="18"/>
          <w:szCs w:val="18"/>
        </w:rPr>
      </w:pPr>
      <w:r w:rsidRPr="00DC5899">
        <w:rPr>
          <w:rFonts w:ascii="Verdana" w:hAnsi="Verdana"/>
          <w:kern w:val="2"/>
          <w:sz w:val="18"/>
        </w:rPr>
        <w:t xml:space="preserve">Ce décret devrait avoir des conséquences limitées sur les charges administratives des entreprises. Il ressort d’une enquête menée auprès du secteur que la quantité de produits à adapter doit être limitée. En outre, compte tenu du long délai de préparation à ce changement, au cours duquel les parties ont été consultées à maintes reprises, les fabricants ont déjà eu suffisamment de temps pour adapter leurs produits aux nouvelles exigences. Il n’y a aucun coût lié à la communication. L’ATR souscrit à l’analyse et à la conclusion en ce qui concerne les conséquences pour les charges administratives. </w:t>
      </w:r>
    </w:p>
    <w:p w14:paraId="2E54A501" w14:textId="77777777" w:rsidR="00B428D8" w:rsidRPr="00DC5899" w:rsidRDefault="00B428D8" w:rsidP="00E17C57">
      <w:pPr>
        <w:tabs>
          <w:tab w:val="left" w:pos="2268"/>
        </w:tabs>
        <w:ind w:left="2268"/>
        <w:rPr>
          <w:rFonts w:ascii="Verdana" w:hAnsi="Verdana"/>
          <w:kern w:val="2"/>
          <w:sz w:val="18"/>
          <w:szCs w:val="18"/>
        </w:rPr>
      </w:pPr>
    </w:p>
    <w:p w14:paraId="004AF494" w14:textId="77777777" w:rsidR="00B428D8" w:rsidRPr="00DC5899" w:rsidRDefault="00F07731" w:rsidP="00E17C57">
      <w:pPr>
        <w:keepNext/>
        <w:keepLines/>
        <w:tabs>
          <w:tab w:val="left" w:pos="2268"/>
        </w:tabs>
        <w:ind w:left="2268"/>
        <w:rPr>
          <w:rFonts w:ascii="Verdana" w:hAnsi="Verdana"/>
          <w:b/>
          <w:kern w:val="2"/>
          <w:sz w:val="18"/>
          <w:szCs w:val="18"/>
        </w:rPr>
      </w:pPr>
      <w:r w:rsidRPr="00DC5899">
        <w:rPr>
          <w:rFonts w:ascii="Verdana" w:hAnsi="Verdana"/>
          <w:b/>
          <w:kern w:val="2"/>
          <w:sz w:val="18"/>
        </w:rPr>
        <w:t>3. Dialogue régulier concernant la loi sur les denrées alimentaires</w:t>
      </w:r>
    </w:p>
    <w:p w14:paraId="569583BE" w14:textId="77777777" w:rsidR="00B428D8" w:rsidRPr="00DC5899" w:rsidRDefault="00B428D8" w:rsidP="00E17C57">
      <w:pPr>
        <w:keepNext/>
        <w:keepLines/>
        <w:tabs>
          <w:tab w:val="left" w:pos="2268"/>
        </w:tabs>
        <w:ind w:left="2268"/>
        <w:rPr>
          <w:rFonts w:ascii="Verdana" w:hAnsi="Verdana"/>
          <w:kern w:val="2"/>
          <w:sz w:val="18"/>
          <w:szCs w:val="18"/>
        </w:rPr>
      </w:pPr>
    </w:p>
    <w:p w14:paraId="40EBEFC9" w14:textId="77777777" w:rsidR="00B428D8" w:rsidRPr="00DC5899" w:rsidRDefault="00B428D8" w:rsidP="00E17C57">
      <w:pPr>
        <w:tabs>
          <w:tab w:val="left" w:pos="2268"/>
        </w:tabs>
        <w:ind w:left="2268"/>
        <w:rPr>
          <w:rFonts w:ascii="Verdana" w:hAnsi="Verdana"/>
          <w:kern w:val="2"/>
          <w:sz w:val="18"/>
          <w:szCs w:val="18"/>
        </w:rPr>
      </w:pPr>
      <w:r w:rsidRPr="00DC5899">
        <w:rPr>
          <w:rFonts w:ascii="Verdana" w:hAnsi="Verdana"/>
          <w:kern w:val="2"/>
          <w:sz w:val="18"/>
        </w:rPr>
        <w:t>Le présent projet de décret est présenté aux participants au dialogue régulier concernant la loi sur les denrées alimentaires (ROW)</w:t>
      </w:r>
      <w:r w:rsidRPr="00DC5899">
        <w:rPr>
          <w:rStyle w:val="FootnoteReference"/>
          <w:rFonts w:ascii="Verdana" w:hAnsi="Verdana"/>
          <w:kern w:val="2"/>
          <w:sz w:val="18"/>
        </w:rPr>
        <w:footnoteReference w:id="1"/>
      </w:r>
      <w:r w:rsidRPr="00DC5899">
        <w:rPr>
          <w:rFonts w:ascii="Verdana" w:hAnsi="Verdana"/>
          <w:kern w:val="2"/>
          <w:sz w:val="18"/>
        </w:rPr>
        <w:t xml:space="preserve">. Il est ressorti de ces consultations qu’il était impossible d’interdire la présence de </w:t>
      </w:r>
      <w:proofErr w:type="spellStart"/>
      <w:r w:rsidRPr="00DC5899">
        <w:rPr>
          <w:rFonts w:ascii="Verdana" w:hAnsi="Verdana"/>
          <w:kern w:val="2"/>
          <w:sz w:val="18"/>
        </w:rPr>
        <w:lastRenderedPageBreak/>
        <w:t>synéphrine</w:t>
      </w:r>
      <w:proofErr w:type="spellEnd"/>
      <w:r w:rsidRPr="00DC5899">
        <w:rPr>
          <w:rFonts w:ascii="Verdana" w:hAnsi="Verdana"/>
          <w:kern w:val="2"/>
          <w:sz w:val="18"/>
        </w:rPr>
        <w:t xml:space="preserve"> dans les préparations à base de plantes, cette substance étant naturellement présente dans l’alimentation (notamment la marmelade d’orange). Pour éviter que les consommateurs ne soient exposés à des quantités de </w:t>
      </w:r>
      <w:proofErr w:type="spellStart"/>
      <w:r w:rsidRPr="00DC5899">
        <w:rPr>
          <w:rFonts w:ascii="Verdana" w:hAnsi="Verdana"/>
          <w:kern w:val="2"/>
          <w:sz w:val="18"/>
        </w:rPr>
        <w:t>synéphrine</w:t>
      </w:r>
      <w:proofErr w:type="spellEnd"/>
      <w:r w:rsidRPr="00DC5899">
        <w:rPr>
          <w:rFonts w:ascii="Verdana" w:hAnsi="Verdana"/>
          <w:kern w:val="2"/>
          <w:sz w:val="18"/>
        </w:rPr>
        <w:t xml:space="preserve"> nocives pour la santé, il est demandé à l’institut néerlandais de la santé publique et de l’environnement (ci-après «RIVM») et au bureau d’évaluation des risques et de recherche (ci-après </w:t>
      </w:r>
      <w:proofErr w:type="spellStart"/>
      <w:r w:rsidRPr="00DC5899">
        <w:rPr>
          <w:rFonts w:ascii="Verdana" w:hAnsi="Verdana"/>
          <w:kern w:val="2"/>
          <w:sz w:val="18"/>
        </w:rPr>
        <w:t>BuRO</w:t>
      </w:r>
      <w:proofErr w:type="spellEnd"/>
      <w:r w:rsidRPr="00DC5899">
        <w:rPr>
          <w:rFonts w:ascii="Verdana" w:hAnsi="Verdana"/>
          <w:kern w:val="2"/>
          <w:sz w:val="18"/>
        </w:rPr>
        <w:t xml:space="preserve">) de l’organisme néerlandais chargé de la sécurité alimentaire et sanitaire (ci-après «NVWA») d’émettre un avis sur la quantité maximale de </w:t>
      </w:r>
      <w:proofErr w:type="spellStart"/>
      <w:r w:rsidRPr="00DC5899">
        <w:rPr>
          <w:rFonts w:ascii="Verdana" w:hAnsi="Verdana"/>
          <w:kern w:val="2"/>
          <w:sz w:val="18"/>
        </w:rPr>
        <w:t>synéphrine</w:t>
      </w:r>
      <w:proofErr w:type="spellEnd"/>
      <w:r w:rsidRPr="00DC5899">
        <w:rPr>
          <w:rFonts w:ascii="Verdana" w:hAnsi="Verdana"/>
          <w:kern w:val="2"/>
          <w:sz w:val="18"/>
        </w:rPr>
        <w:t xml:space="preserve"> dans les préparations à base de plantes. Sur la base du rapport du RIVM</w:t>
      </w:r>
      <w:r w:rsidRPr="00DC5899">
        <w:rPr>
          <w:rStyle w:val="FootnoteReference"/>
          <w:rFonts w:ascii="Verdana" w:hAnsi="Verdana"/>
          <w:kern w:val="2"/>
          <w:sz w:val="18"/>
        </w:rPr>
        <w:footnoteReference w:id="2"/>
      </w:r>
      <w:r w:rsidRPr="00DC5899">
        <w:rPr>
          <w:rFonts w:ascii="Verdana" w:hAnsi="Verdana"/>
          <w:kern w:val="2"/>
          <w:sz w:val="18"/>
        </w:rPr>
        <w:t xml:space="preserve">, le </w:t>
      </w:r>
      <w:proofErr w:type="spellStart"/>
      <w:r w:rsidRPr="00DC5899">
        <w:rPr>
          <w:rFonts w:ascii="Verdana" w:hAnsi="Verdana"/>
          <w:kern w:val="2"/>
          <w:sz w:val="18"/>
        </w:rPr>
        <w:t>BuRO</w:t>
      </w:r>
      <w:proofErr w:type="spellEnd"/>
      <w:r w:rsidRPr="00DC5899">
        <w:rPr>
          <w:rStyle w:val="FootnoteReference"/>
          <w:rFonts w:ascii="Verdana" w:hAnsi="Verdana"/>
          <w:kern w:val="2"/>
          <w:sz w:val="18"/>
        </w:rPr>
        <w:footnoteReference w:id="3"/>
      </w:r>
      <w:r w:rsidRPr="00DC5899">
        <w:rPr>
          <w:rFonts w:ascii="Verdana" w:hAnsi="Verdana"/>
          <w:kern w:val="2"/>
          <w:sz w:val="18"/>
        </w:rPr>
        <w:t xml:space="preserve"> conseille de limiter la quantité maximale de </w:t>
      </w:r>
      <w:proofErr w:type="spellStart"/>
      <w:r w:rsidRPr="00DC5899">
        <w:rPr>
          <w:rFonts w:ascii="Verdana" w:hAnsi="Verdana"/>
          <w:kern w:val="2"/>
          <w:sz w:val="18"/>
        </w:rPr>
        <w:t>synéphrine</w:t>
      </w:r>
      <w:proofErr w:type="spellEnd"/>
      <w:r w:rsidRPr="00DC5899">
        <w:rPr>
          <w:rFonts w:ascii="Verdana" w:hAnsi="Verdana"/>
          <w:kern w:val="2"/>
          <w:sz w:val="18"/>
        </w:rPr>
        <w:t xml:space="preserve"> dans les préparations à base de plantes à une consommation maximale de 27 mg de p-</w:t>
      </w:r>
      <w:proofErr w:type="spellStart"/>
      <w:r w:rsidRPr="00DC5899">
        <w:rPr>
          <w:rFonts w:ascii="Verdana" w:hAnsi="Verdana"/>
          <w:kern w:val="2"/>
          <w:sz w:val="18"/>
        </w:rPr>
        <w:t>synéphrine</w:t>
      </w:r>
      <w:proofErr w:type="spellEnd"/>
      <w:r w:rsidRPr="00DC5899">
        <w:rPr>
          <w:rFonts w:ascii="Verdana" w:hAnsi="Verdana"/>
          <w:kern w:val="2"/>
          <w:sz w:val="18"/>
        </w:rPr>
        <w:t xml:space="preserve"> par jour en cas d’utilisation conformément au mode d’emploi. De plus, l’utilisation de m-</w:t>
      </w:r>
      <w:proofErr w:type="spellStart"/>
      <w:r w:rsidRPr="00DC5899">
        <w:rPr>
          <w:rFonts w:ascii="Verdana" w:hAnsi="Verdana"/>
          <w:kern w:val="2"/>
          <w:sz w:val="18"/>
        </w:rPr>
        <w:t>synéphrine</w:t>
      </w:r>
      <w:proofErr w:type="spellEnd"/>
      <w:r w:rsidRPr="00DC5899">
        <w:rPr>
          <w:rFonts w:ascii="Verdana" w:hAnsi="Verdana"/>
          <w:kern w:val="2"/>
          <w:sz w:val="18"/>
        </w:rPr>
        <w:t xml:space="preserve"> et d’o-</w:t>
      </w:r>
      <w:proofErr w:type="spellStart"/>
      <w:r w:rsidRPr="00DC5899">
        <w:rPr>
          <w:rFonts w:ascii="Verdana" w:hAnsi="Verdana"/>
          <w:kern w:val="2"/>
          <w:sz w:val="18"/>
        </w:rPr>
        <w:t>synéphrine</w:t>
      </w:r>
      <w:proofErr w:type="spellEnd"/>
      <w:r w:rsidRPr="00DC5899">
        <w:rPr>
          <w:rFonts w:ascii="Verdana" w:hAnsi="Verdana"/>
          <w:kern w:val="2"/>
          <w:sz w:val="18"/>
        </w:rPr>
        <w:t xml:space="preserve"> dans les préparations à base de plantes n’est pas autorisée. </w:t>
      </w:r>
    </w:p>
    <w:p w14:paraId="365AB921" w14:textId="77777777" w:rsidR="008E734A" w:rsidRPr="00DC5899" w:rsidRDefault="00586978" w:rsidP="00E17C57">
      <w:pPr>
        <w:tabs>
          <w:tab w:val="left" w:pos="2268"/>
        </w:tabs>
        <w:ind w:left="2268"/>
        <w:rPr>
          <w:rFonts w:ascii="Verdana" w:hAnsi="Verdana"/>
          <w:kern w:val="2"/>
          <w:sz w:val="18"/>
          <w:szCs w:val="18"/>
        </w:rPr>
      </w:pPr>
      <w:r w:rsidRPr="00DC5899">
        <w:rPr>
          <w:rFonts w:ascii="Verdana" w:hAnsi="Verdana"/>
          <w:kern w:val="2"/>
          <w:sz w:val="18"/>
        </w:rPr>
        <w:t>En outre, il est également expliqué dans le ROW ce qu’il faut aujourd’hui entendre par les termes «produits dérivés». Il a été demandé si cet ajout est vraiment nécessaire et, dans l’affirmative, quelle en serait une bonne définition. On examine ce point et du fait qu’il existe de nombreuses variantes de la substance nocive, il a été décidé de continuer à utiliser ce terme. On fait en l’occurrence référence à des substances dérivées d’une autre substance.</w:t>
      </w:r>
    </w:p>
    <w:p w14:paraId="517CE8ED" w14:textId="77777777" w:rsidR="00A27E62" w:rsidRPr="00DC5899" w:rsidRDefault="00A27E62" w:rsidP="00E17C57">
      <w:pPr>
        <w:tabs>
          <w:tab w:val="left" w:pos="2268"/>
        </w:tabs>
        <w:ind w:left="2268"/>
        <w:rPr>
          <w:rFonts w:ascii="Verdana" w:hAnsi="Verdana"/>
          <w:kern w:val="2"/>
          <w:sz w:val="18"/>
          <w:szCs w:val="18"/>
        </w:rPr>
      </w:pPr>
    </w:p>
    <w:p w14:paraId="40009FF1" w14:textId="77777777" w:rsidR="00A27E62" w:rsidRPr="00DC5899" w:rsidRDefault="00F07731" w:rsidP="00E17C57">
      <w:pPr>
        <w:keepNext/>
        <w:keepLines/>
        <w:tabs>
          <w:tab w:val="left" w:pos="2268"/>
        </w:tabs>
        <w:ind w:left="2268"/>
        <w:rPr>
          <w:rFonts w:ascii="Verdana" w:hAnsi="Verdana"/>
          <w:b/>
          <w:kern w:val="2"/>
          <w:sz w:val="18"/>
          <w:szCs w:val="18"/>
        </w:rPr>
      </w:pPr>
      <w:r w:rsidRPr="00DC5899">
        <w:rPr>
          <w:rFonts w:ascii="Verdana" w:hAnsi="Verdana"/>
          <w:b/>
          <w:kern w:val="2"/>
          <w:sz w:val="18"/>
        </w:rPr>
        <w:t>4. Applicabilité et force exécutoire</w:t>
      </w:r>
    </w:p>
    <w:p w14:paraId="7304C434" w14:textId="77777777" w:rsidR="00E17C57" w:rsidRPr="00DC5899" w:rsidRDefault="00E17C57" w:rsidP="00E17C57">
      <w:pPr>
        <w:keepNext/>
        <w:keepLines/>
        <w:tabs>
          <w:tab w:val="left" w:pos="2268"/>
        </w:tabs>
        <w:ind w:left="2268"/>
        <w:rPr>
          <w:rFonts w:ascii="Verdana" w:hAnsi="Verdana"/>
          <w:kern w:val="2"/>
          <w:sz w:val="18"/>
          <w:szCs w:val="18"/>
        </w:rPr>
      </w:pPr>
    </w:p>
    <w:p w14:paraId="18E7EF10" w14:textId="77777777" w:rsidR="00A27E62" w:rsidRPr="00DC5899" w:rsidRDefault="00A27E62" w:rsidP="00E17C57">
      <w:pPr>
        <w:tabs>
          <w:tab w:val="left" w:pos="2268"/>
        </w:tabs>
        <w:ind w:left="2268"/>
        <w:rPr>
          <w:rFonts w:ascii="Verdana" w:hAnsi="Verdana"/>
          <w:kern w:val="2"/>
          <w:sz w:val="18"/>
          <w:szCs w:val="18"/>
        </w:rPr>
      </w:pPr>
      <w:r w:rsidRPr="00DC5899">
        <w:rPr>
          <w:rFonts w:ascii="Verdana" w:hAnsi="Verdana"/>
          <w:kern w:val="2"/>
          <w:sz w:val="18"/>
        </w:rPr>
        <w:t xml:space="preserve">La NVWA a étudié l’applicabilité, la force exécutoire et l’étanchéité à la fraude de ce projet de décret. La NVWA considère que le projet de décret est applicable et exécutoire. Le projet de décret ne donne lieu à aucun commentaire concernant la résistance à la fraude. </w:t>
      </w:r>
    </w:p>
    <w:p w14:paraId="14CAE925" w14:textId="77777777" w:rsidR="00586978" w:rsidRPr="00DC5899" w:rsidRDefault="00586978" w:rsidP="00E17C57">
      <w:pPr>
        <w:tabs>
          <w:tab w:val="left" w:pos="2268"/>
        </w:tabs>
        <w:ind w:left="2268"/>
        <w:rPr>
          <w:rFonts w:ascii="Verdana" w:hAnsi="Verdana"/>
          <w:kern w:val="2"/>
          <w:sz w:val="18"/>
          <w:szCs w:val="18"/>
        </w:rPr>
      </w:pPr>
    </w:p>
    <w:p w14:paraId="475EE9FC" w14:textId="77777777" w:rsidR="008E734A" w:rsidRPr="00DC5899" w:rsidRDefault="00F07731" w:rsidP="00E17C57">
      <w:pPr>
        <w:keepNext/>
        <w:keepLines/>
        <w:tabs>
          <w:tab w:val="left" w:pos="2268"/>
        </w:tabs>
        <w:ind w:left="2268"/>
        <w:rPr>
          <w:rFonts w:ascii="Verdana" w:hAnsi="Verdana"/>
          <w:b/>
          <w:kern w:val="2"/>
          <w:sz w:val="18"/>
          <w:szCs w:val="18"/>
        </w:rPr>
      </w:pPr>
      <w:r w:rsidRPr="00DC5899">
        <w:rPr>
          <w:rFonts w:ascii="Verdana" w:hAnsi="Verdana"/>
          <w:b/>
          <w:kern w:val="2"/>
          <w:sz w:val="18"/>
        </w:rPr>
        <w:t>5. Présentation</w:t>
      </w:r>
    </w:p>
    <w:p w14:paraId="1F435592" w14:textId="77777777" w:rsidR="00E17C57" w:rsidRPr="00DC5899" w:rsidRDefault="00E17C57" w:rsidP="00E17C57">
      <w:pPr>
        <w:keepNext/>
        <w:keepLines/>
        <w:tabs>
          <w:tab w:val="left" w:pos="2268"/>
        </w:tabs>
        <w:ind w:left="2268"/>
        <w:rPr>
          <w:rFonts w:ascii="Verdana" w:hAnsi="Verdana"/>
          <w:kern w:val="2"/>
          <w:sz w:val="18"/>
          <w:szCs w:val="18"/>
        </w:rPr>
      </w:pPr>
    </w:p>
    <w:p w14:paraId="75368087" w14:textId="1596CAE5" w:rsidR="008E734A" w:rsidRPr="00DC5899" w:rsidRDefault="008E734A" w:rsidP="00E17C57">
      <w:pPr>
        <w:tabs>
          <w:tab w:val="left" w:pos="2268"/>
        </w:tabs>
        <w:ind w:left="2268"/>
        <w:rPr>
          <w:rFonts w:ascii="Verdana" w:hAnsi="Verdana"/>
          <w:kern w:val="2"/>
          <w:sz w:val="18"/>
          <w:szCs w:val="18"/>
        </w:rPr>
      </w:pPr>
      <w:r w:rsidRPr="00DC5899">
        <w:rPr>
          <w:rFonts w:ascii="Verdana" w:hAnsi="Verdana"/>
          <w:kern w:val="2"/>
          <w:sz w:val="18"/>
        </w:rPr>
        <w:t>Conformément à l’article 32</w:t>
      </w:r>
      <w:r w:rsidR="004C32BB" w:rsidRPr="00DC5899">
        <w:rPr>
          <w:rFonts w:ascii="Verdana" w:hAnsi="Verdana"/>
          <w:kern w:val="2"/>
          <w:sz w:val="18"/>
        </w:rPr>
        <w:t> </w:t>
      </w:r>
      <w:r w:rsidRPr="00DC5899">
        <w:rPr>
          <w:rFonts w:ascii="Verdana" w:hAnsi="Verdana"/>
          <w:kern w:val="2"/>
          <w:sz w:val="18"/>
        </w:rPr>
        <w:t>b, paragraphe</w:t>
      </w:r>
      <w:r w:rsidR="004C32BB" w:rsidRPr="00DC5899">
        <w:rPr>
          <w:rFonts w:ascii="Verdana" w:hAnsi="Verdana"/>
          <w:kern w:val="2"/>
          <w:sz w:val="18"/>
        </w:rPr>
        <w:t> </w:t>
      </w:r>
      <w:r w:rsidRPr="00DC5899">
        <w:rPr>
          <w:rFonts w:ascii="Verdana" w:hAnsi="Verdana"/>
          <w:kern w:val="2"/>
          <w:sz w:val="18"/>
        </w:rPr>
        <w:t xml:space="preserve">2, de la loi sur les denrées alimentaires, un projet de cette mesure générale d’administration a été envoyé le </w:t>
      </w:r>
      <w:r w:rsidRPr="00DC5899">
        <w:rPr>
          <w:rFonts w:ascii="Verdana" w:hAnsi="Verdana"/>
          <w:b/>
          <w:kern w:val="2"/>
          <w:sz w:val="18"/>
        </w:rPr>
        <w:t>(date)</w:t>
      </w:r>
      <w:r w:rsidRPr="00DC5899">
        <w:rPr>
          <w:rFonts w:ascii="Verdana" w:hAnsi="Verdana"/>
          <w:kern w:val="2"/>
          <w:sz w:val="18"/>
        </w:rPr>
        <w:t xml:space="preserve"> aux deux chambres du Parlement néerlandais (documents parlementaires </w:t>
      </w:r>
      <w:r w:rsidRPr="00DC5899">
        <w:rPr>
          <w:rFonts w:ascii="Verdana" w:hAnsi="Verdana"/>
          <w:b/>
          <w:kern w:val="2"/>
          <w:sz w:val="18"/>
        </w:rPr>
        <w:t>PM</w:t>
      </w:r>
      <w:r w:rsidRPr="00DC5899">
        <w:rPr>
          <w:rFonts w:ascii="Verdana" w:hAnsi="Verdana"/>
          <w:kern w:val="2"/>
          <w:sz w:val="18"/>
        </w:rPr>
        <w:t>).</w:t>
      </w:r>
    </w:p>
    <w:p w14:paraId="46EDA79D" w14:textId="77777777" w:rsidR="00610A2C" w:rsidRPr="00DC5899" w:rsidRDefault="00610A2C" w:rsidP="00E17C57">
      <w:pPr>
        <w:tabs>
          <w:tab w:val="left" w:pos="2268"/>
        </w:tabs>
        <w:ind w:left="2268"/>
        <w:rPr>
          <w:rFonts w:ascii="Verdana" w:hAnsi="Verdana"/>
          <w:kern w:val="2"/>
          <w:sz w:val="18"/>
          <w:szCs w:val="18"/>
        </w:rPr>
      </w:pPr>
    </w:p>
    <w:p w14:paraId="26441385" w14:textId="77777777" w:rsidR="00B428D8" w:rsidRPr="00DC5899" w:rsidRDefault="00F07731" w:rsidP="00E17C57">
      <w:pPr>
        <w:keepNext/>
        <w:keepLines/>
        <w:tabs>
          <w:tab w:val="left" w:pos="2268"/>
        </w:tabs>
        <w:ind w:left="2268"/>
        <w:rPr>
          <w:rFonts w:ascii="Verdana" w:hAnsi="Verdana"/>
          <w:kern w:val="2"/>
          <w:sz w:val="18"/>
          <w:szCs w:val="18"/>
        </w:rPr>
      </w:pPr>
      <w:r w:rsidRPr="00DC5899">
        <w:rPr>
          <w:rFonts w:ascii="Verdana" w:hAnsi="Verdana"/>
          <w:b/>
          <w:kern w:val="2"/>
          <w:sz w:val="18"/>
        </w:rPr>
        <w:t>6. Notification</w:t>
      </w:r>
    </w:p>
    <w:p w14:paraId="1CAD94DC" w14:textId="77777777" w:rsidR="00E17C57" w:rsidRPr="00DC5899" w:rsidRDefault="00E17C57" w:rsidP="00E17C57">
      <w:pPr>
        <w:keepNext/>
        <w:keepLines/>
        <w:tabs>
          <w:tab w:val="left" w:pos="2268"/>
        </w:tabs>
        <w:ind w:left="2268"/>
        <w:rPr>
          <w:rFonts w:ascii="Verdana" w:hAnsi="Verdana"/>
          <w:sz w:val="18"/>
          <w:szCs w:val="18"/>
        </w:rPr>
      </w:pPr>
    </w:p>
    <w:p w14:paraId="4A347099" w14:textId="0213856E" w:rsidR="00B428D8" w:rsidRPr="00DC5899" w:rsidRDefault="009345F8" w:rsidP="00E17C57">
      <w:pPr>
        <w:tabs>
          <w:tab w:val="left" w:pos="2268"/>
        </w:tabs>
        <w:ind w:left="2268"/>
        <w:rPr>
          <w:rFonts w:ascii="Verdana" w:hAnsi="Verdana"/>
          <w:sz w:val="18"/>
          <w:szCs w:val="18"/>
        </w:rPr>
      </w:pPr>
      <w:r w:rsidRPr="00DC5899">
        <w:rPr>
          <w:rFonts w:ascii="Verdana" w:hAnsi="Verdana"/>
          <w:sz w:val="18"/>
        </w:rPr>
        <w:t>Le projet de décret a été notifié à la Commission européenne le … en application de l’article</w:t>
      </w:r>
      <w:r w:rsidR="004C32BB" w:rsidRPr="00DC5899">
        <w:rPr>
          <w:rFonts w:ascii="Verdana" w:hAnsi="Verdana"/>
          <w:sz w:val="18"/>
        </w:rPr>
        <w:t> </w:t>
      </w:r>
      <w:r w:rsidRPr="00DC5899">
        <w:rPr>
          <w:rFonts w:ascii="Verdana" w:hAnsi="Verdana"/>
          <w:sz w:val="18"/>
        </w:rPr>
        <w:t>5, paragraphe</w:t>
      </w:r>
      <w:r w:rsidR="004C32BB" w:rsidRPr="00DC5899">
        <w:rPr>
          <w:rFonts w:ascii="Verdana" w:hAnsi="Verdana"/>
          <w:sz w:val="18"/>
        </w:rPr>
        <w:t> </w:t>
      </w:r>
      <w:r w:rsidRPr="00DC5899">
        <w:rPr>
          <w:rFonts w:ascii="Verdana" w:hAnsi="Verdana"/>
          <w:sz w:val="18"/>
        </w:rPr>
        <w:t>1, de la directive (UE) 2015/1535</w:t>
      </w:r>
      <w:r w:rsidRPr="00DC5899">
        <w:rPr>
          <w:rStyle w:val="FootnoteReference"/>
          <w:rFonts w:ascii="Verdana" w:hAnsi="Verdana"/>
          <w:sz w:val="18"/>
        </w:rPr>
        <w:footnoteReference w:id="4"/>
      </w:r>
      <w:r w:rsidRPr="00DC5899">
        <w:rPr>
          <w:rFonts w:ascii="Verdana" w:hAnsi="Verdana"/>
          <w:sz w:val="18"/>
        </w:rPr>
        <w:t xml:space="preserve">. La notification à la Commission européenne est requise, attendu que l’article premier de ce décret comprend d’éventuelles réglementations techniques au sens de la directive (UE) 2015/1535. Suite à la notification </w:t>
      </w:r>
    </w:p>
    <w:p w14:paraId="58D06BA8" w14:textId="77777777" w:rsidR="00E17C57" w:rsidRPr="00DC5899" w:rsidRDefault="00E17C57" w:rsidP="00E17C57">
      <w:pPr>
        <w:tabs>
          <w:tab w:val="left" w:pos="2268"/>
        </w:tabs>
        <w:ind w:left="2268"/>
        <w:rPr>
          <w:rFonts w:ascii="Verdana" w:hAnsi="Verdana"/>
          <w:kern w:val="2"/>
          <w:sz w:val="18"/>
          <w:szCs w:val="18"/>
        </w:rPr>
      </w:pPr>
    </w:p>
    <w:p w14:paraId="4EBEF036" w14:textId="499F26CB" w:rsidR="00B428D8" w:rsidRPr="00DC5899" w:rsidRDefault="00B428D8" w:rsidP="00E17C57">
      <w:pPr>
        <w:tabs>
          <w:tab w:val="left" w:pos="2268"/>
        </w:tabs>
        <w:ind w:left="2268"/>
        <w:rPr>
          <w:rFonts w:ascii="Verdana" w:hAnsi="Verdana"/>
          <w:kern w:val="2"/>
          <w:sz w:val="18"/>
          <w:szCs w:val="18"/>
        </w:rPr>
      </w:pPr>
      <w:r w:rsidRPr="00DC5899">
        <w:rPr>
          <w:rFonts w:ascii="Verdana" w:hAnsi="Verdana"/>
          <w:kern w:val="2"/>
          <w:sz w:val="18"/>
        </w:rPr>
        <w:t>Dans la mesure où le projet de décret contient des restrictions quantitatives à l’importation ou des mesures d’effet équivalent au sens de l’article</w:t>
      </w:r>
      <w:r w:rsidR="004C32BB" w:rsidRPr="00DC5899">
        <w:rPr>
          <w:rFonts w:ascii="Verdana" w:hAnsi="Verdana"/>
          <w:kern w:val="2"/>
          <w:sz w:val="18"/>
        </w:rPr>
        <w:t> </w:t>
      </w:r>
      <w:r w:rsidRPr="00DC5899">
        <w:rPr>
          <w:rFonts w:ascii="Verdana" w:hAnsi="Verdana"/>
          <w:kern w:val="2"/>
          <w:sz w:val="18"/>
        </w:rPr>
        <w:t>34 du traité sur le fonctionnement de l’Union européenne, ces mesures sont justifiées pour la protection de la santé publique sur la base de l’article</w:t>
      </w:r>
      <w:r w:rsidR="004C32BB" w:rsidRPr="00DC5899">
        <w:rPr>
          <w:rFonts w:ascii="Verdana" w:hAnsi="Verdana"/>
          <w:kern w:val="2"/>
          <w:sz w:val="18"/>
        </w:rPr>
        <w:t> </w:t>
      </w:r>
      <w:r w:rsidRPr="00DC5899">
        <w:rPr>
          <w:rFonts w:ascii="Verdana" w:hAnsi="Verdana"/>
          <w:kern w:val="2"/>
          <w:sz w:val="18"/>
        </w:rPr>
        <w:t>36 de ce traité.</w:t>
      </w:r>
    </w:p>
    <w:p w14:paraId="0E121BD7" w14:textId="77777777" w:rsidR="005E47AF" w:rsidRPr="00DC5899" w:rsidRDefault="005E47AF" w:rsidP="00E17C57">
      <w:pPr>
        <w:tabs>
          <w:tab w:val="left" w:pos="2268"/>
        </w:tabs>
        <w:ind w:left="2268"/>
        <w:rPr>
          <w:rFonts w:ascii="Verdana" w:hAnsi="Verdana"/>
          <w:kern w:val="2"/>
          <w:sz w:val="18"/>
          <w:szCs w:val="18"/>
        </w:rPr>
      </w:pPr>
    </w:p>
    <w:p w14:paraId="67C2C0E0" w14:textId="77777777" w:rsidR="00A82D46" w:rsidRPr="00DC5899" w:rsidRDefault="00F07731" w:rsidP="00E17C57">
      <w:pPr>
        <w:keepNext/>
        <w:keepLines/>
        <w:tabs>
          <w:tab w:val="left" w:pos="2268"/>
        </w:tabs>
        <w:ind w:left="2268"/>
        <w:rPr>
          <w:rFonts w:ascii="Verdana" w:hAnsi="Verdana"/>
          <w:b/>
          <w:kern w:val="2"/>
          <w:sz w:val="18"/>
          <w:szCs w:val="18"/>
        </w:rPr>
      </w:pPr>
      <w:r w:rsidRPr="00DC5899">
        <w:rPr>
          <w:rFonts w:ascii="Verdana" w:hAnsi="Verdana"/>
          <w:b/>
          <w:kern w:val="2"/>
          <w:sz w:val="18"/>
        </w:rPr>
        <w:t>7. Exposé des motifs par article</w:t>
      </w:r>
    </w:p>
    <w:p w14:paraId="356E2CF0" w14:textId="77777777" w:rsidR="00F120A1" w:rsidRPr="00DC5899" w:rsidRDefault="00F120A1" w:rsidP="00E17C57">
      <w:pPr>
        <w:keepNext/>
        <w:keepLines/>
        <w:tabs>
          <w:tab w:val="left" w:pos="2268"/>
        </w:tabs>
        <w:ind w:left="2268"/>
        <w:rPr>
          <w:rFonts w:ascii="Verdana" w:hAnsi="Verdana"/>
          <w:kern w:val="2"/>
          <w:sz w:val="18"/>
          <w:szCs w:val="18"/>
        </w:rPr>
      </w:pPr>
    </w:p>
    <w:p w14:paraId="5EBECBAD" w14:textId="224CB7F7" w:rsidR="0095665C" w:rsidRPr="00DC5899" w:rsidRDefault="0095665C" w:rsidP="00E17C57">
      <w:pPr>
        <w:keepNext/>
        <w:keepLines/>
        <w:tabs>
          <w:tab w:val="left" w:pos="2268"/>
        </w:tabs>
        <w:ind w:left="2268"/>
        <w:rPr>
          <w:rFonts w:ascii="Verdana" w:hAnsi="Verdana"/>
          <w:i/>
          <w:kern w:val="2"/>
          <w:sz w:val="18"/>
          <w:szCs w:val="18"/>
        </w:rPr>
      </w:pPr>
      <w:r w:rsidRPr="00DC5899">
        <w:rPr>
          <w:rFonts w:ascii="Verdana" w:hAnsi="Verdana"/>
          <w:i/>
          <w:kern w:val="2"/>
          <w:sz w:val="18"/>
        </w:rPr>
        <w:t>Article premier, partie A, points</w:t>
      </w:r>
      <w:r w:rsidR="004C32BB" w:rsidRPr="00DC5899">
        <w:rPr>
          <w:rFonts w:ascii="Verdana" w:hAnsi="Verdana"/>
          <w:i/>
          <w:kern w:val="2"/>
          <w:sz w:val="18"/>
        </w:rPr>
        <w:t> </w:t>
      </w:r>
      <w:r w:rsidRPr="00DC5899">
        <w:rPr>
          <w:rFonts w:ascii="Verdana" w:hAnsi="Verdana"/>
          <w:i/>
          <w:kern w:val="2"/>
          <w:sz w:val="18"/>
        </w:rPr>
        <w:t>1 et 4, et partie D, point</w:t>
      </w:r>
      <w:r w:rsidR="004C32BB" w:rsidRPr="00DC5899">
        <w:rPr>
          <w:rFonts w:ascii="Verdana" w:hAnsi="Verdana"/>
          <w:i/>
          <w:kern w:val="2"/>
          <w:sz w:val="18"/>
        </w:rPr>
        <w:t> </w:t>
      </w:r>
      <w:r w:rsidRPr="00DC5899">
        <w:rPr>
          <w:rFonts w:ascii="Verdana" w:hAnsi="Verdana"/>
          <w:i/>
          <w:kern w:val="2"/>
          <w:sz w:val="18"/>
        </w:rPr>
        <w:t>2</w:t>
      </w:r>
    </w:p>
    <w:p w14:paraId="5898998B" w14:textId="3C8E925C" w:rsidR="00670294" w:rsidRPr="00DC5899" w:rsidRDefault="00FC0162" w:rsidP="00E17C57">
      <w:pPr>
        <w:tabs>
          <w:tab w:val="left" w:pos="2268"/>
        </w:tabs>
        <w:ind w:left="2268"/>
        <w:rPr>
          <w:rFonts w:ascii="Verdana" w:hAnsi="Verdana"/>
          <w:kern w:val="2"/>
          <w:sz w:val="18"/>
          <w:szCs w:val="18"/>
        </w:rPr>
      </w:pPr>
      <w:r w:rsidRPr="00DC5899">
        <w:rPr>
          <w:rFonts w:ascii="Verdana" w:hAnsi="Verdana"/>
          <w:kern w:val="2"/>
          <w:sz w:val="18"/>
        </w:rPr>
        <w:t>Ce changement assure une meilleure applicabilité. Jusqu’à l’entrée en vigueur de ce décret, l’article</w:t>
      </w:r>
      <w:r w:rsidR="004C32BB" w:rsidRPr="00DC5899">
        <w:rPr>
          <w:rFonts w:ascii="Verdana" w:hAnsi="Verdana"/>
          <w:kern w:val="2"/>
          <w:sz w:val="18"/>
        </w:rPr>
        <w:t> </w:t>
      </w:r>
      <w:r w:rsidRPr="00DC5899">
        <w:rPr>
          <w:rFonts w:ascii="Verdana" w:hAnsi="Verdana"/>
          <w:kern w:val="2"/>
          <w:sz w:val="18"/>
        </w:rPr>
        <w:t>4, paragraphe</w:t>
      </w:r>
      <w:r w:rsidR="004C32BB" w:rsidRPr="00DC5899">
        <w:rPr>
          <w:rFonts w:ascii="Verdana" w:hAnsi="Verdana"/>
          <w:kern w:val="2"/>
          <w:sz w:val="18"/>
        </w:rPr>
        <w:t> </w:t>
      </w:r>
      <w:r w:rsidRPr="00DC5899">
        <w:rPr>
          <w:rFonts w:ascii="Verdana" w:hAnsi="Verdana"/>
          <w:kern w:val="2"/>
          <w:sz w:val="18"/>
        </w:rPr>
        <w:t xml:space="preserve">1, du décret adopté en vertu de la loi sur les denrées alimentaires relatif aux préparations à base de plantes était </w:t>
      </w:r>
      <w:proofErr w:type="gramStart"/>
      <w:r w:rsidRPr="00DC5899">
        <w:rPr>
          <w:rFonts w:ascii="Verdana" w:hAnsi="Verdana"/>
          <w:kern w:val="2"/>
          <w:sz w:val="18"/>
        </w:rPr>
        <w:t>libellé</w:t>
      </w:r>
      <w:proofErr w:type="gramEnd"/>
      <w:r w:rsidRPr="00DC5899">
        <w:rPr>
          <w:rFonts w:ascii="Verdana" w:hAnsi="Verdana"/>
          <w:kern w:val="2"/>
          <w:sz w:val="18"/>
        </w:rPr>
        <w:t xml:space="preserve"> comme suit:</w:t>
      </w:r>
    </w:p>
    <w:p w14:paraId="71474056" w14:textId="73B27045" w:rsidR="00670294" w:rsidRPr="00DC5899" w:rsidRDefault="00670294" w:rsidP="00E17C57">
      <w:pPr>
        <w:tabs>
          <w:tab w:val="left" w:pos="2268"/>
        </w:tabs>
        <w:ind w:left="2268"/>
        <w:rPr>
          <w:rFonts w:ascii="Verdana" w:hAnsi="Verdana"/>
          <w:i/>
          <w:kern w:val="2"/>
          <w:sz w:val="18"/>
          <w:szCs w:val="18"/>
        </w:rPr>
      </w:pPr>
      <w:r w:rsidRPr="00DC5899">
        <w:rPr>
          <w:rFonts w:ascii="Verdana" w:hAnsi="Verdana"/>
          <w:i/>
          <w:kern w:val="2"/>
          <w:sz w:val="18"/>
        </w:rPr>
        <w:t xml:space="preserve">La quantité d’alcaloïdes </w:t>
      </w:r>
      <w:proofErr w:type="spellStart"/>
      <w:r w:rsidRPr="00DC5899">
        <w:rPr>
          <w:rFonts w:ascii="Verdana" w:hAnsi="Verdana"/>
          <w:i/>
          <w:kern w:val="2"/>
          <w:sz w:val="18"/>
        </w:rPr>
        <w:t>pyrrolizidines</w:t>
      </w:r>
      <w:proofErr w:type="spellEnd"/>
      <w:r w:rsidRPr="00DC5899">
        <w:rPr>
          <w:rFonts w:ascii="Verdana" w:hAnsi="Verdana"/>
          <w:i/>
          <w:kern w:val="2"/>
          <w:sz w:val="18"/>
        </w:rPr>
        <w:t xml:space="preserve"> toxiques provenant de préparations à base de plantes, constituée de substances dérivées entièrement ou en partie de plantes visées à la partie I de l’annexe ou d’autres plantes susceptibles de contenir des alcaloïdes </w:t>
      </w:r>
      <w:proofErr w:type="spellStart"/>
      <w:r w:rsidRPr="00DC5899">
        <w:rPr>
          <w:rFonts w:ascii="Verdana" w:hAnsi="Verdana"/>
          <w:i/>
          <w:kern w:val="2"/>
          <w:sz w:val="18"/>
        </w:rPr>
        <w:t>pyrrolizidines</w:t>
      </w:r>
      <w:proofErr w:type="spellEnd"/>
      <w:r w:rsidRPr="00DC5899">
        <w:rPr>
          <w:rFonts w:ascii="Verdana" w:hAnsi="Verdana"/>
          <w:i/>
          <w:kern w:val="2"/>
          <w:sz w:val="18"/>
        </w:rPr>
        <w:t xml:space="preserve"> toxiques ne dépasse pas 1</w:t>
      </w:r>
      <w:r w:rsidR="004C32BB" w:rsidRPr="00DC5899">
        <w:rPr>
          <w:rFonts w:ascii="Verdana" w:hAnsi="Verdana"/>
          <w:i/>
          <w:kern w:val="2"/>
          <w:sz w:val="18"/>
        </w:rPr>
        <w:t> </w:t>
      </w:r>
      <w:r w:rsidRPr="00DC5899">
        <w:rPr>
          <w:rFonts w:ascii="Verdana" w:hAnsi="Verdana"/>
          <w:i/>
          <w:kern w:val="2"/>
          <w:sz w:val="18"/>
        </w:rPr>
        <w:t xml:space="preserve">µg par kg ou par litre respectivement. </w:t>
      </w:r>
    </w:p>
    <w:p w14:paraId="557C1116" w14:textId="77777777" w:rsidR="00670294" w:rsidRPr="00DC5899" w:rsidRDefault="00670294" w:rsidP="00E17C57">
      <w:pPr>
        <w:tabs>
          <w:tab w:val="left" w:pos="2268"/>
        </w:tabs>
        <w:ind w:left="2268"/>
        <w:rPr>
          <w:rFonts w:ascii="Verdana" w:hAnsi="Verdana"/>
          <w:kern w:val="2"/>
          <w:sz w:val="18"/>
          <w:szCs w:val="18"/>
        </w:rPr>
      </w:pPr>
    </w:p>
    <w:p w14:paraId="13A85DEC" w14:textId="77777777" w:rsidR="00670294" w:rsidRPr="00DC5899" w:rsidRDefault="00670294" w:rsidP="00E17C57">
      <w:pPr>
        <w:tabs>
          <w:tab w:val="left" w:pos="2268"/>
        </w:tabs>
        <w:ind w:left="2268"/>
        <w:rPr>
          <w:rFonts w:ascii="Verdana" w:hAnsi="Verdana"/>
          <w:kern w:val="2"/>
          <w:sz w:val="18"/>
          <w:szCs w:val="18"/>
        </w:rPr>
      </w:pPr>
      <w:r w:rsidRPr="00DC5899">
        <w:rPr>
          <w:rFonts w:ascii="Verdana" w:hAnsi="Verdana"/>
          <w:kern w:val="2"/>
          <w:sz w:val="18"/>
        </w:rPr>
        <w:t xml:space="preserve">Compte tenu de cette formulation, l’agent de contrôle chargé de la surveillance ne pourrait pas suffire pour établir une quantité excessive d’alcaloïdes </w:t>
      </w:r>
      <w:proofErr w:type="spellStart"/>
      <w:r w:rsidRPr="00DC5899">
        <w:rPr>
          <w:rFonts w:ascii="Verdana" w:hAnsi="Verdana"/>
          <w:kern w:val="2"/>
          <w:sz w:val="18"/>
        </w:rPr>
        <w:t>pyrrolizidines</w:t>
      </w:r>
      <w:proofErr w:type="spellEnd"/>
      <w:r w:rsidRPr="00DC5899">
        <w:rPr>
          <w:rFonts w:ascii="Verdana" w:hAnsi="Verdana"/>
          <w:kern w:val="2"/>
          <w:sz w:val="18"/>
        </w:rPr>
        <w:t xml:space="preserve"> toxiques dans une préparation à base de plantes. Il devait également en prouver l’origine. Cela a entraîné des problèmes de contrôle du respect de cette disposition. </w:t>
      </w:r>
    </w:p>
    <w:p w14:paraId="3D27F3E9" w14:textId="77777777" w:rsidR="00670294" w:rsidRPr="00DC5899" w:rsidRDefault="00670294" w:rsidP="00E17C57">
      <w:pPr>
        <w:tabs>
          <w:tab w:val="left" w:pos="2268"/>
        </w:tabs>
        <w:ind w:left="2268"/>
        <w:rPr>
          <w:rFonts w:ascii="Verdana" w:hAnsi="Verdana"/>
          <w:kern w:val="2"/>
          <w:sz w:val="18"/>
          <w:szCs w:val="18"/>
        </w:rPr>
      </w:pPr>
    </w:p>
    <w:p w14:paraId="40C50EEE" w14:textId="1C0A72A4" w:rsidR="00670294" w:rsidRPr="00DC5899" w:rsidRDefault="00BB02A9" w:rsidP="00E17C57">
      <w:pPr>
        <w:tabs>
          <w:tab w:val="left" w:pos="2268"/>
        </w:tabs>
        <w:ind w:left="2268"/>
        <w:rPr>
          <w:rFonts w:ascii="Verdana" w:hAnsi="Verdana"/>
          <w:kern w:val="2"/>
          <w:sz w:val="18"/>
          <w:szCs w:val="18"/>
        </w:rPr>
      </w:pPr>
      <w:r w:rsidRPr="00DC5899">
        <w:rPr>
          <w:rFonts w:ascii="Verdana" w:hAnsi="Verdana"/>
          <w:kern w:val="2"/>
          <w:sz w:val="18"/>
        </w:rPr>
        <w:t>L’article premier, partie A, point</w:t>
      </w:r>
      <w:r w:rsidR="004C32BB" w:rsidRPr="00DC5899">
        <w:rPr>
          <w:rFonts w:ascii="Verdana" w:hAnsi="Verdana"/>
          <w:kern w:val="2"/>
          <w:sz w:val="18"/>
        </w:rPr>
        <w:t> </w:t>
      </w:r>
      <w:r w:rsidRPr="00DC5899">
        <w:rPr>
          <w:rFonts w:ascii="Verdana" w:hAnsi="Verdana"/>
          <w:kern w:val="2"/>
          <w:sz w:val="18"/>
        </w:rPr>
        <w:t>1, de ce décret prescrit une modification telle de l’article</w:t>
      </w:r>
      <w:r w:rsidR="004C32BB" w:rsidRPr="00DC5899">
        <w:rPr>
          <w:rFonts w:ascii="Verdana" w:hAnsi="Verdana"/>
          <w:kern w:val="2"/>
          <w:sz w:val="18"/>
        </w:rPr>
        <w:t> </w:t>
      </w:r>
      <w:r w:rsidRPr="00DC5899">
        <w:rPr>
          <w:rFonts w:ascii="Verdana" w:hAnsi="Verdana"/>
          <w:kern w:val="2"/>
          <w:sz w:val="18"/>
        </w:rPr>
        <w:t>4, paragraphe</w:t>
      </w:r>
      <w:r w:rsidR="004C32BB" w:rsidRPr="00DC5899">
        <w:rPr>
          <w:rFonts w:ascii="Verdana" w:hAnsi="Verdana"/>
          <w:kern w:val="2"/>
          <w:sz w:val="18"/>
        </w:rPr>
        <w:t> </w:t>
      </w:r>
      <w:r w:rsidRPr="00DC5899">
        <w:rPr>
          <w:rFonts w:ascii="Verdana" w:hAnsi="Verdana"/>
          <w:kern w:val="2"/>
          <w:sz w:val="18"/>
        </w:rPr>
        <w:t>1, que les problèmes décrits dans le paragraphe précédent ne se posent plus. Le paragraphe</w:t>
      </w:r>
      <w:r w:rsidR="004C32BB" w:rsidRPr="00DC5899">
        <w:rPr>
          <w:rFonts w:ascii="Verdana" w:hAnsi="Verdana"/>
          <w:kern w:val="2"/>
          <w:sz w:val="18"/>
        </w:rPr>
        <w:t> </w:t>
      </w:r>
      <w:r w:rsidRPr="00DC5899">
        <w:rPr>
          <w:rFonts w:ascii="Verdana" w:hAnsi="Verdana"/>
          <w:kern w:val="2"/>
          <w:sz w:val="18"/>
        </w:rPr>
        <w:t xml:space="preserve">1 fixe désormais un maximum pour la quantité d’alcaloïdes </w:t>
      </w:r>
      <w:proofErr w:type="spellStart"/>
      <w:r w:rsidRPr="00DC5899">
        <w:rPr>
          <w:rFonts w:ascii="Verdana" w:hAnsi="Verdana"/>
          <w:kern w:val="2"/>
          <w:sz w:val="18"/>
        </w:rPr>
        <w:t>pyrrolizidine</w:t>
      </w:r>
      <w:proofErr w:type="spellEnd"/>
      <w:r w:rsidRPr="00DC5899">
        <w:rPr>
          <w:rFonts w:ascii="Verdana" w:hAnsi="Verdana"/>
          <w:kern w:val="2"/>
          <w:sz w:val="18"/>
        </w:rPr>
        <w:t xml:space="preserve"> toxiques dans les préparations à base de plantes, quelle que soit leur origine. La partie I de l’annexe peut donc être supprimée (article premier, partie D, point</w:t>
      </w:r>
      <w:r w:rsidR="004C32BB" w:rsidRPr="00DC5899">
        <w:rPr>
          <w:rFonts w:ascii="Verdana" w:hAnsi="Verdana"/>
          <w:kern w:val="2"/>
          <w:sz w:val="18"/>
        </w:rPr>
        <w:t> </w:t>
      </w:r>
      <w:r w:rsidRPr="00DC5899">
        <w:rPr>
          <w:rFonts w:ascii="Verdana" w:hAnsi="Verdana"/>
          <w:kern w:val="2"/>
          <w:sz w:val="18"/>
        </w:rPr>
        <w:t xml:space="preserve">2). </w:t>
      </w:r>
    </w:p>
    <w:p w14:paraId="62DA9FC5" w14:textId="77777777" w:rsidR="00AB3B66" w:rsidRPr="00DC5899" w:rsidRDefault="00AB3B66" w:rsidP="00E17C57">
      <w:pPr>
        <w:tabs>
          <w:tab w:val="left" w:pos="2268"/>
        </w:tabs>
        <w:ind w:left="2268"/>
        <w:rPr>
          <w:rFonts w:ascii="Verdana" w:hAnsi="Verdana"/>
          <w:kern w:val="2"/>
          <w:sz w:val="18"/>
          <w:szCs w:val="18"/>
        </w:rPr>
      </w:pPr>
    </w:p>
    <w:p w14:paraId="78302433" w14:textId="4CA20F9D" w:rsidR="00430B87" w:rsidRPr="00DC5899" w:rsidRDefault="00430B87" w:rsidP="00E17C57">
      <w:pPr>
        <w:ind w:left="2268"/>
        <w:rPr>
          <w:rFonts w:ascii="Verdana" w:hAnsi="Verdana"/>
          <w:sz w:val="18"/>
          <w:szCs w:val="18"/>
        </w:rPr>
      </w:pPr>
      <w:r w:rsidRPr="00DC5899">
        <w:rPr>
          <w:rFonts w:ascii="Verdana" w:hAnsi="Verdana"/>
          <w:sz w:val="18"/>
        </w:rPr>
        <w:t>Le règlement (CE) nº 1881/2006</w:t>
      </w:r>
      <w:r w:rsidRPr="00DC5899">
        <w:rPr>
          <w:rStyle w:val="FootnoteReference"/>
          <w:rFonts w:ascii="Verdana" w:hAnsi="Verdana"/>
          <w:sz w:val="18"/>
        </w:rPr>
        <w:footnoteReference w:id="5"/>
      </w:r>
      <w:r w:rsidRPr="00DC5899">
        <w:rPr>
          <w:rFonts w:ascii="Verdana" w:hAnsi="Verdana"/>
          <w:sz w:val="18"/>
        </w:rPr>
        <w:t xml:space="preserve"> devrait reprendre, à court terme, les exigences en matière de quantité maximale d’alcaloïdes </w:t>
      </w:r>
      <w:proofErr w:type="spellStart"/>
      <w:r w:rsidRPr="00DC5899">
        <w:rPr>
          <w:rFonts w:ascii="Verdana" w:hAnsi="Verdana"/>
          <w:sz w:val="18"/>
        </w:rPr>
        <w:t>pyrrolizidine</w:t>
      </w:r>
      <w:proofErr w:type="spellEnd"/>
      <w:r w:rsidRPr="00DC5899">
        <w:rPr>
          <w:rFonts w:ascii="Verdana" w:hAnsi="Verdana"/>
          <w:sz w:val="18"/>
        </w:rPr>
        <w:t xml:space="preserve"> dans les compléments alimentaires et les préparations à base de plantes. En prévision de cela, un nouveau paragraphe</w:t>
      </w:r>
      <w:r w:rsidR="004C32BB" w:rsidRPr="00DC5899">
        <w:rPr>
          <w:rFonts w:ascii="Verdana" w:hAnsi="Verdana"/>
          <w:sz w:val="18"/>
        </w:rPr>
        <w:t> </w:t>
      </w:r>
      <w:r w:rsidRPr="00DC5899">
        <w:rPr>
          <w:rFonts w:ascii="Verdana" w:hAnsi="Verdana"/>
          <w:sz w:val="18"/>
        </w:rPr>
        <w:t>6 a été ajouté à l’article</w:t>
      </w:r>
      <w:r w:rsidR="004C32BB" w:rsidRPr="00DC5899">
        <w:rPr>
          <w:rFonts w:ascii="Verdana" w:hAnsi="Verdana"/>
          <w:sz w:val="18"/>
        </w:rPr>
        <w:t> </w:t>
      </w:r>
      <w:r w:rsidRPr="00DC5899">
        <w:rPr>
          <w:rFonts w:ascii="Verdana" w:hAnsi="Verdana"/>
          <w:sz w:val="18"/>
        </w:rPr>
        <w:t>4 du décret adopté en vertu de la loi sur les denrées alimentaires relatif aux préparations à base de plantes. Il en ressort que le paragraphe</w:t>
      </w:r>
      <w:r w:rsidR="004C32BB" w:rsidRPr="00DC5899">
        <w:rPr>
          <w:rFonts w:ascii="Verdana" w:hAnsi="Verdana"/>
          <w:sz w:val="18"/>
        </w:rPr>
        <w:t> </w:t>
      </w:r>
      <w:r w:rsidRPr="00DC5899">
        <w:rPr>
          <w:rFonts w:ascii="Verdana" w:hAnsi="Verdana"/>
          <w:sz w:val="18"/>
        </w:rPr>
        <w:t xml:space="preserve">1 ne s’applique pas dans la mesure où des règles pertinentes ont été définies dans le règlement (CE) nº 1881/2006. Cette disposition pare à un élargissement futur des prescriptions du règlement (CE) nº 1881/2006 concernant les alcaloïdes de </w:t>
      </w:r>
      <w:proofErr w:type="spellStart"/>
      <w:r w:rsidRPr="00DC5899">
        <w:rPr>
          <w:rFonts w:ascii="Verdana" w:hAnsi="Verdana"/>
          <w:sz w:val="18"/>
        </w:rPr>
        <w:t>pyrrolizidine</w:t>
      </w:r>
      <w:proofErr w:type="spellEnd"/>
      <w:r w:rsidRPr="00DC5899">
        <w:rPr>
          <w:rFonts w:ascii="Verdana" w:hAnsi="Verdana"/>
          <w:sz w:val="18"/>
        </w:rPr>
        <w:t>.</w:t>
      </w:r>
    </w:p>
    <w:p w14:paraId="69E9BE59" w14:textId="77777777" w:rsidR="00430B87" w:rsidRPr="00DC5899" w:rsidRDefault="00430B87" w:rsidP="00E17C57">
      <w:pPr>
        <w:ind w:left="2268"/>
        <w:rPr>
          <w:rFonts w:ascii="Verdana" w:hAnsi="Verdana"/>
          <w:sz w:val="18"/>
          <w:szCs w:val="18"/>
        </w:rPr>
      </w:pPr>
    </w:p>
    <w:p w14:paraId="4738460E" w14:textId="0DD56D5A" w:rsidR="00430B87" w:rsidRPr="00DC5899" w:rsidRDefault="00430B87" w:rsidP="00E17C57">
      <w:pPr>
        <w:ind w:left="2268"/>
        <w:rPr>
          <w:rFonts w:ascii="Verdana" w:hAnsi="Verdana"/>
          <w:sz w:val="18"/>
          <w:szCs w:val="18"/>
        </w:rPr>
      </w:pPr>
      <w:r w:rsidRPr="00DC5899">
        <w:rPr>
          <w:rFonts w:ascii="Verdana" w:hAnsi="Verdana"/>
          <w:sz w:val="18"/>
        </w:rPr>
        <w:t>Pour les autres préparations à base de plantes qui ne sont pas reprises à l’annexe du règlement (CE) nº 1881/2006, la limite maximale visée à l’article</w:t>
      </w:r>
      <w:r w:rsidR="004C32BB" w:rsidRPr="00DC5899">
        <w:rPr>
          <w:rFonts w:ascii="Verdana" w:hAnsi="Verdana"/>
          <w:sz w:val="18"/>
        </w:rPr>
        <w:t> </w:t>
      </w:r>
      <w:r w:rsidRPr="00DC5899">
        <w:rPr>
          <w:rFonts w:ascii="Verdana" w:hAnsi="Verdana"/>
          <w:sz w:val="18"/>
        </w:rPr>
        <w:t>4, paragraphe</w:t>
      </w:r>
      <w:r w:rsidR="004C32BB" w:rsidRPr="00DC5899">
        <w:rPr>
          <w:rFonts w:ascii="Verdana" w:hAnsi="Verdana"/>
          <w:sz w:val="18"/>
        </w:rPr>
        <w:t> </w:t>
      </w:r>
      <w:r w:rsidRPr="00DC5899">
        <w:rPr>
          <w:rFonts w:ascii="Verdana" w:hAnsi="Verdana"/>
          <w:sz w:val="18"/>
        </w:rPr>
        <w:t>1, du décret adopté en vertu de la loi sur les denrées alimentaires relatif aux préparations à base de plantes s’applique, à savoir: 1</w:t>
      </w:r>
      <w:r w:rsidR="004C32BB" w:rsidRPr="00DC5899">
        <w:rPr>
          <w:rFonts w:ascii="Verdana" w:hAnsi="Verdana"/>
          <w:sz w:val="18"/>
        </w:rPr>
        <w:t> </w:t>
      </w:r>
      <w:r w:rsidRPr="00DC5899">
        <w:rPr>
          <w:rFonts w:ascii="Verdana" w:hAnsi="Verdana"/>
          <w:sz w:val="18"/>
        </w:rPr>
        <w:t>µg/kg ou par litre.</w:t>
      </w:r>
    </w:p>
    <w:p w14:paraId="54E46C3D" w14:textId="77777777" w:rsidR="00E17C57" w:rsidRPr="00DC5899" w:rsidRDefault="00E17C57" w:rsidP="00E17C57">
      <w:pPr>
        <w:ind w:left="2268"/>
        <w:rPr>
          <w:rFonts w:ascii="Verdana" w:hAnsi="Verdana"/>
          <w:sz w:val="18"/>
          <w:szCs w:val="18"/>
        </w:rPr>
      </w:pPr>
    </w:p>
    <w:p w14:paraId="5A19423D" w14:textId="139CE348" w:rsidR="00FC0162" w:rsidRPr="00DC5899" w:rsidRDefault="00FC0162" w:rsidP="00E17C57">
      <w:pPr>
        <w:keepNext/>
        <w:keepLines/>
        <w:tabs>
          <w:tab w:val="left" w:pos="2268"/>
        </w:tabs>
        <w:ind w:left="2268"/>
        <w:rPr>
          <w:rFonts w:ascii="Verdana" w:hAnsi="Verdana"/>
          <w:i/>
          <w:kern w:val="2"/>
          <w:sz w:val="18"/>
          <w:szCs w:val="18"/>
        </w:rPr>
      </w:pPr>
      <w:r w:rsidRPr="00DC5899">
        <w:rPr>
          <w:rFonts w:ascii="Verdana" w:hAnsi="Verdana"/>
          <w:i/>
          <w:kern w:val="2"/>
          <w:sz w:val="18"/>
        </w:rPr>
        <w:t>Article premier, partie A, point</w:t>
      </w:r>
      <w:r w:rsidR="004C32BB" w:rsidRPr="00DC5899">
        <w:rPr>
          <w:rFonts w:ascii="Verdana" w:hAnsi="Verdana"/>
          <w:i/>
          <w:kern w:val="2"/>
          <w:sz w:val="18"/>
        </w:rPr>
        <w:t> </w:t>
      </w:r>
      <w:r w:rsidRPr="00DC5899">
        <w:rPr>
          <w:rFonts w:ascii="Verdana" w:hAnsi="Verdana"/>
          <w:i/>
          <w:kern w:val="2"/>
          <w:sz w:val="18"/>
        </w:rPr>
        <w:t>2</w:t>
      </w:r>
    </w:p>
    <w:p w14:paraId="160F1573" w14:textId="1C9B9EC6" w:rsidR="00FC0162" w:rsidRPr="00DC5899" w:rsidRDefault="00FC0162" w:rsidP="00E17C57">
      <w:pPr>
        <w:tabs>
          <w:tab w:val="left" w:pos="2268"/>
        </w:tabs>
        <w:ind w:left="2268"/>
        <w:rPr>
          <w:rFonts w:ascii="Verdana" w:hAnsi="Verdana"/>
          <w:kern w:val="2"/>
          <w:sz w:val="18"/>
          <w:szCs w:val="18"/>
        </w:rPr>
      </w:pPr>
      <w:r w:rsidRPr="00DC5899">
        <w:rPr>
          <w:rFonts w:ascii="Verdana" w:hAnsi="Verdana"/>
          <w:kern w:val="2"/>
          <w:sz w:val="18"/>
        </w:rPr>
        <w:t>L’article</w:t>
      </w:r>
      <w:r w:rsidR="004C32BB" w:rsidRPr="00DC5899">
        <w:rPr>
          <w:rFonts w:ascii="Verdana" w:hAnsi="Verdana"/>
          <w:kern w:val="2"/>
          <w:sz w:val="18"/>
        </w:rPr>
        <w:t> </w:t>
      </w:r>
      <w:r w:rsidRPr="00DC5899">
        <w:rPr>
          <w:rFonts w:ascii="Verdana" w:hAnsi="Verdana"/>
          <w:kern w:val="2"/>
          <w:sz w:val="18"/>
        </w:rPr>
        <w:t>4, paragraphe</w:t>
      </w:r>
      <w:r w:rsidR="004C32BB" w:rsidRPr="00DC5899">
        <w:rPr>
          <w:rFonts w:ascii="Verdana" w:hAnsi="Verdana"/>
          <w:kern w:val="2"/>
          <w:sz w:val="18"/>
        </w:rPr>
        <w:t> </w:t>
      </w:r>
      <w:r w:rsidRPr="00DC5899">
        <w:rPr>
          <w:rFonts w:ascii="Verdana" w:hAnsi="Verdana"/>
          <w:kern w:val="2"/>
          <w:sz w:val="18"/>
        </w:rPr>
        <w:t>2, du décret adopté en vertu de la loi sur les denrées alimentaires relatif aux préparations à base de plantes énumère un certain nombre de substances qui ne peuvent être présentes dans les préparations à base de plantes pour des motifs de protection de la santé publique. Sur la base d’une recherche</w:t>
      </w:r>
      <w:r w:rsidRPr="00DC5899">
        <w:rPr>
          <w:rStyle w:val="FootnoteReference"/>
          <w:rFonts w:ascii="Verdana" w:hAnsi="Verdana"/>
          <w:kern w:val="2"/>
          <w:sz w:val="18"/>
        </w:rPr>
        <w:footnoteReference w:id="6"/>
      </w:r>
      <w:r w:rsidRPr="00DC5899">
        <w:rPr>
          <w:rFonts w:ascii="Verdana" w:hAnsi="Verdana"/>
          <w:kern w:val="2"/>
          <w:sz w:val="18"/>
        </w:rPr>
        <w:t>, le RIVM a recommandé que cette liste soit élargie à un certain nombre d’autres substances, du fait qu’elles semblent avoir des propriétés toxiques (aiguës). Ces recommandations ont été adoptées. Les substances en question ont donc été ajoutées à l’article</w:t>
      </w:r>
      <w:r w:rsidR="004C32BB" w:rsidRPr="00DC5899">
        <w:rPr>
          <w:rFonts w:ascii="Verdana" w:hAnsi="Verdana"/>
          <w:kern w:val="2"/>
          <w:sz w:val="18"/>
        </w:rPr>
        <w:t> </w:t>
      </w:r>
      <w:r w:rsidRPr="00DC5899">
        <w:rPr>
          <w:rFonts w:ascii="Verdana" w:hAnsi="Verdana"/>
          <w:kern w:val="2"/>
          <w:sz w:val="18"/>
        </w:rPr>
        <w:t>4, paragraphe</w:t>
      </w:r>
      <w:r w:rsidR="004C32BB" w:rsidRPr="00DC5899">
        <w:rPr>
          <w:rFonts w:ascii="Verdana" w:hAnsi="Verdana"/>
          <w:kern w:val="2"/>
          <w:sz w:val="18"/>
        </w:rPr>
        <w:t> </w:t>
      </w:r>
      <w:r w:rsidRPr="00DC5899">
        <w:rPr>
          <w:rFonts w:ascii="Verdana" w:hAnsi="Verdana"/>
          <w:kern w:val="2"/>
          <w:sz w:val="18"/>
        </w:rPr>
        <w:t xml:space="preserve">2, du décret adopté en vertu de la loi sur les denrées alimentaires relatif aux préparations à base de plantes. Les anciennes parties a et b (acides </w:t>
      </w:r>
      <w:proofErr w:type="spellStart"/>
      <w:r w:rsidRPr="00DC5899">
        <w:rPr>
          <w:rFonts w:ascii="Verdana" w:hAnsi="Verdana"/>
          <w:kern w:val="2"/>
          <w:sz w:val="18"/>
        </w:rPr>
        <w:t>aristolochiques</w:t>
      </w:r>
      <w:proofErr w:type="spellEnd"/>
      <w:r w:rsidRPr="00DC5899">
        <w:rPr>
          <w:rFonts w:ascii="Verdana" w:hAnsi="Verdana"/>
          <w:kern w:val="2"/>
          <w:sz w:val="18"/>
        </w:rPr>
        <w:t xml:space="preserve"> et alcaloïdes de </w:t>
      </w:r>
      <w:proofErr w:type="spellStart"/>
      <w:r w:rsidRPr="00DC5899">
        <w:rPr>
          <w:rFonts w:ascii="Verdana" w:hAnsi="Verdana"/>
          <w:kern w:val="2"/>
          <w:sz w:val="18"/>
        </w:rPr>
        <w:t>yohimbe</w:t>
      </w:r>
      <w:proofErr w:type="spellEnd"/>
      <w:r w:rsidRPr="00DC5899">
        <w:rPr>
          <w:rFonts w:ascii="Verdana" w:hAnsi="Verdana"/>
          <w:kern w:val="2"/>
          <w:sz w:val="18"/>
        </w:rPr>
        <w:t xml:space="preserve"> ou leurs dérivés) ont ensuite été insérées par ordre alphabétique dans la nouvelle liste.</w:t>
      </w:r>
    </w:p>
    <w:p w14:paraId="5BB696D8" w14:textId="77777777" w:rsidR="00FC0162" w:rsidRPr="00DC5899" w:rsidRDefault="00FC0162" w:rsidP="00E17C57">
      <w:pPr>
        <w:tabs>
          <w:tab w:val="left" w:pos="2268"/>
        </w:tabs>
        <w:ind w:left="2268"/>
        <w:rPr>
          <w:rFonts w:ascii="Verdana" w:hAnsi="Verdana"/>
          <w:kern w:val="2"/>
          <w:sz w:val="18"/>
          <w:szCs w:val="18"/>
        </w:rPr>
      </w:pPr>
    </w:p>
    <w:p w14:paraId="06C5D3E9" w14:textId="51A45F9C" w:rsidR="00FC0162" w:rsidRPr="00DC5899" w:rsidRDefault="00FC0162" w:rsidP="00E17C57">
      <w:pPr>
        <w:tabs>
          <w:tab w:val="left" w:pos="2268"/>
        </w:tabs>
        <w:ind w:left="2268"/>
        <w:rPr>
          <w:rFonts w:ascii="Verdana" w:hAnsi="Verdana"/>
          <w:kern w:val="2"/>
          <w:sz w:val="18"/>
          <w:szCs w:val="18"/>
        </w:rPr>
      </w:pPr>
      <w:r w:rsidRPr="00DC5899">
        <w:rPr>
          <w:rFonts w:ascii="Verdana" w:hAnsi="Verdana"/>
          <w:kern w:val="2"/>
          <w:sz w:val="18"/>
        </w:rPr>
        <w:t>La nouvelle partie g concerne l’huile d’</w:t>
      </w:r>
      <w:proofErr w:type="spellStart"/>
      <w:r w:rsidRPr="00DC5899">
        <w:rPr>
          <w:rFonts w:ascii="Verdana" w:hAnsi="Verdana"/>
          <w:kern w:val="2"/>
          <w:sz w:val="18"/>
        </w:rPr>
        <w:t>Artemisia</w:t>
      </w:r>
      <w:proofErr w:type="spellEnd"/>
      <w:r w:rsidRPr="00DC5899">
        <w:rPr>
          <w:rFonts w:ascii="Verdana" w:hAnsi="Verdana"/>
          <w:kern w:val="2"/>
          <w:sz w:val="18"/>
        </w:rPr>
        <w:t xml:space="preserve"> </w:t>
      </w:r>
      <w:proofErr w:type="spellStart"/>
      <w:r w:rsidRPr="00DC5899">
        <w:rPr>
          <w:rFonts w:ascii="Verdana" w:hAnsi="Verdana"/>
          <w:kern w:val="2"/>
          <w:sz w:val="18"/>
        </w:rPr>
        <w:t>absinthium</w:t>
      </w:r>
      <w:proofErr w:type="spellEnd"/>
      <w:r w:rsidRPr="00DC5899">
        <w:rPr>
          <w:rFonts w:ascii="Verdana" w:hAnsi="Verdana"/>
          <w:kern w:val="2"/>
          <w:sz w:val="18"/>
        </w:rPr>
        <w:t xml:space="preserve">. Dans cette partie, il est indiqué que l’interdiction de la présence de cette huile dans les préparations à base de plantes ne s’applique pas à la présence de </w:t>
      </w:r>
      <w:proofErr w:type="spellStart"/>
      <w:r w:rsidRPr="00DC5899">
        <w:rPr>
          <w:rFonts w:ascii="Verdana" w:hAnsi="Verdana"/>
          <w:kern w:val="2"/>
          <w:sz w:val="18"/>
        </w:rPr>
        <w:t>thuyone</w:t>
      </w:r>
      <w:proofErr w:type="spellEnd"/>
      <w:r w:rsidRPr="00DC5899">
        <w:rPr>
          <w:rFonts w:ascii="Verdana" w:hAnsi="Verdana"/>
          <w:kern w:val="2"/>
          <w:sz w:val="18"/>
        </w:rPr>
        <w:t xml:space="preserve"> dans les boissons des types </w:t>
      </w:r>
      <w:proofErr w:type="spellStart"/>
      <w:r w:rsidRPr="00DC5899">
        <w:rPr>
          <w:rFonts w:ascii="Verdana" w:hAnsi="Verdana"/>
          <w:kern w:val="2"/>
          <w:sz w:val="18"/>
        </w:rPr>
        <w:t>Artemisia</w:t>
      </w:r>
      <w:proofErr w:type="spellEnd"/>
      <w:r w:rsidRPr="00DC5899">
        <w:rPr>
          <w:rFonts w:ascii="Verdana" w:hAnsi="Verdana"/>
          <w:kern w:val="2"/>
          <w:sz w:val="18"/>
        </w:rPr>
        <w:t>, dans la mesure où cette présence est autorisée par l’article</w:t>
      </w:r>
      <w:r w:rsidR="004C32BB" w:rsidRPr="00DC5899">
        <w:rPr>
          <w:rFonts w:ascii="Verdana" w:hAnsi="Verdana"/>
          <w:kern w:val="2"/>
          <w:sz w:val="18"/>
        </w:rPr>
        <w:t> </w:t>
      </w:r>
      <w:r w:rsidRPr="00DC5899">
        <w:rPr>
          <w:rFonts w:ascii="Verdana" w:hAnsi="Verdana"/>
          <w:kern w:val="2"/>
          <w:sz w:val="18"/>
        </w:rPr>
        <w:t>6, deuxième paragraphe, et l’annexe</w:t>
      </w:r>
      <w:r w:rsidR="004C32BB" w:rsidRPr="00DC5899">
        <w:rPr>
          <w:rFonts w:ascii="Verdana" w:hAnsi="Verdana"/>
          <w:kern w:val="2"/>
          <w:sz w:val="18"/>
        </w:rPr>
        <w:t> </w:t>
      </w:r>
      <w:r w:rsidRPr="00DC5899">
        <w:rPr>
          <w:rFonts w:ascii="Verdana" w:hAnsi="Verdana"/>
          <w:kern w:val="2"/>
          <w:sz w:val="18"/>
        </w:rPr>
        <w:t>III, partie B, du règlement (CE) nº 1334/2008</w:t>
      </w:r>
      <w:r w:rsidRPr="00DC5899">
        <w:rPr>
          <w:rStyle w:val="FootnoteReference"/>
          <w:rFonts w:ascii="Verdana" w:hAnsi="Verdana"/>
          <w:kern w:val="2"/>
          <w:sz w:val="18"/>
        </w:rPr>
        <w:footnoteReference w:id="7"/>
      </w:r>
      <w:r w:rsidRPr="00DC5899">
        <w:rPr>
          <w:rFonts w:ascii="Verdana" w:hAnsi="Verdana"/>
          <w:kern w:val="2"/>
          <w:sz w:val="18"/>
        </w:rPr>
        <w:t xml:space="preserve">. </w:t>
      </w:r>
    </w:p>
    <w:p w14:paraId="6E5F3349" w14:textId="77777777" w:rsidR="00670294" w:rsidRPr="00DC5899" w:rsidRDefault="00670294" w:rsidP="00E17C57">
      <w:pPr>
        <w:tabs>
          <w:tab w:val="left" w:pos="2268"/>
        </w:tabs>
        <w:ind w:left="2268"/>
        <w:rPr>
          <w:rFonts w:ascii="Verdana" w:hAnsi="Verdana"/>
          <w:kern w:val="2"/>
          <w:sz w:val="18"/>
          <w:szCs w:val="18"/>
        </w:rPr>
      </w:pPr>
    </w:p>
    <w:p w14:paraId="553F66B6" w14:textId="15C27495" w:rsidR="00AD2E4A" w:rsidRPr="00DC5899" w:rsidRDefault="00AD2E4A" w:rsidP="00E17C57">
      <w:pPr>
        <w:keepNext/>
        <w:keepLines/>
        <w:tabs>
          <w:tab w:val="left" w:pos="2268"/>
        </w:tabs>
        <w:ind w:left="2268"/>
        <w:rPr>
          <w:rFonts w:ascii="Verdana" w:hAnsi="Verdana"/>
          <w:i/>
          <w:kern w:val="2"/>
          <w:sz w:val="18"/>
          <w:szCs w:val="18"/>
        </w:rPr>
      </w:pPr>
      <w:r w:rsidRPr="00DC5899">
        <w:rPr>
          <w:rFonts w:ascii="Verdana" w:hAnsi="Verdana"/>
          <w:i/>
          <w:kern w:val="2"/>
          <w:sz w:val="18"/>
        </w:rPr>
        <w:t>Article premier, partie A, point</w:t>
      </w:r>
      <w:r w:rsidR="004C32BB" w:rsidRPr="00DC5899">
        <w:rPr>
          <w:rFonts w:ascii="Verdana" w:hAnsi="Verdana"/>
          <w:i/>
          <w:kern w:val="2"/>
          <w:sz w:val="18"/>
        </w:rPr>
        <w:t> </w:t>
      </w:r>
      <w:r w:rsidRPr="00DC5899">
        <w:rPr>
          <w:rFonts w:ascii="Verdana" w:hAnsi="Verdana"/>
          <w:i/>
          <w:kern w:val="2"/>
          <w:sz w:val="18"/>
        </w:rPr>
        <w:t>3, et partie D, points</w:t>
      </w:r>
      <w:r w:rsidR="004C32BB" w:rsidRPr="00DC5899">
        <w:rPr>
          <w:rFonts w:ascii="Verdana" w:hAnsi="Verdana"/>
          <w:i/>
          <w:kern w:val="2"/>
          <w:sz w:val="18"/>
        </w:rPr>
        <w:t> </w:t>
      </w:r>
      <w:r w:rsidRPr="00DC5899">
        <w:rPr>
          <w:rFonts w:ascii="Verdana" w:hAnsi="Verdana"/>
          <w:i/>
          <w:kern w:val="2"/>
          <w:sz w:val="18"/>
        </w:rPr>
        <w:t>1 et 3</w:t>
      </w:r>
    </w:p>
    <w:p w14:paraId="7C54433C" w14:textId="2707E75B" w:rsidR="00670294" w:rsidRPr="00DC5899" w:rsidRDefault="005D7072" w:rsidP="00E17C57">
      <w:pPr>
        <w:tabs>
          <w:tab w:val="left" w:pos="2268"/>
        </w:tabs>
        <w:ind w:left="2268"/>
        <w:rPr>
          <w:rFonts w:ascii="Verdana" w:hAnsi="Verdana"/>
          <w:kern w:val="2"/>
          <w:sz w:val="18"/>
          <w:szCs w:val="18"/>
        </w:rPr>
      </w:pPr>
      <w:r w:rsidRPr="00DC5899">
        <w:rPr>
          <w:rFonts w:ascii="Verdana" w:hAnsi="Verdana"/>
          <w:kern w:val="2"/>
          <w:sz w:val="18"/>
        </w:rPr>
        <w:t>Au moment de l’entrée en vigueur de ce décret, l’annexe du décret adopté en vertu de la loi sur les denrées alimentaires relatif aux préparations à base de plantes ne contient plus que la partie</w:t>
      </w:r>
      <w:r w:rsidR="004C32BB" w:rsidRPr="00DC5899">
        <w:rPr>
          <w:rFonts w:ascii="Verdana" w:hAnsi="Verdana"/>
          <w:kern w:val="2"/>
          <w:sz w:val="18"/>
        </w:rPr>
        <w:t> </w:t>
      </w:r>
      <w:r w:rsidRPr="00DC5899">
        <w:rPr>
          <w:rFonts w:ascii="Verdana" w:hAnsi="Verdana"/>
          <w:kern w:val="2"/>
          <w:sz w:val="18"/>
        </w:rPr>
        <w:t>II de celle-ci, devenue entre-temps «l’annexe». La référence à l’article</w:t>
      </w:r>
      <w:r w:rsidR="004C32BB" w:rsidRPr="00DC5899">
        <w:rPr>
          <w:rFonts w:ascii="Verdana" w:hAnsi="Verdana"/>
          <w:kern w:val="2"/>
          <w:sz w:val="18"/>
        </w:rPr>
        <w:t> </w:t>
      </w:r>
      <w:r w:rsidRPr="00DC5899">
        <w:rPr>
          <w:rFonts w:ascii="Verdana" w:hAnsi="Verdana"/>
          <w:kern w:val="2"/>
          <w:sz w:val="18"/>
        </w:rPr>
        <w:t>4, paragraphe</w:t>
      </w:r>
      <w:r w:rsidR="004C32BB" w:rsidRPr="00DC5899">
        <w:rPr>
          <w:rFonts w:ascii="Verdana" w:hAnsi="Verdana"/>
          <w:kern w:val="2"/>
          <w:sz w:val="18"/>
        </w:rPr>
        <w:t> </w:t>
      </w:r>
      <w:r w:rsidRPr="00DC5899">
        <w:rPr>
          <w:rFonts w:ascii="Verdana" w:hAnsi="Verdana"/>
          <w:kern w:val="2"/>
          <w:sz w:val="18"/>
        </w:rPr>
        <w:t>3, du décret adopté en vertu de la loi sur les denrées alimentaires relatif aux préparations à base de plantes à la partie</w:t>
      </w:r>
      <w:r w:rsidR="004C32BB" w:rsidRPr="00DC5899">
        <w:rPr>
          <w:rFonts w:ascii="Verdana" w:hAnsi="Verdana"/>
          <w:kern w:val="2"/>
          <w:sz w:val="18"/>
        </w:rPr>
        <w:t> </w:t>
      </w:r>
      <w:r w:rsidRPr="00DC5899">
        <w:rPr>
          <w:rFonts w:ascii="Verdana" w:hAnsi="Verdana"/>
          <w:kern w:val="2"/>
          <w:sz w:val="18"/>
        </w:rPr>
        <w:t>II de l’annexe est modifiée pour cette raison en une référence à «l’annexe».</w:t>
      </w:r>
    </w:p>
    <w:p w14:paraId="47A43CF2" w14:textId="77777777" w:rsidR="00B561EB" w:rsidRPr="00DC5899" w:rsidRDefault="00B561EB" w:rsidP="00E17C57">
      <w:pPr>
        <w:tabs>
          <w:tab w:val="left" w:pos="2268"/>
        </w:tabs>
        <w:ind w:left="2268"/>
        <w:rPr>
          <w:rFonts w:ascii="Verdana" w:hAnsi="Verdana"/>
          <w:kern w:val="2"/>
          <w:sz w:val="18"/>
          <w:szCs w:val="18"/>
        </w:rPr>
      </w:pPr>
    </w:p>
    <w:p w14:paraId="02C2FC57" w14:textId="316C687A" w:rsidR="005059AF" w:rsidRPr="00DC5899" w:rsidRDefault="00485F0F" w:rsidP="00E17C57">
      <w:pPr>
        <w:keepNext/>
        <w:keepLines/>
        <w:tabs>
          <w:tab w:val="left" w:pos="2268"/>
        </w:tabs>
        <w:ind w:left="2268"/>
        <w:rPr>
          <w:rFonts w:ascii="Verdana" w:hAnsi="Verdana"/>
          <w:i/>
          <w:kern w:val="2"/>
          <w:sz w:val="18"/>
          <w:szCs w:val="18"/>
        </w:rPr>
      </w:pPr>
      <w:r w:rsidRPr="00DC5899">
        <w:rPr>
          <w:rFonts w:ascii="Verdana" w:hAnsi="Verdana"/>
          <w:i/>
          <w:kern w:val="2"/>
          <w:sz w:val="18"/>
        </w:rPr>
        <w:t>Article premier, partie A, point</w:t>
      </w:r>
      <w:r w:rsidR="004C32BB" w:rsidRPr="00DC5899">
        <w:rPr>
          <w:rFonts w:ascii="Verdana" w:hAnsi="Verdana"/>
          <w:i/>
          <w:kern w:val="2"/>
          <w:sz w:val="18"/>
        </w:rPr>
        <w:t> </w:t>
      </w:r>
      <w:r w:rsidRPr="00DC5899">
        <w:rPr>
          <w:rFonts w:ascii="Verdana" w:hAnsi="Verdana"/>
          <w:i/>
          <w:kern w:val="2"/>
          <w:sz w:val="18"/>
        </w:rPr>
        <w:t>4</w:t>
      </w:r>
    </w:p>
    <w:p w14:paraId="0D5742B7" w14:textId="169A5BFB" w:rsidR="003C006F" w:rsidRPr="00DC5899" w:rsidRDefault="003C006F" w:rsidP="00E17C57">
      <w:pPr>
        <w:tabs>
          <w:tab w:val="left" w:pos="2268"/>
        </w:tabs>
        <w:ind w:left="2268"/>
        <w:rPr>
          <w:rFonts w:ascii="Verdana" w:hAnsi="Verdana"/>
          <w:kern w:val="2"/>
          <w:sz w:val="18"/>
          <w:szCs w:val="18"/>
        </w:rPr>
      </w:pPr>
      <w:r w:rsidRPr="00DC5899">
        <w:rPr>
          <w:rFonts w:ascii="Verdana" w:hAnsi="Verdana"/>
          <w:kern w:val="2"/>
          <w:sz w:val="18"/>
        </w:rPr>
        <w:t xml:space="preserve">Sur la base du rapport RIVM susmentionné et des recommandations du </w:t>
      </w:r>
      <w:proofErr w:type="spellStart"/>
      <w:r w:rsidRPr="00DC5899">
        <w:rPr>
          <w:rFonts w:ascii="Verdana" w:hAnsi="Verdana"/>
          <w:kern w:val="2"/>
          <w:sz w:val="18"/>
        </w:rPr>
        <w:t>BuRO</w:t>
      </w:r>
      <w:proofErr w:type="spellEnd"/>
      <w:r w:rsidRPr="00DC5899">
        <w:rPr>
          <w:rFonts w:ascii="Verdana" w:hAnsi="Verdana"/>
          <w:kern w:val="2"/>
          <w:sz w:val="18"/>
        </w:rPr>
        <w:t xml:space="preserve"> sur la </w:t>
      </w:r>
      <w:proofErr w:type="spellStart"/>
      <w:r w:rsidRPr="00DC5899">
        <w:rPr>
          <w:rFonts w:ascii="Verdana" w:hAnsi="Verdana"/>
          <w:kern w:val="2"/>
          <w:sz w:val="18"/>
        </w:rPr>
        <w:t>synéphrine</w:t>
      </w:r>
      <w:proofErr w:type="spellEnd"/>
      <w:r w:rsidRPr="00DC5899">
        <w:rPr>
          <w:rFonts w:ascii="Verdana" w:hAnsi="Verdana"/>
          <w:kern w:val="2"/>
          <w:sz w:val="18"/>
        </w:rPr>
        <w:t xml:space="preserve"> qui s’y appuient, il a été décidé d’interdire l’ajout de m-</w:t>
      </w:r>
      <w:proofErr w:type="spellStart"/>
      <w:r w:rsidRPr="00DC5899">
        <w:rPr>
          <w:rFonts w:ascii="Verdana" w:hAnsi="Verdana"/>
          <w:kern w:val="2"/>
          <w:sz w:val="18"/>
        </w:rPr>
        <w:t>synéphrine</w:t>
      </w:r>
      <w:proofErr w:type="spellEnd"/>
      <w:r w:rsidRPr="00DC5899">
        <w:rPr>
          <w:rFonts w:ascii="Verdana" w:hAnsi="Verdana"/>
          <w:kern w:val="2"/>
          <w:sz w:val="18"/>
        </w:rPr>
        <w:t xml:space="preserve"> et d’o-</w:t>
      </w:r>
      <w:proofErr w:type="spellStart"/>
      <w:r w:rsidRPr="00DC5899">
        <w:rPr>
          <w:rFonts w:ascii="Verdana" w:hAnsi="Verdana"/>
          <w:kern w:val="2"/>
          <w:sz w:val="18"/>
        </w:rPr>
        <w:t>synéphrine</w:t>
      </w:r>
      <w:proofErr w:type="spellEnd"/>
      <w:r w:rsidRPr="00DC5899">
        <w:rPr>
          <w:rFonts w:ascii="Verdana" w:hAnsi="Verdana"/>
          <w:kern w:val="2"/>
          <w:sz w:val="18"/>
        </w:rPr>
        <w:t xml:space="preserve"> aux préparations à base de plantes. Selon les recommandations de </w:t>
      </w:r>
      <w:proofErr w:type="spellStart"/>
      <w:r w:rsidRPr="00DC5899">
        <w:rPr>
          <w:rFonts w:ascii="Verdana" w:hAnsi="Verdana"/>
          <w:kern w:val="2"/>
          <w:sz w:val="18"/>
        </w:rPr>
        <w:t>BuRO</w:t>
      </w:r>
      <w:proofErr w:type="spellEnd"/>
      <w:r w:rsidRPr="00DC5899">
        <w:rPr>
          <w:rFonts w:ascii="Verdana" w:hAnsi="Verdana"/>
          <w:kern w:val="2"/>
          <w:sz w:val="18"/>
        </w:rPr>
        <w:t>, une quantité journalière maximale de 27</w:t>
      </w:r>
      <w:r w:rsidR="004C32BB" w:rsidRPr="00DC5899">
        <w:rPr>
          <w:rFonts w:ascii="Verdana" w:hAnsi="Verdana"/>
          <w:kern w:val="2"/>
          <w:sz w:val="18"/>
        </w:rPr>
        <w:t> </w:t>
      </w:r>
      <w:r w:rsidRPr="00DC5899">
        <w:rPr>
          <w:rFonts w:ascii="Verdana" w:hAnsi="Verdana"/>
          <w:kern w:val="2"/>
          <w:sz w:val="18"/>
        </w:rPr>
        <w:t>mg de p-</w:t>
      </w:r>
      <w:proofErr w:type="spellStart"/>
      <w:r w:rsidRPr="00DC5899">
        <w:rPr>
          <w:rFonts w:ascii="Verdana" w:hAnsi="Verdana"/>
          <w:kern w:val="2"/>
          <w:sz w:val="18"/>
        </w:rPr>
        <w:t>synéphrine</w:t>
      </w:r>
      <w:proofErr w:type="spellEnd"/>
      <w:r w:rsidRPr="00DC5899">
        <w:rPr>
          <w:rFonts w:ascii="Verdana" w:hAnsi="Verdana"/>
          <w:kern w:val="2"/>
          <w:sz w:val="18"/>
        </w:rPr>
        <w:t xml:space="preserve"> a été calculée sur la base d’une absorption par le biais de l’alimentation. Ce maximum est repris dans le paragraphe</w:t>
      </w:r>
      <w:r w:rsidR="004C32BB" w:rsidRPr="00DC5899">
        <w:rPr>
          <w:rFonts w:ascii="Verdana" w:hAnsi="Verdana"/>
          <w:kern w:val="2"/>
          <w:sz w:val="18"/>
        </w:rPr>
        <w:t> </w:t>
      </w:r>
      <w:r w:rsidRPr="00DC5899">
        <w:rPr>
          <w:rFonts w:ascii="Verdana" w:hAnsi="Verdana"/>
          <w:kern w:val="2"/>
          <w:sz w:val="18"/>
        </w:rPr>
        <w:t>4 de l’article</w:t>
      </w:r>
      <w:r w:rsidR="004C32BB" w:rsidRPr="00DC5899">
        <w:rPr>
          <w:rFonts w:ascii="Verdana" w:hAnsi="Verdana"/>
          <w:kern w:val="2"/>
          <w:sz w:val="18"/>
        </w:rPr>
        <w:t> </w:t>
      </w:r>
      <w:r w:rsidRPr="00DC5899">
        <w:rPr>
          <w:rFonts w:ascii="Verdana" w:hAnsi="Verdana"/>
          <w:kern w:val="2"/>
          <w:sz w:val="18"/>
        </w:rPr>
        <w:t>4.</w:t>
      </w:r>
    </w:p>
    <w:p w14:paraId="67A7274B" w14:textId="0DFB4494" w:rsidR="008250DF" w:rsidRPr="00DC5899" w:rsidRDefault="008250DF" w:rsidP="00E17C57">
      <w:pPr>
        <w:tabs>
          <w:tab w:val="left" w:pos="2268"/>
        </w:tabs>
        <w:ind w:left="2268"/>
        <w:rPr>
          <w:rFonts w:ascii="Verdana" w:hAnsi="Verdana"/>
          <w:kern w:val="2"/>
          <w:sz w:val="18"/>
          <w:szCs w:val="18"/>
        </w:rPr>
      </w:pPr>
      <w:proofErr w:type="spellStart"/>
      <w:r w:rsidRPr="00DC5899">
        <w:rPr>
          <w:rFonts w:ascii="Verdana" w:hAnsi="Verdana"/>
          <w:kern w:val="2"/>
          <w:sz w:val="18"/>
        </w:rPr>
        <w:t>Ricinus</w:t>
      </w:r>
      <w:proofErr w:type="spellEnd"/>
      <w:r w:rsidRPr="00DC5899">
        <w:rPr>
          <w:rFonts w:ascii="Verdana" w:hAnsi="Verdana"/>
          <w:kern w:val="2"/>
          <w:sz w:val="18"/>
        </w:rPr>
        <w:t xml:space="preserve"> </w:t>
      </w:r>
      <w:proofErr w:type="spellStart"/>
      <w:r w:rsidRPr="00DC5899">
        <w:rPr>
          <w:rFonts w:ascii="Verdana" w:hAnsi="Verdana"/>
          <w:kern w:val="2"/>
          <w:sz w:val="18"/>
        </w:rPr>
        <w:t>communis</w:t>
      </w:r>
      <w:proofErr w:type="spellEnd"/>
      <w:r w:rsidRPr="00DC5899">
        <w:rPr>
          <w:rFonts w:ascii="Verdana" w:hAnsi="Verdana"/>
          <w:kern w:val="2"/>
          <w:sz w:val="18"/>
        </w:rPr>
        <w:t xml:space="preserve"> a été repris dans la partie</w:t>
      </w:r>
      <w:r w:rsidR="004C32BB" w:rsidRPr="00DC5899">
        <w:rPr>
          <w:rFonts w:ascii="Verdana" w:hAnsi="Verdana"/>
          <w:kern w:val="2"/>
          <w:sz w:val="18"/>
        </w:rPr>
        <w:t> </w:t>
      </w:r>
      <w:r w:rsidRPr="00DC5899">
        <w:rPr>
          <w:rFonts w:ascii="Verdana" w:hAnsi="Verdana"/>
          <w:kern w:val="2"/>
          <w:sz w:val="18"/>
        </w:rPr>
        <w:t>II de l’annexe du décret adopté en vertu de la loi sur les denrées alimentaires relatif aux préparations à base de plantes. L’actuel article</w:t>
      </w:r>
      <w:r w:rsidR="004C32BB" w:rsidRPr="00DC5899">
        <w:rPr>
          <w:rFonts w:ascii="Verdana" w:hAnsi="Verdana"/>
          <w:kern w:val="2"/>
          <w:sz w:val="18"/>
        </w:rPr>
        <w:t> </w:t>
      </w:r>
      <w:r w:rsidRPr="00DC5899">
        <w:rPr>
          <w:rFonts w:ascii="Verdana" w:hAnsi="Verdana"/>
          <w:kern w:val="2"/>
          <w:sz w:val="18"/>
        </w:rPr>
        <w:t>4, paragraphe</w:t>
      </w:r>
      <w:r w:rsidR="004C32BB" w:rsidRPr="00DC5899">
        <w:rPr>
          <w:rFonts w:ascii="Verdana" w:hAnsi="Verdana"/>
          <w:kern w:val="2"/>
          <w:sz w:val="18"/>
        </w:rPr>
        <w:t> </w:t>
      </w:r>
      <w:r w:rsidRPr="00DC5899">
        <w:rPr>
          <w:rFonts w:ascii="Verdana" w:hAnsi="Verdana"/>
          <w:kern w:val="2"/>
          <w:sz w:val="18"/>
        </w:rPr>
        <w:t xml:space="preserve">3, détermine que les préparations à base de plantes ne peuvent contenir aucun matériau provenant totalement ou partiellement de </w:t>
      </w:r>
      <w:proofErr w:type="spellStart"/>
      <w:r w:rsidRPr="00DC5899">
        <w:rPr>
          <w:rFonts w:ascii="Verdana" w:hAnsi="Verdana"/>
          <w:kern w:val="2"/>
          <w:sz w:val="18"/>
        </w:rPr>
        <w:t>Ricinus</w:t>
      </w:r>
      <w:proofErr w:type="spellEnd"/>
      <w:r w:rsidRPr="00DC5899">
        <w:rPr>
          <w:rFonts w:ascii="Verdana" w:hAnsi="Verdana"/>
          <w:kern w:val="2"/>
          <w:sz w:val="18"/>
        </w:rPr>
        <w:t xml:space="preserve"> </w:t>
      </w:r>
      <w:proofErr w:type="spellStart"/>
      <w:r w:rsidRPr="00DC5899">
        <w:rPr>
          <w:rFonts w:ascii="Verdana" w:hAnsi="Verdana"/>
          <w:kern w:val="2"/>
          <w:sz w:val="18"/>
        </w:rPr>
        <w:t>communis</w:t>
      </w:r>
      <w:proofErr w:type="spellEnd"/>
      <w:r w:rsidRPr="00DC5899">
        <w:rPr>
          <w:rFonts w:ascii="Verdana" w:hAnsi="Verdana"/>
          <w:kern w:val="2"/>
          <w:sz w:val="18"/>
        </w:rPr>
        <w:t>. Il ressort toutefois de la recherche du RIVM</w:t>
      </w:r>
      <w:r w:rsidRPr="00DC5899">
        <w:rPr>
          <w:rStyle w:val="FootnoteReference"/>
          <w:rFonts w:ascii="Verdana" w:hAnsi="Verdana"/>
          <w:kern w:val="2"/>
          <w:sz w:val="18"/>
        </w:rPr>
        <w:footnoteReference w:id="8"/>
      </w:r>
      <w:r w:rsidRPr="00DC5899">
        <w:rPr>
          <w:rFonts w:ascii="Verdana" w:hAnsi="Verdana"/>
          <w:kern w:val="2"/>
          <w:sz w:val="18"/>
        </w:rPr>
        <w:t xml:space="preserve"> qu’une prise maximale de 0,4</w:t>
      </w:r>
      <w:r w:rsidR="004C32BB" w:rsidRPr="00DC5899">
        <w:rPr>
          <w:rFonts w:ascii="Verdana" w:hAnsi="Verdana"/>
          <w:kern w:val="2"/>
          <w:sz w:val="18"/>
        </w:rPr>
        <w:t> </w:t>
      </w:r>
      <w:r w:rsidRPr="00DC5899">
        <w:rPr>
          <w:rFonts w:ascii="Verdana" w:hAnsi="Verdana"/>
          <w:kern w:val="2"/>
          <w:sz w:val="18"/>
        </w:rPr>
        <w:t xml:space="preserve">g par jour d’huile extraite de graines de </w:t>
      </w:r>
      <w:proofErr w:type="spellStart"/>
      <w:r w:rsidRPr="00DC5899">
        <w:rPr>
          <w:rFonts w:ascii="Verdana" w:hAnsi="Verdana"/>
          <w:kern w:val="2"/>
          <w:sz w:val="18"/>
        </w:rPr>
        <w:t>Ricinus</w:t>
      </w:r>
      <w:proofErr w:type="spellEnd"/>
      <w:r w:rsidRPr="00DC5899">
        <w:rPr>
          <w:rFonts w:ascii="Verdana" w:hAnsi="Verdana"/>
          <w:kern w:val="2"/>
          <w:sz w:val="18"/>
        </w:rPr>
        <w:t xml:space="preserve"> </w:t>
      </w:r>
      <w:proofErr w:type="spellStart"/>
      <w:r w:rsidRPr="00DC5899">
        <w:rPr>
          <w:rFonts w:ascii="Verdana" w:hAnsi="Verdana"/>
          <w:kern w:val="2"/>
          <w:sz w:val="18"/>
        </w:rPr>
        <w:t>communis</w:t>
      </w:r>
      <w:proofErr w:type="spellEnd"/>
      <w:r w:rsidRPr="00DC5899">
        <w:rPr>
          <w:rFonts w:ascii="Verdana" w:hAnsi="Verdana"/>
          <w:kern w:val="2"/>
          <w:sz w:val="18"/>
        </w:rPr>
        <w:t xml:space="preserve"> n’est pas nocive pour la santé publique. C’est la raison pour laquelle, un nouveau paragraphe</w:t>
      </w:r>
      <w:r w:rsidR="004C32BB" w:rsidRPr="00DC5899">
        <w:rPr>
          <w:rFonts w:ascii="Verdana" w:hAnsi="Verdana"/>
          <w:kern w:val="2"/>
          <w:sz w:val="18"/>
        </w:rPr>
        <w:t> </w:t>
      </w:r>
      <w:r w:rsidRPr="00DC5899">
        <w:rPr>
          <w:rFonts w:ascii="Verdana" w:hAnsi="Verdana"/>
          <w:kern w:val="2"/>
          <w:sz w:val="18"/>
        </w:rPr>
        <w:t>5 a été ajouté à l’article</w:t>
      </w:r>
      <w:r w:rsidR="004C32BB" w:rsidRPr="00DC5899">
        <w:rPr>
          <w:rFonts w:ascii="Verdana" w:hAnsi="Verdana"/>
          <w:kern w:val="2"/>
          <w:sz w:val="18"/>
        </w:rPr>
        <w:t> </w:t>
      </w:r>
      <w:r w:rsidRPr="00DC5899">
        <w:rPr>
          <w:rFonts w:ascii="Verdana" w:hAnsi="Verdana"/>
          <w:kern w:val="2"/>
          <w:sz w:val="18"/>
        </w:rPr>
        <w:t xml:space="preserve">4 du décret adopté en vertu de la loi sur les denrées alimentaires relatif aux préparations à base de plantes, qui permet ce qui précède. </w:t>
      </w:r>
    </w:p>
    <w:p w14:paraId="129B5DA7" w14:textId="77777777" w:rsidR="00FC5154" w:rsidRPr="00DC5899" w:rsidRDefault="00FC5154" w:rsidP="00E17C57">
      <w:pPr>
        <w:tabs>
          <w:tab w:val="left" w:pos="2268"/>
        </w:tabs>
        <w:ind w:left="2268"/>
        <w:rPr>
          <w:rFonts w:ascii="Verdana" w:hAnsi="Verdana"/>
          <w:kern w:val="2"/>
          <w:sz w:val="18"/>
          <w:szCs w:val="18"/>
        </w:rPr>
      </w:pPr>
    </w:p>
    <w:p w14:paraId="6D648C0F" w14:textId="77777777" w:rsidR="002714CE" w:rsidRPr="00DC5899" w:rsidRDefault="002714CE" w:rsidP="00E17C57">
      <w:pPr>
        <w:keepNext/>
        <w:keepLines/>
        <w:tabs>
          <w:tab w:val="left" w:pos="2268"/>
        </w:tabs>
        <w:ind w:left="2268"/>
        <w:rPr>
          <w:rFonts w:ascii="Verdana" w:hAnsi="Verdana"/>
          <w:i/>
          <w:kern w:val="2"/>
          <w:sz w:val="18"/>
          <w:szCs w:val="18"/>
        </w:rPr>
      </w:pPr>
      <w:r w:rsidRPr="00DC5899">
        <w:rPr>
          <w:rFonts w:ascii="Verdana" w:hAnsi="Verdana"/>
          <w:i/>
          <w:kern w:val="2"/>
          <w:sz w:val="18"/>
        </w:rPr>
        <w:t>Article I, point B</w:t>
      </w:r>
    </w:p>
    <w:p w14:paraId="455E04B9" w14:textId="4D2F1D29" w:rsidR="002714CE" w:rsidRPr="00DC5899" w:rsidRDefault="002714CE" w:rsidP="00E17C57">
      <w:pPr>
        <w:tabs>
          <w:tab w:val="left" w:pos="2268"/>
        </w:tabs>
        <w:ind w:left="2268"/>
        <w:rPr>
          <w:rFonts w:ascii="Verdana" w:hAnsi="Verdana"/>
          <w:kern w:val="2"/>
          <w:sz w:val="18"/>
          <w:szCs w:val="18"/>
        </w:rPr>
      </w:pPr>
      <w:r w:rsidRPr="00DC5899">
        <w:rPr>
          <w:rFonts w:ascii="Verdana" w:hAnsi="Verdana"/>
          <w:kern w:val="2"/>
          <w:sz w:val="18"/>
        </w:rPr>
        <w:t>Un paragraphe</w:t>
      </w:r>
      <w:r w:rsidR="004C32BB" w:rsidRPr="00DC5899">
        <w:rPr>
          <w:rFonts w:ascii="Verdana" w:hAnsi="Verdana"/>
          <w:kern w:val="2"/>
          <w:sz w:val="18"/>
        </w:rPr>
        <w:t> </w:t>
      </w:r>
      <w:r w:rsidRPr="00DC5899">
        <w:rPr>
          <w:rFonts w:ascii="Verdana" w:hAnsi="Verdana"/>
          <w:kern w:val="2"/>
          <w:sz w:val="18"/>
        </w:rPr>
        <w:t>3 a été ajouté à l’article</w:t>
      </w:r>
      <w:r w:rsidR="004C32BB" w:rsidRPr="00DC5899">
        <w:rPr>
          <w:rFonts w:ascii="Verdana" w:hAnsi="Verdana"/>
          <w:kern w:val="2"/>
          <w:sz w:val="18"/>
        </w:rPr>
        <w:t> </w:t>
      </w:r>
      <w:r w:rsidRPr="00DC5899">
        <w:rPr>
          <w:rFonts w:ascii="Verdana" w:hAnsi="Verdana"/>
          <w:kern w:val="2"/>
          <w:sz w:val="18"/>
        </w:rPr>
        <w:t>6. On y prévoit la possibilité de fixer des modalités par règlement ministériel sur l’utilisation prescrite et les recommandations de dosage visées aux paragraphes</w:t>
      </w:r>
      <w:r w:rsidR="004C32BB" w:rsidRPr="00DC5899">
        <w:rPr>
          <w:rFonts w:ascii="Verdana" w:hAnsi="Verdana"/>
          <w:kern w:val="2"/>
          <w:sz w:val="18"/>
        </w:rPr>
        <w:t> </w:t>
      </w:r>
      <w:r w:rsidRPr="00DC5899">
        <w:rPr>
          <w:rFonts w:ascii="Verdana" w:hAnsi="Verdana"/>
          <w:kern w:val="2"/>
          <w:sz w:val="18"/>
        </w:rPr>
        <w:t xml:space="preserve">1 et 2. Il en sera fait usage pour des substances qui peuvent avoir des effets néfastes sur la santé à un certain usage et un certain dosage. Par le biais de l’utilisation prescrite et de recommandations de dosage, le consommateur peut être averti. </w:t>
      </w:r>
    </w:p>
    <w:p w14:paraId="42E80EFD" w14:textId="77777777" w:rsidR="00FC5154" w:rsidRPr="00DC5899" w:rsidRDefault="00FC5154" w:rsidP="00E17C57">
      <w:pPr>
        <w:tabs>
          <w:tab w:val="left" w:pos="2268"/>
        </w:tabs>
        <w:ind w:left="2268"/>
        <w:rPr>
          <w:rFonts w:ascii="Verdana" w:hAnsi="Verdana"/>
          <w:kern w:val="2"/>
          <w:sz w:val="18"/>
          <w:szCs w:val="18"/>
        </w:rPr>
      </w:pPr>
    </w:p>
    <w:p w14:paraId="5B93DB52" w14:textId="46A8DA4C" w:rsidR="003143CD" w:rsidRPr="00DC5899" w:rsidRDefault="003143CD" w:rsidP="00E17C57">
      <w:pPr>
        <w:keepNext/>
        <w:keepLines/>
        <w:tabs>
          <w:tab w:val="left" w:pos="2268"/>
        </w:tabs>
        <w:ind w:left="2268"/>
        <w:rPr>
          <w:rFonts w:ascii="Verdana" w:hAnsi="Verdana"/>
          <w:i/>
          <w:kern w:val="2"/>
          <w:sz w:val="18"/>
          <w:szCs w:val="18"/>
        </w:rPr>
      </w:pPr>
      <w:r w:rsidRPr="00DC5899">
        <w:rPr>
          <w:rFonts w:ascii="Verdana" w:hAnsi="Verdana"/>
          <w:i/>
          <w:kern w:val="2"/>
          <w:sz w:val="18"/>
        </w:rPr>
        <w:t>Article premier, point C, et point D, point</w:t>
      </w:r>
      <w:r w:rsidR="004C32BB" w:rsidRPr="00DC5899">
        <w:rPr>
          <w:rFonts w:ascii="Verdana" w:hAnsi="Verdana"/>
          <w:i/>
          <w:kern w:val="2"/>
          <w:sz w:val="18"/>
        </w:rPr>
        <w:t> </w:t>
      </w:r>
      <w:r w:rsidRPr="00DC5899">
        <w:rPr>
          <w:rFonts w:ascii="Verdana" w:hAnsi="Verdana"/>
          <w:i/>
          <w:kern w:val="2"/>
          <w:sz w:val="18"/>
        </w:rPr>
        <w:t>10</w:t>
      </w:r>
    </w:p>
    <w:p w14:paraId="5251C9B5" w14:textId="77777777" w:rsidR="003143CD" w:rsidRPr="00DC5899" w:rsidRDefault="003143CD" w:rsidP="00E17C57">
      <w:pPr>
        <w:tabs>
          <w:tab w:val="left" w:pos="2268"/>
        </w:tabs>
        <w:ind w:left="2268"/>
        <w:rPr>
          <w:rFonts w:ascii="Verdana" w:hAnsi="Verdana"/>
          <w:kern w:val="2"/>
          <w:sz w:val="18"/>
          <w:szCs w:val="18"/>
        </w:rPr>
      </w:pPr>
      <w:r w:rsidRPr="00DC5899">
        <w:rPr>
          <w:rFonts w:ascii="Verdana" w:hAnsi="Verdana"/>
          <w:kern w:val="2"/>
          <w:sz w:val="18"/>
        </w:rPr>
        <w:t>Ce changement concerne le droit transitoire détaillé.</w:t>
      </w:r>
    </w:p>
    <w:p w14:paraId="26B3F454" w14:textId="77777777" w:rsidR="00E17C57" w:rsidRPr="00DC5899" w:rsidRDefault="00E17C57" w:rsidP="00E17C57">
      <w:pPr>
        <w:tabs>
          <w:tab w:val="left" w:pos="2268"/>
        </w:tabs>
        <w:ind w:left="2268"/>
        <w:rPr>
          <w:rFonts w:ascii="Verdana" w:hAnsi="Verdana"/>
          <w:kern w:val="2"/>
          <w:sz w:val="18"/>
          <w:szCs w:val="18"/>
        </w:rPr>
      </w:pPr>
    </w:p>
    <w:p w14:paraId="60B1109B" w14:textId="77777777" w:rsidR="00DE4D7B" w:rsidRPr="00DC5899" w:rsidRDefault="00773541" w:rsidP="00E17C57">
      <w:pPr>
        <w:keepNext/>
        <w:keepLines/>
        <w:tabs>
          <w:tab w:val="left" w:pos="2268"/>
        </w:tabs>
        <w:ind w:left="2268"/>
        <w:rPr>
          <w:rFonts w:ascii="Verdana" w:hAnsi="Verdana"/>
          <w:i/>
          <w:kern w:val="2"/>
          <w:sz w:val="18"/>
          <w:szCs w:val="18"/>
        </w:rPr>
      </w:pPr>
      <w:r w:rsidRPr="00DC5899">
        <w:rPr>
          <w:rFonts w:ascii="Verdana" w:hAnsi="Verdana"/>
          <w:i/>
          <w:kern w:val="2"/>
          <w:sz w:val="18"/>
        </w:rPr>
        <w:t>Article premier, partie D, points 4 à 9</w:t>
      </w:r>
    </w:p>
    <w:p w14:paraId="03D6FF33" w14:textId="449A7D30" w:rsidR="007C6E9D" w:rsidRPr="00DC5899" w:rsidRDefault="007C6E9D" w:rsidP="00E17C57">
      <w:pPr>
        <w:tabs>
          <w:tab w:val="left" w:pos="2268"/>
        </w:tabs>
        <w:ind w:left="2268"/>
        <w:rPr>
          <w:rFonts w:ascii="Verdana" w:hAnsi="Verdana"/>
          <w:kern w:val="2"/>
          <w:sz w:val="18"/>
          <w:szCs w:val="18"/>
        </w:rPr>
      </w:pPr>
      <w:r w:rsidRPr="00DC5899">
        <w:rPr>
          <w:rFonts w:ascii="Verdana" w:hAnsi="Verdana"/>
          <w:kern w:val="2"/>
          <w:sz w:val="18"/>
        </w:rPr>
        <w:t>L’article</w:t>
      </w:r>
      <w:r w:rsidR="004C32BB" w:rsidRPr="00DC5899">
        <w:rPr>
          <w:rFonts w:ascii="Verdana" w:hAnsi="Verdana"/>
          <w:kern w:val="2"/>
          <w:sz w:val="18"/>
        </w:rPr>
        <w:t> </w:t>
      </w:r>
      <w:r w:rsidRPr="00DC5899">
        <w:rPr>
          <w:rFonts w:ascii="Verdana" w:hAnsi="Verdana"/>
          <w:kern w:val="2"/>
          <w:sz w:val="18"/>
        </w:rPr>
        <w:t>4, paragraphe</w:t>
      </w:r>
      <w:r w:rsidR="004C32BB" w:rsidRPr="00DC5899">
        <w:rPr>
          <w:rFonts w:ascii="Verdana" w:hAnsi="Verdana"/>
          <w:kern w:val="2"/>
          <w:sz w:val="18"/>
        </w:rPr>
        <w:t> </w:t>
      </w:r>
      <w:r w:rsidRPr="00DC5899">
        <w:rPr>
          <w:rFonts w:ascii="Verdana" w:hAnsi="Verdana"/>
          <w:kern w:val="2"/>
          <w:sz w:val="18"/>
        </w:rPr>
        <w:t>3, modifié du décret adopté en vertu de la loi sur les denrées alimentaires relatif aux préparations à base de plantes détermine que les préparations à base de plantes ne peuvent contenir aucun matériau provenant totalement ou partiellement de plantes et de champignons visés dans l’annexe. Quelques plantes ont été ajoutées à l’annexe (ancienne partie</w:t>
      </w:r>
      <w:r w:rsidR="004C32BB" w:rsidRPr="00DC5899">
        <w:rPr>
          <w:rFonts w:ascii="Verdana" w:hAnsi="Verdana"/>
          <w:kern w:val="2"/>
          <w:sz w:val="18"/>
        </w:rPr>
        <w:t> </w:t>
      </w:r>
      <w:r w:rsidRPr="00DC5899">
        <w:rPr>
          <w:rFonts w:ascii="Verdana" w:hAnsi="Verdana"/>
          <w:kern w:val="2"/>
          <w:sz w:val="18"/>
        </w:rPr>
        <w:t>II), du fait qu’elles peuvent avoir des effets gravement néfastes sur la santé (article premier, partie D, point</w:t>
      </w:r>
      <w:r w:rsidR="004C32BB" w:rsidRPr="00DC5899">
        <w:rPr>
          <w:rFonts w:ascii="Verdana" w:hAnsi="Verdana"/>
          <w:kern w:val="2"/>
          <w:sz w:val="18"/>
        </w:rPr>
        <w:t> </w:t>
      </w:r>
      <w:r w:rsidRPr="00DC5899">
        <w:rPr>
          <w:rFonts w:ascii="Verdana" w:hAnsi="Verdana"/>
          <w:kern w:val="2"/>
          <w:sz w:val="18"/>
        </w:rPr>
        <w:t>4).</w:t>
      </w:r>
    </w:p>
    <w:p w14:paraId="6A0908CA" w14:textId="77777777" w:rsidR="00DD3086" w:rsidRPr="00DC5899" w:rsidRDefault="00DD3086" w:rsidP="00E17C57">
      <w:pPr>
        <w:tabs>
          <w:tab w:val="left" w:pos="2268"/>
        </w:tabs>
        <w:ind w:left="2268"/>
        <w:rPr>
          <w:rFonts w:ascii="Verdana" w:hAnsi="Verdana"/>
          <w:kern w:val="2"/>
          <w:sz w:val="18"/>
          <w:szCs w:val="18"/>
        </w:rPr>
      </w:pPr>
    </w:p>
    <w:p w14:paraId="77A30F3C" w14:textId="1BC72040" w:rsidR="007F2C23" w:rsidRPr="00DC5899" w:rsidRDefault="00DD3086" w:rsidP="00E17C57">
      <w:pPr>
        <w:tabs>
          <w:tab w:val="left" w:pos="2268"/>
        </w:tabs>
        <w:ind w:left="2268"/>
        <w:rPr>
          <w:rFonts w:ascii="Verdana" w:hAnsi="Verdana"/>
          <w:kern w:val="2"/>
          <w:sz w:val="18"/>
          <w:szCs w:val="18"/>
        </w:rPr>
      </w:pPr>
      <w:r w:rsidRPr="00DC5899">
        <w:rPr>
          <w:rFonts w:ascii="Verdana" w:hAnsi="Verdana"/>
          <w:kern w:val="2"/>
          <w:sz w:val="18"/>
        </w:rPr>
        <w:t>À l’article premier, partie D, points 5 à 9, de ce décret, on recourt à la possibilité de corriger certaines erreurs mineures de l’ancienne partie</w:t>
      </w:r>
      <w:r w:rsidR="004C32BB" w:rsidRPr="00DC5899">
        <w:rPr>
          <w:rFonts w:ascii="Verdana" w:hAnsi="Verdana"/>
          <w:kern w:val="2"/>
          <w:sz w:val="18"/>
        </w:rPr>
        <w:t> </w:t>
      </w:r>
      <w:r w:rsidRPr="00DC5899">
        <w:rPr>
          <w:rFonts w:ascii="Verdana" w:hAnsi="Verdana"/>
          <w:kern w:val="2"/>
          <w:sz w:val="18"/>
        </w:rPr>
        <w:t xml:space="preserve">II de l’annexe. Dans un premier temps, quelques fautes de frappe sont corrigées. Ensuite, il est désormais spécifié que l’herbe toxique </w:t>
      </w:r>
      <w:proofErr w:type="spellStart"/>
      <w:r w:rsidRPr="00DC5899">
        <w:rPr>
          <w:rFonts w:ascii="Verdana" w:hAnsi="Verdana"/>
          <w:kern w:val="2"/>
          <w:sz w:val="18"/>
        </w:rPr>
        <w:t>Bryonia</w:t>
      </w:r>
      <w:proofErr w:type="spellEnd"/>
      <w:r w:rsidRPr="00DC5899">
        <w:rPr>
          <w:rFonts w:ascii="Verdana" w:hAnsi="Verdana"/>
          <w:kern w:val="2"/>
          <w:sz w:val="18"/>
        </w:rPr>
        <w:t xml:space="preserve"> alba n’a rien à voir avec </w:t>
      </w:r>
      <w:proofErr w:type="spellStart"/>
      <w:r w:rsidRPr="00DC5899">
        <w:rPr>
          <w:rFonts w:ascii="Verdana" w:hAnsi="Verdana"/>
          <w:kern w:val="2"/>
          <w:sz w:val="18"/>
        </w:rPr>
        <w:t>Brassica</w:t>
      </w:r>
      <w:proofErr w:type="spellEnd"/>
      <w:r w:rsidRPr="00DC5899">
        <w:rPr>
          <w:rFonts w:ascii="Verdana" w:hAnsi="Verdana"/>
          <w:kern w:val="2"/>
          <w:sz w:val="18"/>
        </w:rPr>
        <w:t xml:space="preserve"> </w:t>
      </w:r>
      <w:proofErr w:type="spellStart"/>
      <w:r w:rsidRPr="00DC5899">
        <w:rPr>
          <w:rFonts w:ascii="Verdana" w:hAnsi="Verdana"/>
          <w:kern w:val="2"/>
          <w:sz w:val="18"/>
        </w:rPr>
        <w:t>nigra</w:t>
      </w:r>
      <w:proofErr w:type="spellEnd"/>
      <w:r w:rsidRPr="00DC5899">
        <w:rPr>
          <w:rFonts w:ascii="Verdana" w:hAnsi="Verdana"/>
          <w:kern w:val="2"/>
          <w:sz w:val="18"/>
        </w:rPr>
        <w:t xml:space="preserve"> (moutarde noire). En annexe, ils étaient involontairement énumérés côte à côte dans la liste. Ils sont désormais placés l’un en dessous de l’autre pour indiquer clairement qu’il s’agit de deux plantes bien distinctes.</w:t>
      </w:r>
    </w:p>
    <w:p w14:paraId="458C798A" w14:textId="77777777" w:rsidR="00E17C57" w:rsidRPr="00DC5899" w:rsidRDefault="00E17C57" w:rsidP="00E17C57">
      <w:pPr>
        <w:tabs>
          <w:tab w:val="left" w:pos="2268"/>
        </w:tabs>
        <w:ind w:left="2268"/>
        <w:rPr>
          <w:rFonts w:ascii="Verdana" w:hAnsi="Verdana"/>
          <w:kern w:val="2"/>
          <w:sz w:val="18"/>
          <w:szCs w:val="18"/>
        </w:rPr>
      </w:pPr>
    </w:p>
    <w:p w14:paraId="391F9001" w14:textId="77777777" w:rsidR="007F2C23" w:rsidRPr="00DC5899" w:rsidRDefault="007F2C23" w:rsidP="00E17C57">
      <w:pPr>
        <w:keepNext/>
        <w:keepLines/>
        <w:tabs>
          <w:tab w:val="left" w:pos="2268"/>
        </w:tabs>
        <w:ind w:left="2268"/>
        <w:rPr>
          <w:rFonts w:ascii="Verdana" w:hAnsi="Verdana"/>
          <w:i/>
          <w:kern w:val="2"/>
          <w:sz w:val="18"/>
          <w:szCs w:val="18"/>
        </w:rPr>
      </w:pPr>
      <w:r w:rsidRPr="00DC5899">
        <w:rPr>
          <w:rFonts w:ascii="Verdana" w:hAnsi="Verdana"/>
          <w:i/>
          <w:kern w:val="2"/>
          <w:sz w:val="18"/>
        </w:rPr>
        <w:t>Article II</w:t>
      </w:r>
    </w:p>
    <w:p w14:paraId="0AE44D49" w14:textId="2B4C05C5" w:rsidR="003143CD" w:rsidRPr="00DC5899" w:rsidRDefault="00C93CDF" w:rsidP="00E17C57">
      <w:pPr>
        <w:ind w:left="2268"/>
        <w:rPr>
          <w:rFonts w:ascii="Verdana" w:hAnsi="Verdana"/>
          <w:sz w:val="18"/>
          <w:szCs w:val="18"/>
        </w:rPr>
      </w:pPr>
      <w:r w:rsidRPr="00DC5899">
        <w:rPr>
          <w:rFonts w:ascii="Verdana" w:hAnsi="Verdana"/>
          <w:sz w:val="18"/>
        </w:rPr>
        <w:t>L’article</w:t>
      </w:r>
      <w:r w:rsidR="004C32BB" w:rsidRPr="00DC5899">
        <w:rPr>
          <w:rFonts w:ascii="Verdana" w:hAnsi="Verdana"/>
          <w:sz w:val="18"/>
        </w:rPr>
        <w:t> </w:t>
      </w:r>
      <w:r w:rsidRPr="00DC5899">
        <w:rPr>
          <w:rFonts w:ascii="Verdana" w:hAnsi="Verdana"/>
          <w:sz w:val="18"/>
        </w:rPr>
        <w:t>4, paragraphe</w:t>
      </w:r>
      <w:r w:rsidR="004C32BB" w:rsidRPr="00DC5899">
        <w:rPr>
          <w:rFonts w:ascii="Verdana" w:hAnsi="Verdana"/>
          <w:sz w:val="18"/>
        </w:rPr>
        <w:t> </w:t>
      </w:r>
      <w:r w:rsidRPr="00DC5899">
        <w:rPr>
          <w:rFonts w:ascii="Verdana" w:hAnsi="Verdana"/>
          <w:sz w:val="18"/>
        </w:rPr>
        <w:t>5, du décret adopté en vertu de la loi sur les denrées alimentaires relatif aux préparations à base de plantes est ajouté à l’annexe du décret adopté en vertu de la loi sur les denrées alimentaires relatif aux amendes administratives, de sorte que toute infraction peut être sanctionnée d’une amende administrative.</w:t>
      </w:r>
    </w:p>
    <w:p w14:paraId="7375919A" w14:textId="77777777" w:rsidR="007F2C23" w:rsidRPr="00DC5899" w:rsidRDefault="007F2C23" w:rsidP="00E17C57">
      <w:pPr>
        <w:tabs>
          <w:tab w:val="left" w:pos="2268"/>
        </w:tabs>
        <w:ind w:left="2268"/>
        <w:rPr>
          <w:rFonts w:ascii="Verdana" w:hAnsi="Verdana"/>
          <w:kern w:val="2"/>
          <w:sz w:val="18"/>
          <w:szCs w:val="18"/>
        </w:rPr>
      </w:pPr>
    </w:p>
    <w:p w14:paraId="005FC7F8" w14:textId="77777777" w:rsidR="003143CD" w:rsidRPr="00DC5899" w:rsidRDefault="003143CD" w:rsidP="00E17C57">
      <w:pPr>
        <w:tabs>
          <w:tab w:val="left" w:pos="2268"/>
        </w:tabs>
        <w:ind w:left="2268"/>
        <w:rPr>
          <w:rFonts w:ascii="Verdana" w:hAnsi="Verdana"/>
          <w:kern w:val="2"/>
          <w:sz w:val="18"/>
          <w:szCs w:val="18"/>
        </w:rPr>
      </w:pPr>
      <w:r w:rsidRPr="00DC5899">
        <w:rPr>
          <w:rFonts w:ascii="Verdana" w:hAnsi="Verdana"/>
          <w:kern w:val="2"/>
          <w:sz w:val="18"/>
        </w:rPr>
        <w:t>Le ministre des soins médicaux,</w:t>
      </w:r>
    </w:p>
    <w:p w14:paraId="29F115F7" w14:textId="77777777" w:rsidR="003143CD" w:rsidRPr="00DC5899" w:rsidRDefault="003143CD" w:rsidP="00E17C57">
      <w:pPr>
        <w:tabs>
          <w:tab w:val="left" w:pos="2268"/>
        </w:tabs>
        <w:ind w:left="2268"/>
        <w:rPr>
          <w:rFonts w:ascii="Verdana" w:hAnsi="Verdana"/>
          <w:kern w:val="2"/>
          <w:sz w:val="18"/>
          <w:szCs w:val="18"/>
        </w:rPr>
      </w:pPr>
    </w:p>
    <w:p w14:paraId="20E45EE1" w14:textId="77777777" w:rsidR="003143CD" w:rsidRPr="00DC5899" w:rsidRDefault="003143CD" w:rsidP="00E17C57">
      <w:pPr>
        <w:tabs>
          <w:tab w:val="left" w:pos="2268"/>
        </w:tabs>
        <w:ind w:left="2268"/>
        <w:rPr>
          <w:rFonts w:ascii="Verdana" w:hAnsi="Verdana"/>
          <w:kern w:val="2"/>
          <w:sz w:val="18"/>
          <w:szCs w:val="18"/>
        </w:rPr>
      </w:pPr>
    </w:p>
    <w:p w14:paraId="74188F6A" w14:textId="77777777" w:rsidR="003143CD" w:rsidRPr="00DC5899" w:rsidRDefault="003143CD" w:rsidP="00E17C57">
      <w:pPr>
        <w:tabs>
          <w:tab w:val="left" w:pos="2268"/>
        </w:tabs>
        <w:ind w:left="2268"/>
        <w:rPr>
          <w:rFonts w:ascii="Verdana" w:hAnsi="Verdana"/>
          <w:kern w:val="2"/>
          <w:sz w:val="18"/>
          <w:szCs w:val="18"/>
        </w:rPr>
      </w:pPr>
      <w:r w:rsidRPr="00DC5899">
        <w:rPr>
          <w:rFonts w:ascii="Verdana" w:hAnsi="Verdana"/>
          <w:kern w:val="2"/>
          <w:sz w:val="18"/>
        </w:rPr>
        <w:t xml:space="preserve">B. J. </w:t>
      </w:r>
      <w:proofErr w:type="spellStart"/>
      <w:r w:rsidRPr="00DC5899">
        <w:rPr>
          <w:rFonts w:ascii="Verdana" w:hAnsi="Verdana"/>
          <w:kern w:val="2"/>
          <w:sz w:val="18"/>
        </w:rPr>
        <w:t>Bruins</w:t>
      </w:r>
      <w:proofErr w:type="spellEnd"/>
    </w:p>
    <w:sectPr w:rsidR="003143CD" w:rsidRPr="00DC5899" w:rsidSect="00E17C57">
      <w:headerReference w:type="even" r:id="rId8"/>
      <w:headerReference w:type="default" r:id="rId9"/>
      <w:footerReference w:type="even" r:id="rId10"/>
      <w:footerReference w:type="default" r:id="rId11"/>
      <w:headerReference w:type="first" r:id="rId12"/>
      <w:footerReference w:type="first" r:id="rId13"/>
      <w:pgSz w:w="11906" w:h="16838" w:code="9"/>
      <w:pgMar w:top="1763" w:right="1826" w:bottom="1134" w:left="851" w:header="0" w:footer="4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CBA46" w14:textId="77777777" w:rsidR="00470643" w:rsidRDefault="00470643">
      <w:r>
        <w:separator/>
      </w:r>
    </w:p>
  </w:endnote>
  <w:endnote w:type="continuationSeparator" w:id="0">
    <w:p w14:paraId="1D270CE9" w14:textId="77777777" w:rsidR="00470643" w:rsidRDefault="0047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DF760" w14:textId="77777777" w:rsidR="004C32BB" w:rsidRDefault="004C32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380"/>
      <w:docPartObj>
        <w:docPartGallery w:val="Page Numbers (Bottom of Page)"/>
        <w:docPartUnique/>
      </w:docPartObj>
    </w:sdtPr>
    <w:sdtEndPr/>
    <w:sdtContent>
      <w:p w14:paraId="54F5013B" w14:textId="77777777" w:rsidR="002E5EAB" w:rsidRDefault="00567EE1">
        <w:pPr>
          <w:pStyle w:val="Footer"/>
          <w:jc w:val="right"/>
        </w:pPr>
        <w:r>
          <w:rPr>
            <w:noProof/>
          </w:rPr>
          <w:fldChar w:fldCharType="begin"/>
        </w:r>
        <w:r>
          <w:rPr>
            <w:noProof/>
          </w:rPr>
          <w:instrText xml:space="preserve"> PAGE   \* MERGEFORMAT </w:instrText>
        </w:r>
        <w:r>
          <w:rPr>
            <w:noProof/>
          </w:rPr>
          <w:fldChar w:fldCharType="separate"/>
        </w:r>
        <w:r w:rsidR="00DC5899">
          <w:rPr>
            <w:noProof/>
          </w:rPr>
          <w:t>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63189"/>
      <w:docPartObj>
        <w:docPartGallery w:val="Page Numbers (Bottom of Page)"/>
        <w:docPartUnique/>
      </w:docPartObj>
    </w:sdtPr>
    <w:sdtEndPr/>
    <w:sdtContent>
      <w:p w14:paraId="042196A4" w14:textId="77777777" w:rsidR="002E5EAB" w:rsidRDefault="00567EE1">
        <w:pPr>
          <w:pStyle w:val="Footer"/>
          <w:jc w:val="right"/>
        </w:pPr>
        <w:r>
          <w:rPr>
            <w:noProof/>
          </w:rPr>
          <w:fldChar w:fldCharType="begin"/>
        </w:r>
        <w:r>
          <w:rPr>
            <w:noProof/>
          </w:rPr>
          <w:instrText xml:space="preserve"> PAGE   \* MERGEFORMAT </w:instrText>
        </w:r>
        <w:r>
          <w:rPr>
            <w:noProof/>
          </w:rPr>
          <w:fldChar w:fldCharType="separate"/>
        </w:r>
        <w:r w:rsidR="00DC589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2999E" w14:textId="77777777" w:rsidR="00470643" w:rsidRDefault="00470643">
      <w:r>
        <w:separator/>
      </w:r>
    </w:p>
  </w:footnote>
  <w:footnote w:type="continuationSeparator" w:id="0">
    <w:p w14:paraId="710E159F" w14:textId="77777777" w:rsidR="00470643" w:rsidRDefault="00470643">
      <w:r>
        <w:continuationSeparator/>
      </w:r>
    </w:p>
  </w:footnote>
  <w:footnote w:id="1">
    <w:p w14:paraId="4D3F391E" w14:textId="77777777" w:rsidR="002E5EAB" w:rsidRPr="004B6695" w:rsidRDefault="002E5EAB" w:rsidP="00B428D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Des représentants des entrepreneurs (industrie et commerce), des consommateurs, de ministères (notamment le ministère de la santé publique, du bien-être et des sports ainsi que le ministère de l’agriculture, de la nature et de la qualité alimentaire) et de l’organisme néerlandais chargé de la sécurité alimentaire et sanitaire participent à la ROW.</w:t>
      </w:r>
    </w:p>
  </w:footnote>
  <w:footnote w:id="2">
    <w:p w14:paraId="0D7F0832" w14:textId="30088858" w:rsidR="002E5EAB" w:rsidRPr="0076472B"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Évaluation des risques liés à la </w:t>
      </w:r>
      <w:proofErr w:type="spellStart"/>
      <w:r>
        <w:rPr>
          <w:rFonts w:ascii="Verdana" w:hAnsi="Verdana"/>
          <w:sz w:val="16"/>
        </w:rPr>
        <w:t>synéphrine</w:t>
      </w:r>
      <w:proofErr w:type="spellEnd"/>
      <w:r>
        <w:rPr>
          <w:rFonts w:ascii="Verdana" w:hAnsi="Verdana"/>
          <w:sz w:val="16"/>
        </w:rPr>
        <w:t>, RIVM, 14</w:t>
      </w:r>
      <w:r w:rsidR="004C32BB">
        <w:rPr>
          <w:rFonts w:ascii="Verdana" w:hAnsi="Verdana"/>
          <w:sz w:val="16"/>
        </w:rPr>
        <w:t> </w:t>
      </w:r>
      <w:r>
        <w:rPr>
          <w:rFonts w:ascii="Verdana" w:hAnsi="Verdana"/>
          <w:sz w:val="16"/>
        </w:rPr>
        <w:t>mars</w:t>
      </w:r>
      <w:r w:rsidR="004C32BB">
        <w:rPr>
          <w:rFonts w:ascii="Verdana" w:hAnsi="Verdana"/>
          <w:sz w:val="16"/>
        </w:rPr>
        <w:t> </w:t>
      </w:r>
      <w:r>
        <w:rPr>
          <w:rFonts w:ascii="Verdana" w:hAnsi="Verdana"/>
          <w:sz w:val="16"/>
        </w:rPr>
        <w:t>2018, https://www.rivm.nl/Documenten_en_publicaties/Wetenschappelijk/Rapporten/2018/maart/Risk_assessment_of_synephrine</w:t>
      </w:r>
    </w:p>
  </w:footnote>
  <w:footnote w:id="3">
    <w:p w14:paraId="5D6A26E7" w14:textId="56745103"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Conseils de </w:t>
      </w:r>
      <w:proofErr w:type="spellStart"/>
      <w:r>
        <w:rPr>
          <w:rFonts w:ascii="Verdana" w:hAnsi="Verdana"/>
          <w:sz w:val="16"/>
        </w:rPr>
        <w:t>BuRO</w:t>
      </w:r>
      <w:proofErr w:type="spellEnd"/>
      <w:r>
        <w:rPr>
          <w:rFonts w:ascii="Verdana" w:hAnsi="Verdana"/>
          <w:sz w:val="16"/>
        </w:rPr>
        <w:t xml:space="preserve"> sur l’ingestion maximale de </w:t>
      </w:r>
      <w:proofErr w:type="spellStart"/>
      <w:r>
        <w:rPr>
          <w:rFonts w:ascii="Verdana" w:hAnsi="Verdana"/>
          <w:sz w:val="16"/>
        </w:rPr>
        <w:t>synéphrine</w:t>
      </w:r>
      <w:proofErr w:type="spellEnd"/>
      <w:r>
        <w:rPr>
          <w:rFonts w:ascii="Verdana" w:hAnsi="Verdana"/>
          <w:sz w:val="16"/>
        </w:rPr>
        <w:t xml:space="preserve"> à partir de préparations à base de plantes, 26</w:t>
      </w:r>
      <w:r w:rsidR="004C32BB">
        <w:rPr>
          <w:rFonts w:ascii="Verdana" w:hAnsi="Verdana"/>
          <w:sz w:val="16"/>
        </w:rPr>
        <w:t> </w:t>
      </w:r>
      <w:r>
        <w:rPr>
          <w:rFonts w:ascii="Verdana" w:hAnsi="Verdana"/>
          <w:sz w:val="16"/>
        </w:rPr>
        <w:t>mars</w:t>
      </w:r>
      <w:r w:rsidR="004C32BB">
        <w:rPr>
          <w:rFonts w:ascii="Verdana" w:hAnsi="Verdana"/>
          <w:sz w:val="16"/>
        </w:rPr>
        <w:t> </w:t>
      </w:r>
      <w:r>
        <w:rPr>
          <w:rFonts w:ascii="Verdana" w:hAnsi="Verdana"/>
          <w:sz w:val="16"/>
        </w:rPr>
        <w:t>2018.</w:t>
      </w:r>
    </w:p>
  </w:footnote>
  <w:footnote w:id="4">
    <w:p w14:paraId="4C63435C" w14:textId="77777777" w:rsidR="002E5EAB" w:rsidRPr="004B6695" w:rsidRDefault="002E5EAB" w:rsidP="009345F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Directive (UE) 2015/1535 du Parlement européen et du Conseil du 9 septembre 2015 prévoyant une procédure d’information dans le domaine des réglementations techniques et des règles relatives aux services de la société de l’information (codification) (JO L 241 de 2015).</w:t>
      </w:r>
    </w:p>
  </w:footnote>
  <w:footnote w:id="5">
    <w:p w14:paraId="171BF94A" w14:textId="7CE07011" w:rsidR="00430B87" w:rsidRPr="004B6695" w:rsidRDefault="00430B87" w:rsidP="00430B87">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Règlement (CE) nº 1881/2006 de la Commission du 19</w:t>
      </w:r>
      <w:r w:rsidR="004C32BB">
        <w:rPr>
          <w:rFonts w:ascii="Verdana" w:hAnsi="Verdana"/>
          <w:sz w:val="16"/>
        </w:rPr>
        <w:t> </w:t>
      </w:r>
      <w:r>
        <w:rPr>
          <w:rFonts w:ascii="Verdana" w:hAnsi="Verdana"/>
          <w:sz w:val="16"/>
        </w:rPr>
        <w:t>décembre</w:t>
      </w:r>
      <w:r w:rsidR="004C32BB">
        <w:rPr>
          <w:rFonts w:ascii="Verdana" w:hAnsi="Verdana"/>
          <w:sz w:val="16"/>
        </w:rPr>
        <w:t> </w:t>
      </w:r>
      <w:r>
        <w:rPr>
          <w:rFonts w:ascii="Verdana" w:hAnsi="Verdana"/>
          <w:sz w:val="16"/>
        </w:rPr>
        <w:t>2006 portant fixation de teneurs maximales pour certains contaminants dans les denrées alimentaires (JO L 364 de 2006)</w:t>
      </w:r>
    </w:p>
  </w:footnote>
  <w:footnote w:id="6">
    <w:p w14:paraId="27374FB2" w14:textId="3BD5CBB6" w:rsidR="002E5EAB" w:rsidRPr="004B6695" w:rsidRDefault="002E5EAB" w:rsidP="00FC0162">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(2008); Évaluation des espèces de capuchons de moines chinois. Institut néerlandais pour la santé publique et l’environnement, Centre d’évaluation des substances et des risques globaux (SIR), </w:t>
      </w:r>
      <w:proofErr w:type="spellStart"/>
      <w:r>
        <w:rPr>
          <w:rFonts w:ascii="Verdana" w:hAnsi="Verdana"/>
          <w:sz w:val="16"/>
        </w:rPr>
        <w:t>Bilthoven</w:t>
      </w:r>
      <w:proofErr w:type="spellEnd"/>
      <w:r>
        <w:rPr>
          <w:rFonts w:ascii="Verdana" w:hAnsi="Verdana"/>
          <w:sz w:val="16"/>
        </w:rPr>
        <w:t>, 5</w:t>
      </w:r>
      <w:r w:rsidR="004C32BB">
        <w:rPr>
          <w:rFonts w:ascii="Verdana" w:hAnsi="Verdana"/>
          <w:sz w:val="16"/>
        </w:rPr>
        <w:t> </w:t>
      </w:r>
      <w:r>
        <w:rPr>
          <w:rFonts w:ascii="Verdana" w:hAnsi="Verdana"/>
          <w:sz w:val="16"/>
        </w:rPr>
        <w:t>décembre</w:t>
      </w:r>
      <w:r w:rsidR="004C32BB">
        <w:rPr>
          <w:rFonts w:ascii="Verdana" w:hAnsi="Verdana"/>
          <w:sz w:val="16"/>
        </w:rPr>
        <w:t> </w:t>
      </w:r>
      <w:r>
        <w:rPr>
          <w:rFonts w:ascii="Verdana" w:hAnsi="Verdana"/>
          <w:sz w:val="16"/>
        </w:rPr>
        <w:t>2008.</w:t>
      </w:r>
    </w:p>
    <w:p w14:paraId="0FF921E7" w14:textId="4D9767A3" w:rsidR="002E5EAB" w:rsidRPr="004B6695" w:rsidRDefault="002E5EAB" w:rsidP="00FC0162">
      <w:pPr>
        <w:pStyle w:val="FootnoteText"/>
        <w:rPr>
          <w:rFonts w:ascii="Verdana" w:hAnsi="Verdana"/>
          <w:sz w:val="16"/>
          <w:szCs w:val="16"/>
        </w:rPr>
      </w:pPr>
      <w:r>
        <w:rPr>
          <w:rFonts w:ascii="Verdana" w:hAnsi="Verdana"/>
          <w:sz w:val="16"/>
        </w:rPr>
        <w:t xml:space="preserve">RIVM (2011); Évaluation des risques pour la santé d’un certain nombre de substances spécifiques dans les préparations à base de plantes. Institut néerlandais pour la santé publique et l’environnement, Centre d’évaluation des substances et des risques globaux (SIR), </w:t>
      </w:r>
      <w:proofErr w:type="spellStart"/>
      <w:r>
        <w:rPr>
          <w:rFonts w:ascii="Verdana" w:hAnsi="Verdana"/>
          <w:sz w:val="16"/>
        </w:rPr>
        <w:t>Bilthoven</w:t>
      </w:r>
      <w:proofErr w:type="spellEnd"/>
      <w:r>
        <w:rPr>
          <w:rFonts w:ascii="Verdana" w:hAnsi="Verdana"/>
          <w:sz w:val="16"/>
        </w:rPr>
        <w:t>, mercredi 30</w:t>
      </w:r>
      <w:r w:rsidR="004C32BB">
        <w:rPr>
          <w:rFonts w:ascii="Verdana" w:hAnsi="Verdana"/>
          <w:sz w:val="16"/>
        </w:rPr>
        <w:t> </w:t>
      </w:r>
      <w:r>
        <w:rPr>
          <w:rFonts w:ascii="Verdana" w:hAnsi="Verdana"/>
          <w:sz w:val="16"/>
        </w:rPr>
        <w:t>mars</w:t>
      </w:r>
      <w:r w:rsidR="004C32BB">
        <w:rPr>
          <w:rFonts w:ascii="Verdana" w:hAnsi="Verdana"/>
          <w:sz w:val="16"/>
        </w:rPr>
        <w:t> </w:t>
      </w:r>
      <w:r>
        <w:rPr>
          <w:rFonts w:ascii="Verdana" w:hAnsi="Verdana"/>
          <w:sz w:val="16"/>
        </w:rPr>
        <w:t>2011.</w:t>
      </w:r>
    </w:p>
    <w:p w14:paraId="63966445" w14:textId="588601F1" w:rsidR="002E5EAB" w:rsidRPr="004B6695" w:rsidRDefault="002E5EAB" w:rsidP="00FC0162">
      <w:pPr>
        <w:pStyle w:val="FootnoteText"/>
        <w:rPr>
          <w:rFonts w:ascii="Verdana" w:hAnsi="Verdana"/>
          <w:sz w:val="16"/>
          <w:szCs w:val="16"/>
        </w:rPr>
      </w:pPr>
      <w:r>
        <w:rPr>
          <w:rFonts w:ascii="Verdana" w:hAnsi="Verdana"/>
          <w:sz w:val="16"/>
        </w:rPr>
        <w:t>RIVM (2009); Évaluation des risques pour la santé liés aux «herbes interdites»; numéro de rapport</w:t>
      </w:r>
      <w:r w:rsidR="004C32BB">
        <w:rPr>
          <w:rFonts w:ascii="Verdana" w:hAnsi="Verdana"/>
          <w:sz w:val="16"/>
        </w:rPr>
        <w:t> </w:t>
      </w:r>
      <w:r>
        <w:rPr>
          <w:rFonts w:ascii="Verdana" w:hAnsi="Verdana"/>
          <w:sz w:val="16"/>
        </w:rPr>
        <w:t xml:space="preserve">320011002. Institut néerlandais pour la santé publique et l’environnement, Centre d’évaluation des substances et des risques globaux (SIR), </w:t>
      </w:r>
      <w:proofErr w:type="spellStart"/>
      <w:r>
        <w:rPr>
          <w:rFonts w:ascii="Verdana" w:hAnsi="Verdana"/>
          <w:sz w:val="16"/>
        </w:rPr>
        <w:t>Bilthoven</w:t>
      </w:r>
      <w:proofErr w:type="spellEnd"/>
      <w:r>
        <w:rPr>
          <w:rFonts w:ascii="Verdana" w:hAnsi="Verdana"/>
          <w:sz w:val="16"/>
        </w:rPr>
        <w:t>, 15</w:t>
      </w:r>
      <w:r w:rsidR="004C32BB">
        <w:rPr>
          <w:rFonts w:ascii="Verdana" w:hAnsi="Verdana"/>
          <w:sz w:val="16"/>
        </w:rPr>
        <w:t> </w:t>
      </w:r>
      <w:r>
        <w:rPr>
          <w:rFonts w:ascii="Verdana" w:hAnsi="Verdana"/>
          <w:sz w:val="16"/>
        </w:rPr>
        <w:t>juin</w:t>
      </w:r>
      <w:r w:rsidR="004C32BB">
        <w:rPr>
          <w:rFonts w:ascii="Verdana" w:hAnsi="Verdana"/>
          <w:sz w:val="16"/>
        </w:rPr>
        <w:t> </w:t>
      </w:r>
      <w:r>
        <w:rPr>
          <w:rFonts w:ascii="Verdana" w:hAnsi="Verdana"/>
          <w:sz w:val="16"/>
        </w:rPr>
        <w:t xml:space="preserve">2009. </w:t>
      </w:r>
    </w:p>
    <w:p w14:paraId="1B91A49A" w14:textId="33378353" w:rsidR="002E5EAB" w:rsidRPr="004B6695" w:rsidRDefault="002E5EAB" w:rsidP="00FC0162">
      <w:pPr>
        <w:pStyle w:val="FootnoteText"/>
        <w:rPr>
          <w:rFonts w:ascii="Verdana" w:hAnsi="Verdana"/>
          <w:sz w:val="16"/>
          <w:szCs w:val="16"/>
        </w:rPr>
      </w:pPr>
      <w:r>
        <w:rPr>
          <w:rFonts w:ascii="Verdana" w:hAnsi="Verdana"/>
          <w:sz w:val="16"/>
        </w:rPr>
        <w:t xml:space="preserve">RIVM (2009); Évaluation des risques Pilocarpus jaborandi. Institut néerlandais pour la santé publique et l’environnement, Centre d’évaluation des substances et des risques globaux (SIR), </w:t>
      </w:r>
      <w:proofErr w:type="spellStart"/>
      <w:r>
        <w:rPr>
          <w:rFonts w:ascii="Verdana" w:hAnsi="Verdana"/>
          <w:sz w:val="16"/>
        </w:rPr>
        <w:t>Bilthoven</w:t>
      </w:r>
      <w:proofErr w:type="spellEnd"/>
      <w:r>
        <w:rPr>
          <w:rFonts w:ascii="Verdana" w:hAnsi="Verdana"/>
          <w:sz w:val="16"/>
        </w:rPr>
        <w:t>, lundi 14</w:t>
      </w:r>
      <w:r w:rsidR="004C32BB">
        <w:rPr>
          <w:rFonts w:ascii="Verdana" w:hAnsi="Verdana"/>
          <w:sz w:val="16"/>
        </w:rPr>
        <w:t> </w:t>
      </w:r>
      <w:r>
        <w:rPr>
          <w:rFonts w:ascii="Verdana" w:hAnsi="Verdana"/>
          <w:sz w:val="16"/>
        </w:rPr>
        <w:t>décembre</w:t>
      </w:r>
      <w:r w:rsidR="004C32BB">
        <w:rPr>
          <w:rFonts w:ascii="Verdana" w:hAnsi="Verdana"/>
          <w:sz w:val="16"/>
        </w:rPr>
        <w:t> </w:t>
      </w:r>
      <w:r>
        <w:rPr>
          <w:rFonts w:ascii="Verdana" w:hAnsi="Verdana"/>
          <w:sz w:val="16"/>
        </w:rPr>
        <w:t>2009.</w:t>
      </w:r>
    </w:p>
    <w:p w14:paraId="3D647340" w14:textId="03E587F0" w:rsidR="002E5EAB" w:rsidRPr="004B6695" w:rsidRDefault="002E5EAB" w:rsidP="008E734A">
      <w:pPr>
        <w:pStyle w:val="FootnoteText"/>
        <w:rPr>
          <w:rFonts w:ascii="Verdana" w:hAnsi="Verdana"/>
          <w:sz w:val="16"/>
          <w:szCs w:val="16"/>
        </w:rPr>
      </w:pPr>
      <w:r>
        <w:rPr>
          <w:rFonts w:ascii="Verdana" w:hAnsi="Verdana"/>
          <w:sz w:val="16"/>
        </w:rPr>
        <w:t xml:space="preserve">RIVM (2010); Évaluation de la demande de dérogation au décret adopté en vertu de la loi sur les denrées alimentaires relatif aux préparations à base de plantes pour l’huile de ricin. Institut néerlandais pour la santé publique et l’environnement, Centre d’évaluation des substances et des risques globaux (SIR), </w:t>
      </w:r>
      <w:proofErr w:type="spellStart"/>
      <w:r>
        <w:rPr>
          <w:rFonts w:ascii="Verdana" w:hAnsi="Verdana"/>
          <w:sz w:val="16"/>
        </w:rPr>
        <w:t>Bilthoven</w:t>
      </w:r>
      <w:proofErr w:type="spellEnd"/>
      <w:r>
        <w:rPr>
          <w:rFonts w:ascii="Verdana" w:hAnsi="Verdana"/>
          <w:sz w:val="16"/>
        </w:rPr>
        <w:t>, lundi 20</w:t>
      </w:r>
      <w:r w:rsidR="004C32BB">
        <w:rPr>
          <w:rFonts w:ascii="Verdana" w:hAnsi="Verdana"/>
          <w:sz w:val="16"/>
        </w:rPr>
        <w:t> </w:t>
      </w:r>
      <w:r>
        <w:rPr>
          <w:rFonts w:ascii="Verdana" w:hAnsi="Verdana"/>
          <w:sz w:val="16"/>
        </w:rPr>
        <w:t>décembre</w:t>
      </w:r>
      <w:r w:rsidR="004C32BB">
        <w:rPr>
          <w:rFonts w:ascii="Verdana" w:hAnsi="Verdana"/>
          <w:sz w:val="16"/>
        </w:rPr>
        <w:t> </w:t>
      </w:r>
      <w:r>
        <w:rPr>
          <w:rFonts w:ascii="Verdana" w:hAnsi="Verdana"/>
          <w:sz w:val="16"/>
        </w:rPr>
        <w:t>2010.</w:t>
      </w:r>
    </w:p>
  </w:footnote>
  <w:footnote w:id="7">
    <w:p w14:paraId="51A626C8" w14:textId="0B08A51B"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Règlement (CE) nº 1334/2008 du Parlement européen et du Conseil du 16</w:t>
      </w:r>
      <w:r w:rsidR="004C32BB">
        <w:rPr>
          <w:rFonts w:ascii="Verdana" w:hAnsi="Verdana"/>
          <w:sz w:val="16"/>
        </w:rPr>
        <w:t> </w:t>
      </w:r>
      <w:r>
        <w:rPr>
          <w:rFonts w:ascii="Verdana" w:hAnsi="Verdana"/>
          <w:sz w:val="16"/>
        </w:rPr>
        <w:t>décembre</w:t>
      </w:r>
      <w:r w:rsidR="004C32BB">
        <w:rPr>
          <w:rFonts w:ascii="Verdana" w:hAnsi="Verdana"/>
          <w:sz w:val="16"/>
        </w:rPr>
        <w:t> </w:t>
      </w:r>
      <w:r>
        <w:rPr>
          <w:rFonts w:ascii="Verdana" w:hAnsi="Verdana"/>
          <w:sz w:val="16"/>
        </w:rPr>
        <w:t>2008 relatif aux arômes et à certains ingrédients alimentaires possédant des propriétés aromatisantes qui sont destinés à être utilisés dans et sur les denrées alimentaires et modifiant le règlement (CEE) nº 1601/91 du Conseil, les règlements (CE) nº 2232/96 et (CE) nº 110/2008 et la directive</w:t>
      </w:r>
      <w:r w:rsidR="004C32BB">
        <w:rPr>
          <w:rFonts w:ascii="Verdana" w:hAnsi="Verdana"/>
          <w:sz w:val="16"/>
        </w:rPr>
        <w:t> </w:t>
      </w:r>
      <w:r>
        <w:rPr>
          <w:rFonts w:ascii="Verdana" w:hAnsi="Verdana"/>
          <w:sz w:val="16"/>
        </w:rPr>
        <w:t>2000/13/CE (JO L 354 de 2008).</w:t>
      </w:r>
    </w:p>
  </w:footnote>
  <w:footnote w:id="8">
    <w:p w14:paraId="6E2A99E6" w14:textId="630D7037"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(2010); Évaluation de la demande de dérogation au décret adopté en vertu de la loi sur les denrées alimentaires relatif aux préparations à base de plantes pour l’huile de ricin. Institut néerlandais pour la santé publique et l’environnement, Centre d’évaluation des substances et des risques globaux (SIR), </w:t>
      </w:r>
      <w:proofErr w:type="spellStart"/>
      <w:r>
        <w:rPr>
          <w:rFonts w:ascii="Verdana" w:hAnsi="Verdana"/>
          <w:sz w:val="16"/>
        </w:rPr>
        <w:t>Bilthoven</w:t>
      </w:r>
      <w:proofErr w:type="spellEnd"/>
      <w:r>
        <w:rPr>
          <w:rFonts w:ascii="Verdana" w:hAnsi="Verdana"/>
          <w:sz w:val="16"/>
        </w:rPr>
        <w:t>, lundi 20</w:t>
      </w:r>
      <w:r w:rsidR="004C32BB">
        <w:rPr>
          <w:rFonts w:ascii="Verdana" w:hAnsi="Verdana"/>
          <w:sz w:val="16"/>
        </w:rPr>
        <w:t> </w:t>
      </w:r>
      <w:r>
        <w:rPr>
          <w:rFonts w:ascii="Verdana" w:hAnsi="Verdana"/>
          <w:sz w:val="16"/>
        </w:rPr>
        <w:t>décembre</w:t>
      </w:r>
      <w:r w:rsidR="004C32BB">
        <w:rPr>
          <w:rFonts w:ascii="Verdana" w:hAnsi="Verdana"/>
          <w:sz w:val="16"/>
        </w:rPr>
        <w:t> </w:t>
      </w:r>
      <w:r>
        <w:rPr>
          <w:rFonts w:ascii="Verdana" w:hAnsi="Verdana"/>
          <w:sz w:val="16"/>
        </w:rPr>
        <w:t>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4AD38" w14:textId="77777777" w:rsidR="004C32BB" w:rsidRDefault="004C32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367" w14:textId="77777777" w:rsidR="002E5EAB" w:rsidRDefault="002E5EAB">
    <w:pPr>
      <w:pStyle w:val="Header"/>
      <w:spacing w:before="15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3890" w14:textId="77777777" w:rsidR="002E5EAB" w:rsidRDefault="002E5EAB">
    <w:pPr>
      <w:pStyle w:val="Header"/>
      <w:spacing w:before="1762" w:line="2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8B0800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BBC7D2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92CD72"/>
    <w:lvl w:ilvl="0">
      <w:start w:val="1"/>
      <w:numFmt w:val="decimal"/>
      <w:pStyle w:val="ListNumber3"/>
      <w:lvlText w:val="%1."/>
      <w:lvlJc w:val="left"/>
      <w:pPr>
        <w:tabs>
          <w:tab w:val="num" w:pos="926"/>
        </w:tabs>
        <w:ind w:left="926" w:hanging="360"/>
      </w:pPr>
    </w:lvl>
  </w:abstractNum>
  <w:abstractNum w:abstractNumId="3">
    <w:nsid w:val="FFFFFF7F"/>
    <w:multiLevelType w:val="singleLevel"/>
    <w:tmpl w:val="7D42AF3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B42783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40A250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456266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8E243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C30C614"/>
    <w:lvl w:ilvl="0">
      <w:start w:val="1"/>
      <w:numFmt w:val="decimal"/>
      <w:pStyle w:val="ListNumber"/>
      <w:lvlText w:val="%1."/>
      <w:lvlJc w:val="left"/>
      <w:pPr>
        <w:tabs>
          <w:tab w:val="num" w:pos="360"/>
        </w:tabs>
        <w:ind w:left="360" w:hanging="360"/>
      </w:pPr>
    </w:lvl>
  </w:abstractNum>
  <w:abstractNum w:abstractNumId="9">
    <w:nsid w:val="FFFFFF89"/>
    <w:multiLevelType w:val="singleLevel"/>
    <w:tmpl w:val="114032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64F44"/>
    <w:multiLevelType w:val="hybridMultilevel"/>
    <w:tmpl w:val="A8C2BD74"/>
    <w:lvl w:ilvl="0" w:tplc="C8FE2FB6">
      <w:start w:val="1"/>
      <w:numFmt w:val="decimal"/>
      <w:lvlText w:val="%1."/>
      <w:lvlJc w:val="left"/>
      <w:pPr>
        <w:ind w:left="2628" w:hanging="360"/>
      </w:pPr>
      <w:rPr>
        <w:rFonts w:hint="default"/>
      </w:rPr>
    </w:lvl>
    <w:lvl w:ilvl="1" w:tplc="04130019">
      <w:start w:val="1"/>
      <w:numFmt w:val="lowerLetter"/>
      <w:lvlText w:val="%2."/>
      <w:lvlJc w:val="left"/>
      <w:pPr>
        <w:ind w:left="3621"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1">
    <w:nsid w:val="09C574D1"/>
    <w:multiLevelType w:val="hybridMultilevel"/>
    <w:tmpl w:val="2F88DA6A"/>
    <w:lvl w:ilvl="0" w:tplc="C8FE2FB6">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2">
    <w:nsid w:val="1A1A0FCE"/>
    <w:multiLevelType w:val="hybridMultilevel"/>
    <w:tmpl w:val="4B487D2C"/>
    <w:lvl w:ilvl="0" w:tplc="0413000F">
      <w:start w:val="1"/>
      <w:numFmt w:val="decimal"/>
      <w:lvlText w:val="%1."/>
      <w:lvlJc w:val="left"/>
      <w:pPr>
        <w:ind w:left="2988" w:hanging="360"/>
      </w:pPr>
      <w:rPr>
        <w:rFonts w:hint="default"/>
      </w:rPr>
    </w:lvl>
    <w:lvl w:ilvl="1" w:tplc="04130019">
      <w:start w:val="1"/>
      <w:numFmt w:val="lowerLetter"/>
      <w:lvlText w:val="%2."/>
      <w:lvlJc w:val="left"/>
      <w:pPr>
        <w:ind w:left="3708" w:hanging="360"/>
      </w:pPr>
    </w:lvl>
    <w:lvl w:ilvl="2" w:tplc="0413001B" w:tentative="1">
      <w:start w:val="1"/>
      <w:numFmt w:val="lowerRoman"/>
      <w:lvlText w:val="%3."/>
      <w:lvlJc w:val="right"/>
      <w:pPr>
        <w:ind w:left="4428" w:hanging="180"/>
      </w:pPr>
    </w:lvl>
    <w:lvl w:ilvl="3" w:tplc="0413000F" w:tentative="1">
      <w:start w:val="1"/>
      <w:numFmt w:val="decimal"/>
      <w:lvlText w:val="%4."/>
      <w:lvlJc w:val="left"/>
      <w:pPr>
        <w:ind w:left="5148" w:hanging="360"/>
      </w:pPr>
    </w:lvl>
    <w:lvl w:ilvl="4" w:tplc="04130019" w:tentative="1">
      <w:start w:val="1"/>
      <w:numFmt w:val="lowerLetter"/>
      <w:lvlText w:val="%5."/>
      <w:lvlJc w:val="left"/>
      <w:pPr>
        <w:ind w:left="5868" w:hanging="360"/>
      </w:pPr>
    </w:lvl>
    <w:lvl w:ilvl="5" w:tplc="0413001B" w:tentative="1">
      <w:start w:val="1"/>
      <w:numFmt w:val="lowerRoman"/>
      <w:lvlText w:val="%6."/>
      <w:lvlJc w:val="right"/>
      <w:pPr>
        <w:ind w:left="6588" w:hanging="180"/>
      </w:pPr>
    </w:lvl>
    <w:lvl w:ilvl="6" w:tplc="0413000F" w:tentative="1">
      <w:start w:val="1"/>
      <w:numFmt w:val="decimal"/>
      <w:lvlText w:val="%7."/>
      <w:lvlJc w:val="left"/>
      <w:pPr>
        <w:ind w:left="7308" w:hanging="360"/>
      </w:pPr>
    </w:lvl>
    <w:lvl w:ilvl="7" w:tplc="04130019" w:tentative="1">
      <w:start w:val="1"/>
      <w:numFmt w:val="lowerLetter"/>
      <w:lvlText w:val="%8."/>
      <w:lvlJc w:val="left"/>
      <w:pPr>
        <w:ind w:left="8028" w:hanging="360"/>
      </w:pPr>
    </w:lvl>
    <w:lvl w:ilvl="8" w:tplc="0413001B" w:tentative="1">
      <w:start w:val="1"/>
      <w:numFmt w:val="lowerRoman"/>
      <w:lvlText w:val="%9."/>
      <w:lvlJc w:val="right"/>
      <w:pPr>
        <w:ind w:left="8748" w:hanging="180"/>
      </w:pPr>
    </w:lvl>
  </w:abstractNum>
  <w:abstractNum w:abstractNumId="13">
    <w:nsid w:val="26AA06D4"/>
    <w:multiLevelType w:val="hybridMultilevel"/>
    <w:tmpl w:val="FF7CE7A2"/>
    <w:lvl w:ilvl="0" w:tplc="04130019">
      <w:start w:val="1"/>
      <w:numFmt w:val="decimal"/>
      <w:lvlText w:val="%1."/>
      <w:lvlJc w:val="left"/>
      <w:pPr>
        <w:ind w:left="2628" w:hanging="360"/>
      </w:p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4">
    <w:nsid w:val="3D5A72BB"/>
    <w:multiLevelType w:val="hybridMultilevel"/>
    <w:tmpl w:val="9BC67F08"/>
    <w:lvl w:ilvl="0" w:tplc="0413000F">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5">
    <w:nsid w:val="46F72CB3"/>
    <w:multiLevelType w:val="hybridMultilevel"/>
    <w:tmpl w:val="26FCFD12"/>
    <w:lvl w:ilvl="0" w:tplc="2BEA3D76">
      <w:numFmt w:val="bullet"/>
      <w:lvlText w:val="-"/>
      <w:lvlJc w:val="left"/>
      <w:pPr>
        <w:ind w:left="2628" w:hanging="360"/>
      </w:pPr>
      <w:rPr>
        <w:rFonts w:ascii="Verdana" w:eastAsia="Times New Roman" w:hAnsi="Verdana" w:cs="Times New Roman"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16">
    <w:nsid w:val="4B0679D7"/>
    <w:multiLevelType w:val="hybridMultilevel"/>
    <w:tmpl w:val="147C4076"/>
    <w:lvl w:ilvl="0" w:tplc="C8FE2FB6">
      <w:start w:val="1"/>
      <w:numFmt w:val="decimal"/>
      <w:lvlText w:val="%1."/>
      <w:lvlJc w:val="left"/>
      <w:pPr>
        <w:ind w:left="2628" w:hanging="360"/>
      </w:pPr>
      <w:rPr>
        <w:rFonts w:hint="default"/>
      </w:rPr>
    </w:lvl>
    <w:lvl w:ilvl="1" w:tplc="04130019">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7">
    <w:nsid w:val="4C8852E2"/>
    <w:multiLevelType w:val="hybridMultilevel"/>
    <w:tmpl w:val="D4F8BAFA"/>
    <w:lvl w:ilvl="0" w:tplc="04130019">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8">
    <w:nsid w:val="507B3795"/>
    <w:multiLevelType w:val="hybridMultilevel"/>
    <w:tmpl w:val="FF46A524"/>
    <w:lvl w:ilvl="0" w:tplc="A148D6C0">
      <w:start w:val="1"/>
      <w:numFmt w:val="decimal"/>
      <w:lvlText w:val="%1."/>
      <w:lvlJc w:val="left"/>
      <w:pPr>
        <w:ind w:left="2838" w:hanging="57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9">
    <w:nsid w:val="568E4EC0"/>
    <w:multiLevelType w:val="hybridMultilevel"/>
    <w:tmpl w:val="F878D528"/>
    <w:lvl w:ilvl="0" w:tplc="C02E45FA">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20">
    <w:nsid w:val="7DAE4CB9"/>
    <w:multiLevelType w:val="hybridMultilevel"/>
    <w:tmpl w:val="F85A4AF2"/>
    <w:lvl w:ilvl="0" w:tplc="E8C447CE">
      <w:start w:val="1"/>
      <w:numFmt w:val="decimal"/>
      <w:lvlText w:val="%1."/>
      <w:lvlJc w:val="left"/>
      <w:pPr>
        <w:ind w:left="3198" w:hanging="360"/>
      </w:pPr>
      <w:rPr>
        <w:rFonts w:hint="default"/>
      </w:rPr>
    </w:lvl>
    <w:lvl w:ilvl="1" w:tplc="04130019" w:tentative="1">
      <w:start w:val="1"/>
      <w:numFmt w:val="lowerLetter"/>
      <w:lvlText w:val="%2."/>
      <w:lvlJc w:val="left"/>
      <w:pPr>
        <w:ind w:left="3918" w:hanging="360"/>
      </w:pPr>
    </w:lvl>
    <w:lvl w:ilvl="2" w:tplc="0413001B" w:tentative="1">
      <w:start w:val="1"/>
      <w:numFmt w:val="lowerRoman"/>
      <w:lvlText w:val="%3."/>
      <w:lvlJc w:val="right"/>
      <w:pPr>
        <w:ind w:left="4638" w:hanging="180"/>
      </w:pPr>
    </w:lvl>
    <w:lvl w:ilvl="3" w:tplc="0413000F" w:tentative="1">
      <w:start w:val="1"/>
      <w:numFmt w:val="decimal"/>
      <w:lvlText w:val="%4."/>
      <w:lvlJc w:val="left"/>
      <w:pPr>
        <w:ind w:left="5358" w:hanging="360"/>
      </w:pPr>
    </w:lvl>
    <w:lvl w:ilvl="4" w:tplc="04130019" w:tentative="1">
      <w:start w:val="1"/>
      <w:numFmt w:val="lowerLetter"/>
      <w:lvlText w:val="%5."/>
      <w:lvlJc w:val="left"/>
      <w:pPr>
        <w:ind w:left="6078" w:hanging="360"/>
      </w:pPr>
    </w:lvl>
    <w:lvl w:ilvl="5" w:tplc="0413001B" w:tentative="1">
      <w:start w:val="1"/>
      <w:numFmt w:val="lowerRoman"/>
      <w:lvlText w:val="%6."/>
      <w:lvlJc w:val="right"/>
      <w:pPr>
        <w:ind w:left="6798" w:hanging="180"/>
      </w:pPr>
    </w:lvl>
    <w:lvl w:ilvl="6" w:tplc="0413000F" w:tentative="1">
      <w:start w:val="1"/>
      <w:numFmt w:val="decimal"/>
      <w:lvlText w:val="%7."/>
      <w:lvlJc w:val="left"/>
      <w:pPr>
        <w:ind w:left="7518" w:hanging="360"/>
      </w:pPr>
    </w:lvl>
    <w:lvl w:ilvl="7" w:tplc="04130019" w:tentative="1">
      <w:start w:val="1"/>
      <w:numFmt w:val="lowerLetter"/>
      <w:lvlText w:val="%8."/>
      <w:lvlJc w:val="left"/>
      <w:pPr>
        <w:ind w:left="8238" w:hanging="360"/>
      </w:pPr>
    </w:lvl>
    <w:lvl w:ilvl="8" w:tplc="0413001B" w:tentative="1">
      <w:start w:val="1"/>
      <w:numFmt w:val="lowerRoman"/>
      <w:lvlText w:val="%9."/>
      <w:lvlJc w:val="right"/>
      <w:pPr>
        <w:ind w:left="895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0"/>
  </w:num>
  <w:num w:numId="24">
    <w:abstractNumId w:val="11"/>
  </w:num>
  <w:num w:numId="25">
    <w:abstractNumId w:val="15"/>
  </w:num>
  <w:num w:numId="26">
    <w:abstractNumId w:val="13"/>
  </w:num>
  <w:num w:numId="27">
    <w:abstractNumId w:val="14"/>
  </w:num>
  <w:num w:numId="28">
    <w:abstractNumId w:val="17"/>
  </w:num>
  <w:num w:numId="29">
    <w:abstractNumId w:val="18"/>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nl-NL" w:vendorID="9" w:dllVersion="512" w:checkStyle="1"/>
  <w:activeWritingStyle w:appName="MSWord" w:lang="nl-NL"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D62"/>
    <w:rsid w:val="000306A1"/>
    <w:rsid w:val="000414C9"/>
    <w:rsid w:val="000446F2"/>
    <w:rsid w:val="0004538B"/>
    <w:rsid w:val="000478B3"/>
    <w:rsid w:val="000552D8"/>
    <w:rsid w:val="00060A6E"/>
    <w:rsid w:val="00060CB2"/>
    <w:rsid w:val="00063390"/>
    <w:rsid w:val="000634DB"/>
    <w:rsid w:val="00093369"/>
    <w:rsid w:val="000A1E70"/>
    <w:rsid w:val="000B2822"/>
    <w:rsid w:val="000C18E4"/>
    <w:rsid w:val="000C37A0"/>
    <w:rsid w:val="000E0515"/>
    <w:rsid w:val="000E23EB"/>
    <w:rsid w:val="000E2EAB"/>
    <w:rsid w:val="001037E8"/>
    <w:rsid w:val="00117420"/>
    <w:rsid w:val="001231D7"/>
    <w:rsid w:val="00145ED0"/>
    <w:rsid w:val="00176336"/>
    <w:rsid w:val="00183469"/>
    <w:rsid w:val="001960C4"/>
    <w:rsid w:val="00196262"/>
    <w:rsid w:val="00196781"/>
    <w:rsid w:val="001C0010"/>
    <w:rsid w:val="001C64DD"/>
    <w:rsid w:val="001E0693"/>
    <w:rsid w:val="001E1936"/>
    <w:rsid w:val="001E6005"/>
    <w:rsid w:val="00223B57"/>
    <w:rsid w:val="00225092"/>
    <w:rsid w:val="002308EC"/>
    <w:rsid w:val="0024053D"/>
    <w:rsid w:val="002476F5"/>
    <w:rsid w:val="00250BDB"/>
    <w:rsid w:val="00256C2B"/>
    <w:rsid w:val="0025703A"/>
    <w:rsid w:val="002708AB"/>
    <w:rsid w:val="002714CE"/>
    <w:rsid w:val="0029085E"/>
    <w:rsid w:val="00292028"/>
    <w:rsid w:val="002921B4"/>
    <w:rsid w:val="00294AEA"/>
    <w:rsid w:val="002A288B"/>
    <w:rsid w:val="002B54FD"/>
    <w:rsid w:val="002C2B74"/>
    <w:rsid w:val="002C445B"/>
    <w:rsid w:val="002D5C67"/>
    <w:rsid w:val="002D79B3"/>
    <w:rsid w:val="002E5EAB"/>
    <w:rsid w:val="002F64D5"/>
    <w:rsid w:val="002F7B3A"/>
    <w:rsid w:val="00305B8E"/>
    <w:rsid w:val="0031322B"/>
    <w:rsid w:val="003143CD"/>
    <w:rsid w:val="00317515"/>
    <w:rsid w:val="0032057A"/>
    <w:rsid w:val="003345ED"/>
    <w:rsid w:val="00345C53"/>
    <w:rsid w:val="003545C4"/>
    <w:rsid w:val="00355E9B"/>
    <w:rsid w:val="00370E07"/>
    <w:rsid w:val="003825F1"/>
    <w:rsid w:val="00392359"/>
    <w:rsid w:val="0039728D"/>
    <w:rsid w:val="003B442C"/>
    <w:rsid w:val="003B5162"/>
    <w:rsid w:val="003C006F"/>
    <w:rsid w:val="003C3169"/>
    <w:rsid w:val="003C7364"/>
    <w:rsid w:val="003D0C77"/>
    <w:rsid w:val="0040189C"/>
    <w:rsid w:val="00401912"/>
    <w:rsid w:val="004165B5"/>
    <w:rsid w:val="00420744"/>
    <w:rsid w:val="00421AAD"/>
    <w:rsid w:val="0042448A"/>
    <w:rsid w:val="0043098B"/>
    <w:rsid w:val="00430B87"/>
    <w:rsid w:val="0044067E"/>
    <w:rsid w:val="00443563"/>
    <w:rsid w:val="0045127A"/>
    <w:rsid w:val="00470643"/>
    <w:rsid w:val="00482F98"/>
    <w:rsid w:val="00485F0F"/>
    <w:rsid w:val="00497A92"/>
    <w:rsid w:val="004B6695"/>
    <w:rsid w:val="004C2327"/>
    <w:rsid w:val="004C32BB"/>
    <w:rsid w:val="004C3496"/>
    <w:rsid w:val="004E3FE4"/>
    <w:rsid w:val="004E4918"/>
    <w:rsid w:val="00500044"/>
    <w:rsid w:val="005016F0"/>
    <w:rsid w:val="005059AF"/>
    <w:rsid w:val="00510BBD"/>
    <w:rsid w:val="0051720D"/>
    <w:rsid w:val="005333BE"/>
    <w:rsid w:val="005441BF"/>
    <w:rsid w:val="00550AD8"/>
    <w:rsid w:val="00551657"/>
    <w:rsid w:val="00557876"/>
    <w:rsid w:val="0055791C"/>
    <w:rsid w:val="005600DD"/>
    <w:rsid w:val="005621C2"/>
    <w:rsid w:val="00567EE1"/>
    <w:rsid w:val="00583D07"/>
    <w:rsid w:val="00586978"/>
    <w:rsid w:val="00587945"/>
    <w:rsid w:val="00591598"/>
    <w:rsid w:val="00592E9C"/>
    <w:rsid w:val="005A1A2C"/>
    <w:rsid w:val="005A65F6"/>
    <w:rsid w:val="005A7F79"/>
    <w:rsid w:val="005B43ED"/>
    <w:rsid w:val="005B4FAB"/>
    <w:rsid w:val="005C6A30"/>
    <w:rsid w:val="005C714F"/>
    <w:rsid w:val="005D7072"/>
    <w:rsid w:val="005E47AF"/>
    <w:rsid w:val="005E4D39"/>
    <w:rsid w:val="005E52AB"/>
    <w:rsid w:val="005E7B28"/>
    <w:rsid w:val="005F32CF"/>
    <w:rsid w:val="005F794F"/>
    <w:rsid w:val="0060213F"/>
    <w:rsid w:val="00610A2C"/>
    <w:rsid w:val="00615E9D"/>
    <w:rsid w:val="00624543"/>
    <w:rsid w:val="00643157"/>
    <w:rsid w:val="0064439B"/>
    <w:rsid w:val="00646A87"/>
    <w:rsid w:val="00652AEA"/>
    <w:rsid w:val="006636BC"/>
    <w:rsid w:val="00670294"/>
    <w:rsid w:val="0067749E"/>
    <w:rsid w:val="006A4A7D"/>
    <w:rsid w:val="006B479D"/>
    <w:rsid w:val="006E531C"/>
    <w:rsid w:val="006F5217"/>
    <w:rsid w:val="00712DF2"/>
    <w:rsid w:val="00715CA8"/>
    <w:rsid w:val="00727080"/>
    <w:rsid w:val="00730004"/>
    <w:rsid w:val="00731C2B"/>
    <w:rsid w:val="00732703"/>
    <w:rsid w:val="00732DEB"/>
    <w:rsid w:val="00735C87"/>
    <w:rsid w:val="00737E1C"/>
    <w:rsid w:val="00740EC3"/>
    <w:rsid w:val="00757FD1"/>
    <w:rsid w:val="00761835"/>
    <w:rsid w:val="007640A4"/>
    <w:rsid w:val="0076472B"/>
    <w:rsid w:val="00773541"/>
    <w:rsid w:val="007747CE"/>
    <w:rsid w:val="00775921"/>
    <w:rsid w:val="00787FE4"/>
    <w:rsid w:val="007A400F"/>
    <w:rsid w:val="007A7A68"/>
    <w:rsid w:val="007C1DC6"/>
    <w:rsid w:val="007C6E9D"/>
    <w:rsid w:val="007C792C"/>
    <w:rsid w:val="007D0DFA"/>
    <w:rsid w:val="007D3727"/>
    <w:rsid w:val="007E2295"/>
    <w:rsid w:val="007E7D62"/>
    <w:rsid w:val="007F08F8"/>
    <w:rsid w:val="007F2C23"/>
    <w:rsid w:val="00811562"/>
    <w:rsid w:val="00816861"/>
    <w:rsid w:val="00817257"/>
    <w:rsid w:val="008179B7"/>
    <w:rsid w:val="008250DF"/>
    <w:rsid w:val="00835F89"/>
    <w:rsid w:val="00837AE7"/>
    <w:rsid w:val="00843D1D"/>
    <w:rsid w:val="008534C5"/>
    <w:rsid w:val="00861CD2"/>
    <w:rsid w:val="008952DA"/>
    <w:rsid w:val="008A041C"/>
    <w:rsid w:val="008A18AA"/>
    <w:rsid w:val="008B033B"/>
    <w:rsid w:val="008B2C8B"/>
    <w:rsid w:val="008C22D4"/>
    <w:rsid w:val="008D0CAF"/>
    <w:rsid w:val="008D38B6"/>
    <w:rsid w:val="008D69EA"/>
    <w:rsid w:val="008E734A"/>
    <w:rsid w:val="008F0589"/>
    <w:rsid w:val="009016D1"/>
    <w:rsid w:val="00932A51"/>
    <w:rsid w:val="009345F8"/>
    <w:rsid w:val="0093487E"/>
    <w:rsid w:val="0095665C"/>
    <w:rsid w:val="00967BB6"/>
    <w:rsid w:val="00967D68"/>
    <w:rsid w:val="009737E5"/>
    <w:rsid w:val="00973FE4"/>
    <w:rsid w:val="009806E1"/>
    <w:rsid w:val="0098275F"/>
    <w:rsid w:val="0098725C"/>
    <w:rsid w:val="009E455E"/>
    <w:rsid w:val="009F3CE5"/>
    <w:rsid w:val="00A04453"/>
    <w:rsid w:val="00A27E62"/>
    <w:rsid w:val="00A31DC6"/>
    <w:rsid w:val="00A33B8D"/>
    <w:rsid w:val="00A351C9"/>
    <w:rsid w:val="00A46CDA"/>
    <w:rsid w:val="00A47007"/>
    <w:rsid w:val="00A5016D"/>
    <w:rsid w:val="00A53898"/>
    <w:rsid w:val="00A67444"/>
    <w:rsid w:val="00A74EF0"/>
    <w:rsid w:val="00A76E98"/>
    <w:rsid w:val="00A82C01"/>
    <w:rsid w:val="00A82D46"/>
    <w:rsid w:val="00A82F87"/>
    <w:rsid w:val="00A97A54"/>
    <w:rsid w:val="00AA7461"/>
    <w:rsid w:val="00AB3B66"/>
    <w:rsid w:val="00AB4972"/>
    <w:rsid w:val="00AB497F"/>
    <w:rsid w:val="00AD2912"/>
    <w:rsid w:val="00AD2E4A"/>
    <w:rsid w:val="00AE02B0"/>
    <w:rsid w:val="00AF5E53"/>
    <w:rsid w:val="00B01382"/>
    <w:rsid w:val="00B01BA3"/>
    <w:rsid w:val="00B02BEE"/>
    <w:rsid w:val="00B207F7"/>
    <w:rsid w:val="00B24606"/>
    <w:rsid w:val="00B32311"/>
    <w:rsid w:val="00B34ABB"/>
    <w:rsid w:val="00B41683"/>
    <w:rsid w:val="00B41BE2"/>
    <w:rsid w:val="00B428D8"/>
    <w:rsid w:val="00B44ECE"/>
    <w:rsid w:val="00B46E21"/>
    <w:rsid w:val="00B5019B"/>
    <w:rsid w:val="00B556CF"/>
    <w:rsid w:val="00B56093"/>
    <w:rsid w:val="00B561EB"/>
    <w:rsid w:val="00B64698"/>
    <w:rsid w:val="00B67E83"/>
    <w:rsid w:val="00B71129"/>
    <w:rsid w:val="00B72FAF"/>
    <w:rsid w:val="00B80666"/>
    <w:rsid w:val="00B874E0"/>
    <w:rsid w:val="00BB02A9"/>
    <w:rsid w:val="00BB07D4"/>
    <w:rsid w:val="00BB11AA"/>
    <w:rsid w:val="00BB551C"/>
    <w:rsid w:val="00BB70CC"/>
    <w:rsid w:val="00BB7CCF"/>
    <w:rsid w:val="00BC6861"/>
    <w:rsid w:val="00BD2594"/>
    <w:rsid w:val="00BF3143"/>
    <w:rsid w:val="00BF3F64"/>
    <w:rsid w:val="00C4141A"/>
    <w:rsid w:val="00C4350A"/>
    <w:rsid w:val="00C50FE3"/>
    <w:rsid w:val="00C53758"/>
    <w:rsid w:val="00C5642F"/>
    <w:rsid w:val="00C61D5C"/>
    <w:rsid w:val="00C778A3"/>
    <w:rsid w:val="00C82775"/>
    <w:rsid w:val="00C93CDF"/>
    <w:rsid w:val="00CA2E3C"/>
    <w:rsid w:val="00CB5A04"/>
    <w:rsid w:val="00CC5BEA"/>
    <w:rsid w:val="00CD5C43"/>
    <w:rsid w:val="00CE5084"/>
    <w:rsid w:val="00CE52C4"/>
    <w:rsid w:val="00D107D4"/>
    <w:rsid w:val="00D4549F"/>
    <w:rsid w:val="00D50F33"/>
    <w:rsid w:val="00D62430"/>
    <w:rsid w:val="00D65AD6"/>
    <w:rsid w:val="00D8580E"/>
    <w:rsid w:val="00D91AE4"/>
    <w:rsid w:val="00D9610F"/>
    <w:rsid w:val="00DA0E75"/>
    <w:rsid w:val="00DA4178"/>
    <w:rsid w:val="00DB2C45"/>
    <w:rsid w:val="00DC2C4E"/>
    <w:rsid w:val="00DC5899"/>
    <w:rsid w:val="00DD3086"/>
    <w:rsid w:val="00DE3374"/>
    <w:rsid w:val="00DE4D7B"/>
    <w:rsid w:val="00E14DAF"/>
    <w:rsid w:val="00E17C57"/>
    <w:rsid w:val="00E22A5E"/>
    <w:rsid w:val="00E24A62"/>
    <w:rsid w:val="00E26DBD"/>
    <w:rsid w:val="00E27C82"/>
    <w:rsid w:val="00E33217"/>
    <w:rsid w:val="00E35889"/>
    <w:rsid w:val="00E42020"/>
    <w:rsid w:val="00E44D04"/>
    <w:rsid w:val="00E8182F"/>
    <w:rsid w:val="00E836EA"/>
    <w:rsid w:val="00EA51D7"/>
    <w:rsid w:val="00EA722D"/>
    <w:rsid w:val="00EC553A"/>
    <w:rsid w:val="00ED086C"/>
    <w:rsid w:val="00ED310D"/>
    <w:rsid w:val="00EE2253"/>
    <w:rsid w:val="00EE6914"/>
    <w:rsid w:val="00F01BC0"/>
    <w:rsid w:val="00F07731"/>
    <w:rsid w:val="00F120A1"/>
    <w:rsid w:val="00F276AE"/>
    <w:rsid w:val="00F30DC4"/>
    <w:rsid w:val="00F332A7"/>
    <w:rsid w:val="00F517C1"/>
    <w:rsid w:val="00F51F89"/>
    <w:rsid w:val="00F6533C"/>
    <w:rsid w:val="00F804F7"/>
    <w:rsid w:val="00F80EF2"/>
    <w:rsid w:val="00F82ADF"/>
    <w:rsid w:val="00F9308D"/>
    <w:rsid w:val="00F9721E"/>
    <w:rsid w:val="00FA1BC4"/>
    <w:rsid w:val="00FA61EF"/>
    <w:rsid w:val="00FC0162"/>
    <w:rsid w:val="00FC20CC"/>
    <w:rsid w:val="00FC5154"/>
    <w:rsid w:val="00FC6EAD"/>
    <w:rsid w:val="00FE3678"/>
    <w:rsid w:val="00FF6A8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DCC40D"/>
  <w15:docId w15:val="{9D5A0891-2A34-4C83-A61F-B6BDE4A5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53D"/>
    <w:pPr>
      <w:spacing w:line="260" w:lineRule="exact"/>
    </w:pPr>
    <w:rPr>
      <w:rFonts w:ascii="Univers" w:hAnsi="Univers"/>
    </w:rPr>
  </w:style>
  <w:style w:type="paragraph" w:styleId="Heading1">
    <w:name w:val="heading 1"/>
    <w:basedOn w:val="Normal"/>
    <w:next w:val="Normal"/>
    <w:qFormat/>
    <w:rsid w:val="0024053D"/>
    <w:pPr>
      <w:keepNext/>
      <w:spacing w:before="240" w:after="60" w:line="240" w:lineRule="auto"/>
      <w:outlineLvl w:val="0"/>
    </w:pPr>
    <w:rPr>
      <w:b/>
      <w:kern w:val="28"/>
      <w:sz w:val="28"/>
    </w:rPr>
  </w:style>
  <w:style w:type="paragraph" w:styleId="Heading2">
    <w:name w:val="heading 2"/>
    <w:basedOn w:val="Normal"/>
    <w:next w:val="Normal"/>
    <w:qFormat/>
    <w:rsid w:val="0024053D"/>
    <w:pPr>
      <w:keepNext/>
      <w:spacing w:before="240" w:after="60" w:line="240" w:lineRule="auto"/>
      <w:outlineLvl w:val="1"/>
    </w:pPr>
    <w:rPr>
      <w:rFonts w:ascii="Arial" w:hAnsi="Arial"/>
      <w:b/>
      <w:i/>
      <w:sz w:val="24"/>
    </w:rPr>
  </w:style>
  <w:style w:type="paragraph" w:styleId="Heading3">
    <w:name w:val="heading 3"/>
    <w:basedOn w:val="Normal"/>
    <w:next w:val="Normal"/>
    <w:qFormat/>
    <w:rsid w:val="0024053D"/>
    <w:pPr>
      <w:keepNext/>
      <w:spacing w:before="240" w:after="60" w:line="240" w:lineRule="auto"/>
      <w:outlineLvl w:val="2"/>
    </w:pPr>
    <w:rPr>
      <w:rFonts w:ascii="Arial" w:hAnsi="Arial"/>
      <w:sz w:val="24"/>
    </w:rPr>
  </w:style>
  <w:style w:type="paragraph" w:styleId="Heading4">
    <w:name w:val="heading 4"/>
    <w:basedOn w:val="Normal"/>
    <w:next w:val="Normal"/>
    <w:qFormat/>
    <w:rsid w:val="0024053D"/>
    <w:pPr>
      <w:keepNext/>
      <w:spacing w:before="240" w:after="60" w:line="240" w:lineRule="auto"/>
      <w:outlineLvl w:val="3"/>
    </w:pPr>
    <w:rPr>
      <w:rFonts w:ascii="Arial" w:hAnsi="Arial"/>
      <w:b/>
      <w:sz w:val="24"/>
    </w:rPr>
  </w:style>
  <w:style w:type="paragraph" w:styleId="Heading5">
    <w:name w:val="heading 5"/>
    <w:basedOn w:val="Normal"/>
    <w:next w:val="Normal"/>
    <w:qFormat/>
    <w:rsid w:val="0024053D"/>
    <w:pPr>
      <w:spacing w:before="240" w:after="60" w:line="240" w:lineRule="auto"/>
      <w:outlineLvl w:val="4"/>
    </w:pPr>
    <w:rPr>
      <w:sz w:val="22"/>
    </w:rPr>
  </w:style>
  <w:style w:type="paragraph" w:styleId="Heading6">
    <w:name w:val="heading 6"/>
    <w:basedOn w:val="Normal"/>
    <w:next w:val="Normal"/>
    <w:qFormat/>
    <w:rsid w:val="0024053D"/>
    <w:pPr>
      <w:spacing w:before="240" w:after="60" w:line="240" w:lineRule="auto"/>
      <w:outlineLvl w:val="5"/>
    </w:pPr>
    <w:rPr>
      <w:rFonts w:ascii="Times New Roman" w:hAnsi="Times New Roman"/>
      <w:i/>
      <w:sz w:val="22"/>
    </w:rPr>
  </w:style>
  <w:style w:type="paragraph" w:styleId="Heading7">
    <w:name w:val="heading 7"/>
    <w:basedOn w:val="Normal"/>
    <w:next w:val="Normal"/>
    <w:qFormat/>
    <w:rsid w:val="0024053D"/>
    <w:pPr>
      <w:spacing w:before="240" w:after="60" w:line="240" w:lineRule="auto"/>
      <w:outlineLvl w:val="6"/>
    </w:pPr>
    <w:rPr>
      <w:rFonts w:ascii="Arial" w:hAnsi="Arial"/>
    </w:rPr>
  </w:style>
  <w:style w:type="paragraph" w:styleId="Heading8">
    <w:name w:val="heading 8"/>
    <w:basedOn w:val="Normal"/>
    <w:next w:val="Normal"/>
    <w:qFormat/>
    <w:rsid w:val="0024053D"/>
    <w:pPr>
      <w:spacing w:before="240" w:after="60" w:line="240" w:lineRule="auto"/>
      <w:outlineLvl w:val="7"/>
    </w:pPr>
    <w:rPr>
      <w:rFonts w:ascii="Arial" w:hAnsi="Arial"/>
      <w:i/>
    </w:rPr>
  </w:style>
  <w:style w:type="paragraph" w:styleId="Heading9">
    <w:name w:val="heading 9"/>
    <w:basedOn w:val="Normal"/>
    <w:next w:val="Normal"/>
    <w:qFormat/>
    <w:rsid w:val="0024053D"/>
    <w:p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053D"/>
    <w:pPr>
      <w:tabs>
        <w:tab w:val="center" w:pos="4536"/>
        <w:tab w:val="right" w:pos="9072"/>
      </w:tabs>
      <w:spacing w:line="240" w:lineRule="auto"/>
    </w:pPr>
    <w:rPr>
      <w:spacing w:val="6"/>
      <w:sz w:val="16"/>
    </w:rPr>
  </w:style>
  <w:style w:type="paragraph" w:customStyle="1" w:styleId="Ondertekening">
    <w:name w:val="Ondertekening"/>
    <w:basedOn w:val="Normal"/>
    <w:next w:val="Normal"/>
    <w:rsid w:val="0024053D"/>
    <w:pPr>
      <w:spacing w:before="810" w:line="240" w:lineRule="auto"/>
    </w:pPr>
  </w:style>
  <w:style w:type="paragraph" w:styleId="Footer">
    <w:name w:val="footer"/>
    <w:basedOn w:val="Normal"/>
    <w:link w:val="FooterChar"/>
    <w:uiPriority w:val="99"/>
    <w:rsid w:val="0024053D"/>
    <w:pPr>
      <w:tabs>
        <w:tab w:val="center" w:pos="4536"/>
        <w:tab w:val="right" w:pos="9072"/>
      </w:tabs>
      <w:spacing w:line="240" w:lineRule="auto"/>
    </w:pPr>
  </w:style>
  <w:style w:type="character" w:styleId="PageNumber">
    <w:name w:val="page number"/>
    <w:basedOn w:val="DefaultParagraphFont"/>
    <w:rsid w:val="0024053D"/>
  </w:style>
  <w:style w:type="paragraph" w:styleId="Salutation">
    <w:name w:val="Salutation"/>
    <w:basedOn w:val="Normal"/>
    <w:next w:val="Normal"/>
    <w:rsid w:val="0024053D"/>
    <w:pPr>
      <w:spacing w:line="240" w:lineRule="auto"/>
    </w:pPr>
  </w:style>
  <w:style w:type="paragraph" w:styleId="EnvelopeAddress">
    <w:name w:val="envelope address"/>
    <w:basedOn w:val="Normal"/>
    <w:rsid w:val="0024053D"/>
    <w:pPr>
      <w:framePr w:w="7920" w:h="1980" w:hRule="exact" w:hSpace="141" w:wrap="auto" w:hAnchor="page" w:xAlign="center" w:yAlign="bottom"/>
      <w:spacing w:line="240" w:lineRule="auto"/>
      <w:ind w:left="2880"/>
    </w:pPr>
    <w:rPr>
      <w:rFonts w:ascii="Arial" w:hAnsi="Arial"/>
      <w:sz w:val="24"/>
    </w:rPr>
  </w:style>
  <w:style w:type="paragraph" w:styleId="Closing">
    <w:name w:val="Closing"/>
    <w:basedOn w:val="Normal"/>
    <w:rsid w:val="0024053D"/>
    <w:pPr>
      <w:spacing w:line="240" w:lineRule="auto"/>
      <w:ind w:left="4252"/>
    </w:pPr>
  </w:style>
  <w:style w:type="paragraph" w:styleId="EnvelopeReturn">
    <w:name w:val="envelope return"/>
    <w:basedOn w:val="Normal"/>
    <w:rsid w:val="0024053D"/>
    <w:pPr>
      <w:spacing w:line="240" w:lineRule="auto"/>
    </w:pPr>
    <w:rPr>
      <w:rFonts w:ascii="Arial" w:hAnsi="Arial"/>
    </w:rPr>
  </w:style>
  <w:style w:type="paragraph" w:styleId="MessageHeader">
    <w:name w:val="Message Header"/>
    <w:basedOn w:val="Normal"/>
    <w:rsid w:val="002405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Caption">
    <w:name w:val="caption"/>
    <w:basedOn w:val="Normal"/>
    <w:next w:val="Normal"/>
    <w:qFormat/>
    <w:rsid w:val="0024053D"/>
    <w:pPr>
      <w:spacing w:before="120" w:after="120" w:line="240" w:lineRule="auto"/>
    </w:pPr>
    <w:rPr>
      <w:b/>
    </w:rPr>
  </w:style>
  <w:style w:type="paragraph" w:styleId="BlockText">
    <w:name w:val="Block Text"/>
    <w:basedOn w:val="Normal"/>
    <w:rsid w:val="0024053D"/>
    <w:pPr>
      <w:spacing w:after="120" w:line="240" w:lineRule="auto"/>
      <w:ind w:left="1440" w:right="1440"/>
    </w:pPr>
  </w:style>
  <w:style w:type="paragraph" w:styleId="TableofAuthorities">
    <w:name w:val="table of authorities"/>
    <w:basedOn w:val="Normal"/>
    <w:next w:val="Normal"/>
    <w:semiHidden/>
    <w:rsid w:val="0024053D"/>
    <w:pPr>
      <w:spacing w:line="240" w:lineRule="auto"/>
      <w:ind w:left="200" w:hanging="200"/>
    </w:pPr>
  </w:style>
  <w:style w:type="paragraph" w:styleId="Date">
    <w:name w:val="Date"/>
    <w:basedOn w:val="Normal"/>
    <w:next w:val="Normal"/>
    <w:rsid w:val="0024053D"/>
    <w:pPr>
      <w:spacing w:line="240" w:lineRule="auto"/>
    </w:pPr>
  </w:style>
  <w:style w:type="paragraph" w:styleId="DocumentMap">
    <w:name w:val="Document Map"/>
    <w:basedOn w:val="Normal"/>
    <w:semiHidden/>
    <w:rsid w:val="0024053D"/>
    <w:pPr>
      <w:shd w:val="clear" w:color="auto" w:fill="000080"/>
      <w:spacing w:line="240" w:lineRule="auto"/>
    </w:pPr>
    <w:rPr>
      <w:rFonts w:ascii="Tahoma" w:hAnsi="Tahoma"/>
    </w:rPr>
  </w:style>
  <w:style w:type="paragraph" w:styleId="EndnoteText">
    <w:name w:val="endnote text"/>
    <w:basedOn w:val="Normal"/>
    <w:semiHidden/>
    <w:rsid w:val="0024053D"/>
    <w:pPr>
      <w:spacing w:line="240" w:lineRule="auto"/>
    </w:pPr>
  </w:style>
  <w:style w:type="paragraph" w:styleId="Signature">
    <w:name w:val="Signature"/>
    <w:basedOn w:val="Normal"/>
    <w:rsid w:val="0024053D"/>
    <w:pPr>
      <w:spacing w:line="240" w:lineRule="auto"/>
      <w:ind w:left="4252"/>
    </w:pPr>
  </w:style>
  <w:style w:type="paragraph" w:styleId="Index1">
    <w:name w:val="index 1"/>
    <w:basedOn w:val="Normal"/>
    <w:next w:val="Normal"/>
    <w:semiHidden/>
    <w:rsid w:val="0024053D"/>
    <w:pPr>
      <w:spacing w:line="240" w:lineRule="auto"/>
      <w:ind w:left="200" w:hanging="200"/>
    </w:pPr>
  </w:style>
  <w:style w:type="paragraph" w:styleId="Index2">
    <w:name w:val="index 2"/>
    <w:basedOn w:val="Normal"/>
    <w:next w:val="Normal"/>
    <w:semiHidden/>
    <w:rsid w:val="0024053D"/>
    <w:pPr>
      <w:spacing w:line="240" w:lineRule="auto"/>
      <w:ind w:left="400" w:hanging="200"/>
    </w:pPr>
  </w:style>
  <w:style w:type="paragraph" w:styleId="Index3">
    <w:name w:val="index 3"/>
    <w:basedOn w:val="Normal"/>
    <w:next w:val="Normal"/>
    <w:semiHidden/>
    <w:rsid w:val="0024053D"/>
    <w:pPr>
      <w:spacing w:line="240" w:lineRule="auto"/>
      <w:ind w:left="600" w:hanging="200"/>
    </w:pPr>
  </w:style>
  <w:style w:type="paragraph" w:styleId="Index4">
    <w:name w:val="index 4"/>
    <w:basedOn w:val="Normal"/>
    <w:next w:val="Normal"/>
    <w:semiHidden/>
    <w:rsid w:val="0024053D"/>
    <w:pPr>
      <w:spacing w:line="240" w:lineRule="auto"/>
      <w:ind w:left="800" w:hanging="200"/>
    </w:pPr>
  </w:style>
  <w:style w:type="paragraph" w:styleId="Index5">
    <w:name w:val="index 5"/>
    <w:basedOn w:val="Normal"/>
    <w:next w:val="Normal"/>
    <w:semiHidden/>
    <w:rsid w:val="0024053D"/>
    <w:pPr>
      <w:spacing w:line="240" w:lineRule="auto"/>
      <w:ind w:left="1000" w:hanging="200"/>
    </w:pPr>
  </w:style>
  <w:style w:type="paragraph" w:styleId="Index6">
    <w:name w:val="index 6"/>
    <w:basedOn w:val="Normal"/>
    <w:next w:val="Normal"/>
    <w:semiHidden/>
    <w:rsid w:val="0024053D"/>
    <w:pPr>
      <w:spacing w:line="240" w:lineRule="auto"/>
      <w:ind w:left="1200" w:hanging="200"/>
    </w:pPr>
  </w:style>
  <w:style w:type="paragraph" w:styleId="Index7">
    <w:name w:val="index 7"/>
    <w:basedOn w:val="Normal"/>
    <w:next w:val="Normal"/>
    <w:semiHidden/>
    <w:rsid w:val="0024053D"/>
    <w:pPr>
      <w:spacing w:line="240" w:lineRule="auto"/>
      <w:ind w:left="1400" w:hanging="200"/>
    </w:pPr>
  </w:style>
  <w:style w:type="paragraph" w:styleId="Index8">
    <w:name w:val="index 8"/>
    <w:basedOn w:val="Normal"/>
    <w:next w:val="Normal"/>
    <w:semiHidden/>
    <w:rsid w:val="0024053D"/>
    <w:pPr>
      <w:spacing w:line="240" w:lineRule="auto"/>
      <w:ind w:left="1600" w:hanging="200"/>
    </w:pPr>
  </w:style>
  <w:style w:type="paragraph" w:styleId="Index9">
    <w:name w:val="index 9"/>
    <w:basedOn w:val="Normal"/>
    <w:next w:val="Normal"/>
    <w:semiHidden/>
    <w:rsid w:val="0024053D"/>
    <w:pPr>
      <w:spacing w:line="240" w:lineRule="auto"/>
      <w:ind w:left="1800" w:hanging="200"/>
    </w:pPr>
  </w:style>
  <w:style w:type="paragraph" w:styleId="IndexHeading">
    <w:name w:val="index heading"/>
    <w:basedOn w:val="Normal"/>
    <w:next w:val="Index1"/>
    <w:semiHidden/>
    <w:rsid w:val="0024053D"/>
    <w:pPr>
      <w:spacing w:line="240" w:lineRule="auto"/>
    </w:pPr>
    <w:rPr>
      <w:rFonts w:ascii="Arial" w:hAnsi="Arial"/>
      <w:b/>
    </w:rPr>
  </w:style>
  <w:style w:type="paragraph" w:styleId="TOC1">
    <w:name w:val="toc 1"/>
    <w:basedOn w:val="Normal"/>
    <w:next w:val="Normal"/>
    <w:semiHidden/>
    <w:rsid w:val="0024053D"/>
    <w:pPr>
      <w:spacing w:line="240" w:lineRule="auto"/>
    </w:pPr>
  </w:style>
  <w:style w:type="paragraph" w:styleId="TOC2">
    <w:name w:val="toc 2"/>
    <w:basedOn w:val="Normal"/>
    <w:next w:val="Normal"/>
    <w:semiHidden/>
    <w:rsid w:val="0024053D"/>
    <w:pPr>
      <w:spacing w:line="240" w:lineRule="auto"/>
      <w:ind w:left="200"/>
    </w:pPr>
  </w:style>
  <w:style w:type="paragraph" w:styleId="TOC3">
    <w:name w:val="toc 3"/>
    <w:basedOn w:val="Normal"/>
    <w:next w:val="Normal"/>
    <w:semiHidden/>
    <w:rsid w:val="0024053D"/>
    <w:pPr>
      <w:spacing w:line="240" w:lineRule="auto"/>
      <w:ind w:left="400"/>
    </w:pPr>
  </w:style>
  <w:style w:type="paragraph" w:styleId="TOC4">
    <w:name w:val="toc 4"/>
    <w:basedOn w:val="Normal"/>
    <w:next w:val="Normal"/>
    <w:semiHidden/>
    <w:rsid w:val="0024053D"/>
    <w:pPr>
      <w:spacing w:line="240" w:lineRule="auto"/>
      <w:ind w:left="600"/>
    </w:pPr>
  </w:style>
  <w:style w:type="paragraph" w:styleId="TOC5">
    <w:name w:val="toc 5"/>
    <w:basedOn w:val="Normal"/>
    <w:next w:val="Normal"/>
    <w:semiHidden/>
    <w:rsid w:val="0024053D"/>
    <w:pPr>
      <w:spacing w:line="240" w:lineRule="auto"/>
      <w:ind w:left="800"/>
    </w:pPr>
  </w:style>
  <w:style w:type="paragraph" w:styleId="TOC6">
    <w:name w:val="toc 6"/>
    <w:basedOn w:val="Normal"/>
    <w:next w:val="Normal"/>
    <w:semiHidden/>
    <w:rsid w:val="0024053D"/>
    <w:pPr>
      <w:spacing w:line="240" w:lineRule="auto"/>
      <w:ind w:left="1000"/>
    </w:pPr>
  </w:style>
  <w:style w:type="paragraph" w:styleId="TOC7">
    <w:name w:val="toc 7"/>
    <w:basedOn w:val="Normal"/>
    <w:next w:val="Normal"/>
    <w:semiHidden/>
    <w:rsid w:val="0024053D"/>
    <w:pPr>
      <w:spacing w:line="240" w:lineRule="auto"/>
      <w:ind w:left="1200"/>
    </w:pPr>
  </w:style>
  <w:style w:type="paragraph" w:styleId="TOC8">
    <w:name w:val="toc 8"/>
    <w:basedOn w:val="Normal"/>
    <w:next w:val="Normal"/>
    <w:semiHidden/>
    <w:rsid w:val="0024053D"/>
    <w:pPr>
      <w:spacing w:line="240" w:lineRule="auto"/>
      <w:ind w:left="1400"/>
    </w:pPr>
  </w:style>
  <w:style w:type="paragraph" w:styleId="TOC9">
    <w:name w:val="toc 9"/>
    <w:basedOn w:val="Normal"/>
    <w:next w:val="Normal"/>
    <w:semiHidden/>
    <w:rsid w:val="0024053D"/>
    <w:pPr>
      <w:spacing w:line="240" w:lineRule="auto"/>
      <w:ind w:left="1600"/>
    </w:pPr>
  </w:style>
  <w:style w:type="paragraph" w:styleId="TOAHeading">
    <w:name w:val="toa heading"/>
    <w:basedOn w:val="Normal"/>
    <w:next w:val="Normal"/>
    <w:semiHidden/>
    <w:rsid w:val="0024053D"/>
    <w:pPr>
      <w:spacing w:before="120" w:line="240" w:lineRule="auto"/>
    </w:pPr>
    <w:rPr>
      <w:rFonts w:ascii="Arial" w:hAnsi="Arial"/>
      <w:b/>
      <w:sz w:val="24"/>
    </w:rPr>
  </w:style>
  <w:style w:type="paragraph" w:styleId="List">
    <w:name w:val="List"/>
    <w:basedOn w:val="Normal"/>
    <w:rsid w:val="0024053D"/>
    <w:pPr>
      <w:spacing w:line="240" w:lineRule="auto"/>
      <w:ind w:left="283" w:hanging="283"/>
    </w:pPr>
  </w:style>
  <w:style w:type="paragraph" w:styleId="List2">
    <w:name w:val="List 2"/>
    <w:basedOn w:val="Normal"/>
    <w:rsid w:val="0024053D"/>
    <w:pPr>
      <w:spacing w:line="240" w:lineRule="auto"/>
      <w:ind w:left="566" w:hanging="283"/>
    </w:pPr>
  </w:style>
  <w:style w:type="paragraph" w:styleId="List3">
    <w:name w:val="List 3"/>
    <w:basedOn w:val="Normal"/>
    <w:rsid w:val="0024053D"/>
    <w:pPr>
      <w:spacing w:line="240" w:lineRule="auto"/>
      <w:ind w:left="849" w:hanging="283"/>
    </w:pPr>
  </w:style>
  <w:style w:type="paragraph" w:styleId="List4">
    <w:name w:val="List 4"/>
    <w:basedOn w:val="Normal"/>
    <w:rsid w:val="0024053D"/>
    <w:pPr>
      <w:spacing w:line="240" w:lineRule="auto"/>
      <w:ind w:left="1132" w:hanging="283"/>
    </w:pPr>
  </w:style>
  <w:style w:type="paragraph" w:styleId="List5">
    <w:name w:val="List 5"/>
    <w:basedOn w:val="Normal"/>
    <w:rsid w:val="0024053D"/>
    <w:pPr>
      <w:spacing w:line="240" w:lineRule="auto"/>
      <w:ind w:left="1415" w:hanging="283"/>
    </w:pPr>
  </w:style>
  <w:style w:type="paragraph" w:styleId="TableofFigures">
    <w:name w:val="table of figures"/>
    <w:basedOn w:val="Normal"/>
    <w:next w:val="Normal"/>
    <w:semiHidden/>
    <w:rsid w:val="0024053D"/>
    <w:pPr>
      <w:spacing w:line="240" w:lineRule="auto"/>
      <w:ind w:left="400" w:hanging="400"/>
    </w:pPr>
  </w:style>
  <w:style w:type="paragraph" w:styleId="ListBullet">
    <w:name w:val="List Bullet"/>
    <w:basedOn w:val="Normal"/>
    <w:rsid w:val="0024053D"/>
    <w:pPr>
      <w:numPr>
        <w:numId w:val="11"/>
      </w:numPr>
      <w:spacing w:line="240" w:lineRule="auto"/>
    </w:pPr>
  </w:style>
  <w:style w:type="paragraph" w:styleId="ListBullet2">
    <w:name w:val="List Bullet 2"/>
    <w:basedOn w:val="Normal"/>
    <w:rsid w:val="0024053D"/>
    <w:pPr>
      <w:numPr>
        <w:numId w:val="12"/>
      </w:numPr>
      <w:spacing w:line="240" w:lineRule="auto"/>
    </w:pPr>
  </w:style>
  <w:style w:type="paragraph" w:styleId="ListBullet3">
    <w:name w:val="List Bullet 3"/>
    <w:basedOn w:val="Normal"/>
    <w:rsid w:val="0024053D"/>
    <w:pPr>
      <w:numPr>
        <w:numId w:val="13"/>
      </w:numPr>
      <w:spacing w:line="240" w:lineRule="auto"/>
    </w:pPr>
  </w:style>
  <w:style w:type="paragraph" w:styleId="ListBullet4">
    <w:name w:val="List Bullet 4"/>
    <w:basedOn w:val="Normal"/>
    <w:rsid w:val="0024053D"/>
    <w:pPr>
      <w:numPr>
        <w:numId w:val="14"/>
      </w:numPr>
      <w:spacing w:line="240" w:lineRule="auto"/>
    </w:pPr>
  </w:style>
  <w:style w:type="paragraph" w:styleId="ListBullet5">
    <w:name w:val="List Bullet 5"/>
    <w:basedOn w:val="Normal"/>
    <w:rsid w:val="0024053D"/>
    <w:pPr>
      <w:numPr>
        <w:numId w:val="15"/>
      </w:numPr>
      <w:spacing w:line="240" w:lineRule="auto"/>
    </w:pPr>
  </w:style>
  <w:style w:type="paragraph" w:styleId="ListNumber">
    <w:name w:val="List Number"/>
    <w:basedOn w:val="Normal"/>
    <w:rsid w:val="0024053D"/>
    <w:pPr>
      <w:numPr>
        <w:numId w:val="16"/>
      </w:numPr>
      <w:spacing w:line="240" w:lineRule="auto"/>
    </w:pPr>
  </w:style>
  <w:style w:type="paragraph" w:styleId="ListNumber2">
    <w:name w:val="List Number 2"/>
    <w:basedOn w:val="Normal"/>
    <w:rsid w:val="0024053D"/>
    <w:pPr>
      <w:numPr>
        <w:numId w:val="17"/>
      </w:numPr>
      <w:spacing w:line="240" w:lineRule="auto"/>
    </w:pPr>
  </w:style>
  <w:style w:type="paragraph" w:styleId="ListNumber3">
    <w:name w:val="List Number 3"/>
    <w:basedOn w:val="Normal"/>
    <w:rsid w:val="0024053D"/>
    <w:pPr>
      <w:numPr>
        <w:numId w:val="18"/>
      </w:numPr>
      <w:spacing w:line="240" w:lineRule="auto"/>
    </w:pPr>
  </w:style>
  <w:style w:type="paragraph" w:styleId="ListNumber4">
    <w:name w:val="List Number 4"/>
    <w:basedOn w:val="Normal"/>
    <w:rsid w:val="0024053D"/>
    <w:pPr>
      <w:numPr>
        <w:numId w:val="19"/>
      </w:numPr>
      <w:spacing w:line="240" w:lineRule="auto"/>
    </w:pPr>
  </w:style>
  <w:style w:type="paragraph" w:styleId="ListNumber5">
    <w:name w:val="List Number 5"/>
    <w:basedOn w:val="Normal"/>
    <w:rsid w:val="0024053D"/>
    <w:pPr>
      <w:numPr>
        <w:numId w:val="20"/>
      </w:numPr>
      <w:spacing w:line="240" w:lineRule="auto"/>
    </w:pPr>
  </w:style>
  <w:style w:type="paragraph" w:styleId="ListContinue">
    <w:name w:val="List Continue"/>
    <w:basedOn w:val="Normal"/>
    <w:rsid w:val="0024053D"/>
    <w:pPr>
      <w:spacing w:after="120" w:line="240" w:lineRule="auto"/>
      <w:ind w:left="283"/>
    </w:pPr>
  </w:style>
  <w:style w:type="paragraph" w:styleId="ListContinue2">
    <w:name w:val="List Continue 2"/>
    <w:basedOn w:val="Normal"/>
    <w:rsid w:val="0024053D"/>
    <w:pPr>
      <w:spacing w:after="120" w:line="240" w:lineRule="auto"/>
      <w:ind w:left="566"/>
    </w:pPr>
  </w:style>
  <w:style w:type="paragraph" w:styleId="ListContinue3">
    <w:name w:val="List Continue 3"/>
    <w:basedOn w:val="Normal"/>
    <w:rsid w:val="0024053D"/>
    <w:pPr>
      <w:spacing w:after="120" w:line="240" w:lineRule="auto"/>
      <w:ind w:left="849"/>
    </w:pPr>
  </w:style>
  <w:style w:type="paragraph" w:styleId="ListContinue4">
    <w:name w:val="List Continue 4"/>
    <w:basedOn w:val="Normal"/>
    <w:rsid w:val="0024053D"/>
    <w:pPr>
      <w:spacing w:after="120" w:line="240" w:lineRule="auto"/>
      <w:ind w:left="1132"/>
    </w:pPr>
  </w:style>
  <w:style w:type="paragraph" w:styleId="ListContinue5">
    <w:name w:val="List Continue 5"/>
    <w:basedOn w:val="Normal"/>
    <w:rsid w:val="0024053D"/>
    <w:pPr>
      <w:spacing w:after="120" w:line="240" w:lineRule="auto"/>
      <w:ind w:left="1415"/>
    </w:pPr>
  </w:style>
  <w:style w:type="paragraph" w:styleId="MacroText">
    <w:name w:val="macro"/>
    <w:semiHidden/>
    <w:rsid w:val="0024053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eHeading">
    <w:name w:val="Note Heading"/>
    <w:basedOn w:val="Normal"/>
    <w:next w:val="Normal"/>
    <w:rsid w:val="0024053D"/>
    <w:pPr>
      <w:spacing w:line="240" w:lineRule="auto"/>
    </w:pPr>
  </w:style>
  <w:style w:type="paragraph" w:styleId="PlainText">
    <w:name w:val="Plain Text"/>
    <w:basedOn w:val="Normal"/>
    <w:rsid w:val="0024053D"/>
    <w:pPr>
      <w:spacing w:line="240" w:lineRule="auto"/>
    </w:pPr>
    <w:rPr>
      <w:rFonts w:ascii="Courier New" w:hAnsi="Courier New"/>
    </w:rPr>
  </w:style>
  <w:style w:type="paragraph" w:styleId="BodyText">
    <w:name w:val="Body Text"/>
    <w:basedOn w:val="Normal"/>
    <w:rsid w:val="0024053D"/>
    <w:pPr>
      <w:spacing w:after="120" w:line="240" w:lineRule="auto"/>
    </w:pPr>
  </w:style>
  <w:style w:type="paragraph" w:styleId="BodyText2">
    <w:name w:val="Body Text 2"/>
    <w:basedOn w:val="Normal"/>
    <w:rsid w:val="0024053D"/>
    <w:pPr>
      <w:spacing w:after="120" w:line="480" w:lineRule="auto"/>
    </w:pPr>
  </w:style>
  <w:style w:type="paragraph" w:styleId="BodyText3">
    <w:name w:val="Body Text 3"/>
    <w:basedOn w:val="Normal"/>
    <w:rsid w:val="0024053D"/>
    <w:pPr>
      <w:spacing w:after="120" w:line="240" w:lineRule="auto"/>
    </w:pPr>
    <w:rPr>
      <w:sz w:val="16"/>
    </w:rPr>
  </w:style>
  <w:style w:type="paragraph" w:styleId="BodyTextFirstIndent">
    <w:name w:val="Body Text First Indent"/>
    <w:basedOn w:val="BodyText"/>
    <w:rsid w:val="0024053D"/>
    <w:pPr>
      <w:ind w:firstLine="210"/>
    </w:pPr>
  </w:style>
  <w:style w:type="paragraph" w:styleId="BodyTextIndent">
    <w:name w:val="Body Text Indent"/>
    <w:basedOn w:val="Normal"/>
    <w:rsid w:val="0024053D"/>
    <w:pPr>
      <w:spacing w:after="120" w:line="240" w:lineRule="auto"/>
      <w:ind w:left="283"/>
    </w:pPr>
  </w:style>
  <w:style w:type="paragraph" w:styleId="BodyTextFirstIndent2">
    <w:name w:val="Body Text First Indent 2"/>
    <w:basedOn w:val="BodyTextIndent"/>
    <w:rsid w:val="0024053D"/>
    <w:pPr>
      <w:ind w:firstLine="210"/>
    </w:pPr>
  </w:style>
  <w:style w:type="paragraph" w:styleId="BodyTextIndent2">
    <w:name w:val="Body Text Indent 2"/>
    <w:basedOn w:val="Normal"/>
    <w:rsid w:val="0024053D"/>
    <w:pPr>
      <w:spacing w:after="120" w:line="480" w:lineRule="auto"/>
      <w:ind w:left="283"/>
    </w:pPr>
  </w:style>
  <w:style w:type="paragraph" w:styleId="BodyTextIndent3">
    <w:name w:val="Body Text Indent 3"/>
    <w:basedOn w:val="Normal"/>
    <w:rsid w:val="0024053D"/>
    <w:pPr>
      <w:spacing w:after="120" w:line="240" w:lineRule="auto"/>
      <w:ind w:left="283"/>
    </w:pPr>
    <w:rPr>
      <w:sz w:val="16"/>
    </w:rPr>
  </w:style>
  <w:style w:type="paragraph" w:styleId="NormalIndent">
    <w:name w:val="Normal Indent"/>
    <w:basedOn w:val="Normal"/>
    <w:rsid w:val="0024053D"/>
    <w:pPr>
      <w:spacing w:line="240" w:lineRule="auto"/>
      <w:ind w:left="709"/>
    </w:pPr>
  </w:style>
  <w:style w:type="paragraph" w:styleId="Subtitle">
    <w:name w:val="Subtitle"/>
    <w:basedOn w:val="Normal"/>
    <w:qFormat/>
    <w:rsid w:val="0024053D"/>
    <w:pPr>
      <w:spacing w:after="60" w:line="240" w:lineRule="auto"/>
      <w:jc w:val="center"/>
      <w:outlineLvl w:val="1"/>
    </w:pPr>
    <w:rPr>
      <w:rFonts w:ascii="Arial" w:hAnsi="Arial"/>
      <w:sz w:val="24"/>
    </w:rPr>
  </w:style>
  <w:style w:type="paragraph" w:styleId="CommentText">
    <w:name w:val="annotation text"/>
    <w:basedOn w:val="Normal"/>
    <w:link w:val="CommentTextChar"/>
    <w:uiPriority w:val="99"/>
    <w:semiHidden/>
    <w:rsid w:val="0024053D"/>
    <w:pPr>
      <w:spacing w:line="240" w:lineRule="auto"/>
    </w:pPr>
  </w:style>
  <w:style w:type="paragraph" w:styleId="Title">
    <w:name w:val="Title"/>
    <w:basedOn w:val="Normal"/>
    <w:qFormat/>
    <w:rsid w:val="0024053D"/>
    <w:pPr>
      <w:spacing w:line="240" w:lineRule="auto"/>
    </w:pPr>
    <w:rPr>
      <w:b/>
      <w:sz w:val="36"/>
    </w:rPr>
  </w:style>
  <w:style w:type="paragraph" w:styleId="FootnoteText">
    <w:name w:val="footnote text"/>
    <w:basedOn w:val="Normal"/>
    <w:link w:val="FootnoteTextChar"/>
    <w:uiPriority w:val="99"/>
    <w:semiHidden/>
    <w:rsid w:val="0024053D"/>
    <w:pPr>
      <w:spacing w:line="240" w:lineRule="auto"/>
    </w:pPr>
  </w:style>
  <w:style w:type="paragraph" w:customStyle="1" w:styleId="Hoofdjes">
    <w:name w:val="Hoofdjes"/>
    <w:basedOn w:val="Normal"/>
    <w:rsid w:val="0024053D"/>
    <w:pPr>
      <w:spacing w:line="190" w:lineRule="exact"/>
    </w:pPr>
    <w:rPr>
      <w:spacing w:val="6"/>
      <w:sz w:val="14"/>
    </w:rPr>
  </w:style>
  <w:style w:type="paragraph" w:customStyle="1" w:styleId="Hoofdjesregel13pt">
    <w:name w:val="Hoofdjes regel 13 pt"/>
    <w:basedOn w:val="Hoofdjes"/>
    <w:rsid w:val="0024053D"/>
    <w:pPr>
      <w:spacing w:line="260" w:lineRule="exact"/>
    </w:pPr>
  </w:style>
  <w:style w:type="paragraph" w:customStyle="1" w:styleId="HoofdjesZwart">
    <w:name w:val="HoofdjesZwart"/>
    <w:basedOn w:val="Normal"/>
    <w:rsid w:val="0024053D"/>
    <w:pPr>
      <w:spacing w:line="240" w:lineRule="auto"/>
    </w:pPr>
    <w:rPr>
      <w:spacing w:val="6"/>
      <w:sz w:val="14"/>
    </w:rPr>
  </w:style>
  <w:style w:type="paragraph" w:customStyle="1" w:styleId="Kleinetekst">
    <w:name w:val="Kleine tekst"/>
    <w:basedOn w:val="Normal"/>
    <w:rsid w:val="0024053D"/>
    <w:pPr>
      <w:spacing w:before="57" w:after="57" w:line="240" w:lineRule="auto"/>
    </w:pPr>
    <w:rPr>
      <w:spacing w:val="10"/>
      <w:sz w:val="14"/>
    </w:rPr>
  </w:style>
  <w:style w:type="paragraph" w:customStyle="1" w:styleId="Memohoofd">
    <w:name w:val="Memohoofd"/>
    <w:basedOn w:val="Normal"/>
    <w:rsid w:val="0024053D"/>
    <w:pPr>
      <w:spacing w:line="240" w:lineRule="exact"/>
    </w:pPr>
  </w:style>
  <w:style w:type="paragraph" w:customStyle="1" w:styleId="GroteLetters">
    <w:name w:val="Grote Letters"/>
    <w:basedOn w:val="Normal"/>
    <w:rsid w:val="0024053D"/>
    <w:pPr>
      <w:spacing w:line="364" w:lineRule="exact"/>
    </w:pPr>
    <w:rPr>
      <w:sz w:val="28"/>
    </w:rPr>
  </w:style>
  <w:style w:type="character" w:styleId="FootnoteReference">
    <w:name w:val="footnote reference"/>
    <w:basedOn w:val="DefaultParagraphFont"/>
    <w:uiPriority w:val="99"/>
    <w:semiHidden/>
    <w:rsid w:val="00BB7CCF"/>
    <w:rPr>
      <w:vertAlign w:val="superscript"/>
    </w:rPr>
  </w:style>
  <w:style w:type="character" w:customStyle="1" w:styleId="FooterChar">
    <w:name w:val="Footer Char"/>
    <w:basedOn w:val="DefaultParagraphFont"/>
    <w:link w:val="Footer"/>
    <w:uiPriority w:val="99"/>
    <w:rsid w:val="00BF3F64"/>
    <w:rPr>
      <w:rFonts w:ascii="Univers" w:hAnsi="Univers"/>
    </w:rPr>
  </w:style>
  <w:style w:type="paragraph" w:styleId="ListParagraph">
    <w:name w:val="List Paragraph"/>
    <w:basedOn w:val="Normal"/>
    <w:uiPriority w:val="34"/>
    <w:qFormat/>
    <w:rsid w:val="00225092"/>
    <w:pPr>
      <w:ind w:left="720"/>
      <w:contextualSpacing/>
    </w:pPr>
  </w:style>
  <w:style w:type="character" w:styleId="Hyperlink">
    <w:name w:val="Hyperlink"/>
    <w:basedOn w:val="DefaultParagraphFont"/>
    <w:rsid w:val="00DD3086"/>
    <w:rPr>
      <w:color w:val="0000FF" w:themeColor="hyperlink"/>
      <w:u w:val="single"/>
    </w:rPr>
  </w:style>
  <w:style w:type="character" w:styleId="CommentReference">
    <w:name w:val="annotation reference"/>
    <w:basedOn w:val="DefaultParagraphFont"/>
    <w:uiPriority w:val="99"/>
    <w:rsid w:val="00FA1BC4"/>
    <w:rPr>
      <w:sz w:val="16"/>
      <w:szCs w:val="16"/>
    </w:rPr>
  </w:style>
  <w:style w:type="paragraph" w:styleId="CommentSubject">
    <w:name w:val="annotation subject"/>
    <w:basedOn w:val="CommentText"/>
    <w:next w:val="CommentText"/>
    <w:link w:val="CommentSubjectChar"/>
    <w:rsid w:val="00FA1BC4"/>
    <w:rPr>
      <w:b/>
      <w:bCs/>
    </w:rPr>
  </w:style>
  <w:style w:type="character" w:customStyle="1" w:styleId="CommentTextChar">
    <w:name w:val="Comment Text Char"/>
    <w:basedOn w:val="DefaultParagraphFont"/>
    <w:link w:val="CommentText"/>
    <w:uiPriority w:val="99"/>
    <w:semiHidden/>
    <w:rsid w:val="00FA1BC4"/>
    <w:rPr>
      <w:rFonts w:ascii="Univers" w:hAnsi="Univers"/>
    </w:rPr>
  </w:style>
  <w:style w:type="character" w:customStyle="1" w:styleId="CommentSubjectChar">
    <w:name w:val="Comment Subject Char"/>
    <w:basedOn w:val="CommentTextChar"/>
    <w:link w:val="CommentSubject"/>
    <w:rsid w:val="00FA1BC4"/>
    <w:rPr>
      <w:rFonts w:ascii="Univers" w:hAnsi="Univers"/>
    </w:rPr>
  </w:style>
  <w:style w:type="paragraph" w:styleId="BalloonText">
    <w:name w:val="Balloon Text"/>
    <w:basedOn w:val="Normal"/>
    <w:link w:val="BalloonTextChar"/>
    <w:rsid w:val="00FA1BC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1BC4"/>
    <w:rPr>
      <w:rFonts w:ascii="Tahoma" w:hAnsi="Tahoma" w:cs="Tahoma"/>
      <w:sz w:val="16"/>
      <w:szCs w:val="16"/>
    </w:rPr>
  </w:style>
  <w:style w:type="paragraph" w:styleId="Revision">
    <w:name w:val="Revision"/>
    <w:hidden/>
    <w:uiPriority w:val="99"/>
    <w:semiHidden/>
    <w:rsid w:val="00F80EF2"/>
    <w:rPr>
      <w:rFonts w:ascii="Univers" w:hAnsi="Univers"/>
    </w:rPr>
  </w:style>
  <w:style w:type="character" w:customStyle="1" w:styleId="FootnoteTextChar">
    <w:name w:val="Footnote Text Char"/>
    <w:basedOn w:val="DefaultParagraphFont"/>
    <w:link w:val="FootnoteText"/>
    <w:uiPriority w:val="99"/>
    <w:semiHidden/>
    <w:rsid w:val="009345F8"/>
    <w:rPr>
      <w:rFonts w:ascii="Univers" w:hAnsi="Univers"/>
    </w:rPr>
  </w:style>
  <w:style w:type="paragraph" w:customStyle="1" w:styleId="Huisstijl-Aanhef">
    <w:name w:val="Huisstijl - Aanhef"/>
    <w:basedOn w:val="Normal"/>
    <w:rsid w:val="00B56093"/>
    <w:pPr>
      <w:widowControl w:val="0"/>
      <w:suppressAutoHyphens/>
      <w:autoSpaceDN w:val="0"/>
      <w:spacing w:before="100" w:after="240" w:line="240" w:lineRule="exact"/>
      <w:textAlignment w:val="baseline"/>
    </w:pPr>
    <w:rPr>
      <w:rFonts w:ascii="Verdana" w:eastAsia="DejaVu Sans" w:hAnsi="Verdana" w:cs="Lohit Hindi"/>
      <w:kern w:val="3"/>
      <w:sz w:val="18"/>
      <w:szCs w:val="24"/>
    </w:rPr>
  </w:style>
  <w:style w:type="table" w:styleId="TableGrid">
    <w:name w:val="Table Grid"/>
    <w:basedOn w:val="TableNormal"/>
    <w:uiPriority w:val="59"/>
    <w:rsid w:val="00B67E8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41476">
      <w:bodyDiv w:val="1"/>
      <w:marLeft w:val="0"/>
      <w:marRight w:val="0"/>
      <w:marTop w:val="0"/>
      <w:marBottom w:val="0"/>
      <w:divBdr>
        <w:top w:val="none" w:sz="0" w:space="0" w:color="auto"/>
        <w:left w:val="none" w:sz="0" w:space="0" w:color="auto"/>
        <w:bottom w:val="none" w:sz="0" w:space="0" w:color="auto"/>
        <w:right w:val="none" w:sz="0" w:space="0" w:color="auto"/>
      </w:divBdr>
    </w:div>
    <w:div w:id="1425371885">
      <w:bodyDiv w:val="1"/>
      <w:marLeft w:val="0"/>
      <w:marRight w:val="0"/>
      <w:marTop w:val="0"/>
      <w:marBottom w:val="0"/>
      <w:divBdr>
        <w:top w:val="none" w:sz="0" w:space="0" w:color="auto"/>
        <w:left w:val="none" w:sz="0" w:space="0" w:color="auto"/>
        <w:bottom w:val="none" w:sz="0" w:space="0" w:color="auto"/>
        <w:right w:val="none" w:sz="0" w:space="0" w:color="auto"/>
      </w:divBdr>
    </w:div>
    <w:div w:id="17501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JABLONENSETS\SJABLONEN\VWS\VOORDRACHT%20TBV%20RAAD%20VAN%20STATE.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86DB5-CCE7-44F7-A45B-AF7B5E98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VOORDRACHT TBV RAAD VAN STATE.DOT</Template>
  <TotalTime>15</TotalTime>
  <Pages>8</Pages>
  <Words>2870</Words>
  <Characters>15282</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Centric Training - (020) 523 04 00</Company>
  <LinksUpToDate>false</LinksUpToDate>
  <CharactersWithSpaces>18116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Beheerder</dc:creator>
  <cp:lastModifiedBy>Ruxandra OLARU</cp:lastModifiedBy>
  <cp:revision>6</cp:revision>
  <cp:lastPrinted>2019-05-29T13:48:00Z</cp:lastPrinted>
  <dcterms:created xsi:type="dcterms:W3CDTF">2019-07-08T12:56:00Z</dcterms:created>
  <dcterms:modified xsi:type="dcterms:W3CDTF">2019-07-22T12:07:00Z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Origineel</vt:lpwstr>
  </property>
</Properties>
</file>