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E9" w:rsidRPr="004425E9" w:rsidRDefault="004425E9" w:rsidP="004425E9">
      <w:pPr>
        <w:jc w:val="center"/>
        <w:rPr>
          <w:rFonts w:ascii="Courier New" w:hAnsi="Courier New"/>
        </w:rPr>
      </w:pPr>
      <w:r>
        <w:rPr>
          <w:rFonts w:ascii="Courier New" w:hAnsi="Courier New"/>
        </w:rPr>
        <w:t>1.</w:t>
      </w:r>
      <w:r w:rsidR="00530F99">
        <w:rPr>
          <w:rFonts w:ascii="Courier New" w:hAnsi="Courier New"/>
        </w:rPr>
        <w:t xml:space="preserve"> </w:t>
      </w:r>
      <w:r>
        <w:rPr>
          <w:rFonts w:ascii="Courier New" w:hAnsi="Courier New"/>
        </w:rPr>
        <w:t>------IND- 2019 0333 SK- LT- ------ 20190716 --- --- PROJET</w:t>
      </w:r>
    </w:p>
    <w:p w:rsidR="006403F7" w:rsidRPr="004425E9" w:rsidRDefault="006403F7" w:rsidP="004425E9">
      <w:pPr>
        <w:jc w:val="center"/>
        <w:rPr>
          <w:b/>
          <w:bCs/>
          <w:sz w:val="24"/>
          <w:szCs w:val="24"/>
        </w:rPr>
      </w:pPr>
      <w:r>
        <w:rPr>
          <w:b/>
          <w:sz w:val="24"/>
        </w:rPr>
        <w:t>Projektas</w:t>
      </w:r>
    </w:p>
    <w:p w:rsidR="006403F7" w:rsidRPr="004425E9" w:rsidRDefault="006403F7" w:rsidP="004425E9">
      <w:pPr>
        <w:pStyle w:val="Heading1"/>
        <w:keepNext w:val="0"/>
        <w:keepLines w:val="0"/>
        <w:spacing w:before="0" w:after="0"/>
        <w:rPr>
          <w:rFonts w:eastAsia="Calibri" w:cs="Times New Roman"/>
          <w:szCs w:val="24"/>
        </w:rPr>
      </w:pPr>
    </w:p>
    <w:p w:rsidR="006403F7" w:rsidRPr="004425E9" w:rsidRDefault="006403F7" w:rsidP="004425E9">
      <w:pPr>
        <w:pStyle w:val="Heading2"/>
        <w:keepNext w:val="0"/>
        <w:keepLines w:val="0"/>
        <w:spacing w:before="0" w:after="0"/>
      </w:pPr>
      <w:r>
        <w:t>ĮGYVENDINIMO DEKRETAS</w:t>
      </w:r>
    </w:p>
    <w:p w:rsidR="006403F7" w:rsidRPr="004425E9" w:rsidRDefault="006403F7" w:rsidP="004425E9">
      <w:pPr>
        <w:rPr>
          <w:rFonts w:eastAsia="Calibri"/>
        </w:rPr>
      </w:pPr>
    </w:p>
    <w:p w:rsidR="007C67D5" w:rsidRPr="004425E9" w:rsidRDefault="006403F7" w:rsidP="004425E9">
      <w:pPr>
        <w:pStyle w:val="Heading2"/>
        <w:keepNext w:val="0"/>
        <w:keepLines w:val="0"/>
        <w:spacing w:before="0" w:after="0"/>
      </w:pPr>
      <w:r>
        <w:t>2019 m. ............... Slovakijos Respublikos žemės ūkio ir kaimo plėtros ministerijos įgyvendinimo dekretas, kuriuo nustatoma išsami informacija apie gyvūnų naudojimą ar treniravimą viešiems pasirodymams ir pateikiamas tokiems pasirodymams rengti skirtų gyvūnų sąrašas</w:t>
      </w:r>
    </w:p>
    <w:p w:rsidR="007C67D5" w:rsidRPr="004425E9" w:rsidRDefault="007C67D5" w:rsidP="004425E9"/>
    <w:p w:rsidR="007C67D5" w:rsidRPr="004425E9" w:rsidRDefault="0037765A" w:rsidP="004425E9">
      <w:pPr>
        <w:spacing w:before="120" w:after="120"/>
        <w:ind w:firstLine="708"/>
        <w:jc w:val="both"/>
      </w:pPr>
      <w:r>
        <w:rPr>
          <w:sz w:val="24"/>
        </w:rPr>
        <w:t>Pagal Veterinarinės priežiūros įstatymo Nr. 39/2007 (toliau – įstatymas) su pakeitimais, padarytais Įstatymu Nr. 184/2018, 53 straipsnio 1 dalies i punktą Slovakijos Respublikos žemės ūkio ir kaimo plėtros ministerija nustato tai, kas nurodyta toliau.</w:t>
      </w:r>
    </w:p>
    <w:p w:rsidR="006403F7" w:rsidRPr="004425E9" w:rsidRDefault="006403F7" w:rsidP="004425E9">
      <w:pPr>
        <w:spacing w:before="120" w:after="120"/>
        <w:jc w:val="center"/>
        <w:rPr>
          <w:b/>
          <w:sz w:val="24"/>
        </w:rPr>
      </w:pPr>
    </w:p>
    <w:p w:rsidR="007C67D5" w:rsidRPr="004425E9" w:rsidRDefault="0037765A" w:rsidP="004425E9">
      <w:pPr>
        <w:spacing w:before="120" w:after="120"/>
        <w:jc w:val="center"/>
      </w:pPr>
      <w:r>
        <w:rPr>
          <w:b/>
          <w:sz w:val="24"/>
        </w:rPr>
        <w:t>1 straipsnis</w:t>
      </w:r>
    </w:p>
    <w:p w:rsidR="007C67D5" w:rsidRPr="004425E9" w:rsidRDefault="0037765A" w:rsidP="004425E9">
      <w:pPr>
        <w:spacing w:before="120" w:after="120"/>
        <w:ind w:firstLine="708"/>
        <w:jc w:val="both"/>
      </w:pPr>
      <w:r>
        <w:rPr>
          <w:sz w:val="24"/>
        </w:rPr>
        <w:t>Šiuo įgyvendinimo dekretu nustatoma:</w:t>
      </w:r>
    </w:p>
    <w:p w:rsidR="007C67D5" w:rsidRPr="004425E9" w:rsidRDefault="0037765A" w:rsidP="004425E9">
      <w:pPr>
        <w:pStyle w:val="ListParagraph"/>
        <w:numPr>
          <w:ilvl w:val="0"/>
          <w:numId w:val="1"/>
        </w:numPr>
        <w:spacing w:before="120" w:after="120"/>
        <w:ind w:left="426" w:hanging="426"/>
        <w:contextualSpacing w:val="0"/>
        <w:jc w:val="both"/>
      </w:pPr>
      <w:r>
        <w:rPr>
          <w:sz w:val="24"/>
        </w:rPr>
        <w:t>išsami informacija apie gyvūnų naudojimą ar treniravimą viešiems pasirodymams (toliau – gyvūnų treniravimas);</w:t>
      </w:r>
    </w:p>
    <w:p w:rsidR="007C67D5" w:rsidRPr="004425E9" w:rsidRDefault="0037765A" w:rsidP="004425E9">
      <w:pPr>
        <w:pStyle w:val="ListParagraph"/>
        <w:numPr>
          <w:ilvl w:val="0"/>
          <w:numId w:val="1"/>
        </w:numPr>
        <w:spacing w:before="120" w:after="120"/>
        <w:ind w:left="426" w:hanging="426"/>
        <w:contextualSpacing w:val="0"/>
        <w:jc w:val="both"/>
      </w:pPr>
      <w:r>
        <w:rPr>
          <w:sz w:val="24"/>
        </w:rPr>
        <w:t>gyvūnų, kuriuos draudžiama naudoti viešuose pasirodymuose arba treniruoti tokiems pasirodymams, sąrašas (įstatymo 22 straipsnio 4 dalies c punktas).</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rPr>
          <w:b/>
          <w:sz w:val="24"/>
        </w:rPr>
      </w:pPr>
      <w:r>
        <w:rPr>
          <w:b/>
          <w:sz w:val="24"/>
        </w:rPr>
        <w:t>2 straipsnis</w:t>
      </w:r>
    </w:p>
    <w:p w:rsidR="007C67D5" w:rsidRPr="004425E9" w:rsidRDefault="0037765A" w:rsidP="004425E9">
      <w:pPr>
        <w:keepNext/>
        <w:keepLines/>
        <w:spacing w:before="120" w:after="120"/>
        <w:ind w:firstLine="708"/>
        <w:jc w:val="both"/>
      </w:pPr>
      <w:r>
        <w:rPr>
          <w:sz w:val="24"/>
        </w:rPr>
        <w:t>Šiame įgyvendinimo dekrete vartojamos šios apibrėžtys:</w:t>
      </w:r>
    </w:p>
    <w:p w:rsidR="007C67D5" w:rsidRPr="004425E9" w:rsidRDefault="0037765A" w:rsidP="004425E9">
      <w:pPr>
        <w:pStyle w:val="ListParagraph"/>
        <w:numPr>
          <w:ilvl w:val="0"/>
          <w:numId w:val="3"/>
        </w:numPr>
        <w:spacing w:before="120" w:after="120"/>
        <w:ind w:left="426" w:hanging="426"/>
        <w:contextualSpacing w:val="0"/>
        <w:jc w:val="both"/>
      </w:pPr>
      <w:r>
        <w:rPr>
          <w:sz w:val="24"/>
        </w:rPr>
        <w:t>viešas pasirodymas – vienkartinis arba kartotinis viešas gyvūnų pristatymas arba veiklos su gyvūnais, kurių metu pristatomi pratimai, užduotys ar kiti veiksmai, kurių gyvūnas išmoko treniruočių metu. Viešais pasirodymais nelaikoma: komentarais palydimas šėrimas ir informacinio pobūdžio paskaitos zoologijos sode arba saugomoje gyvūnų gelbėjimo įstaigoje,</w:t>
      </w:r>
      <w:r>
        <w:rPr>
          <w:vertAlign w:val="superscript"/>
        </w:rPr>
        <w:footnoteReference w:id="1"/>
      </w:r>
      <w:r>
        <w:rPr>
          <w:sz w:val="24"/>
        </w:rPr>
        <w:t>) pasirodymai, atliekami naudojant tarnybinius gyvūnus</w:t>
      </w:r>
      <w:r>
        <w:rPr>
          <w:rStyle w:val="FootnoteReference"/>
          <w:sz w:val="24"/>
        </w:rPr>
        <w:footnoteReference w:id="2"/>
      </w:r>
      <w:r>
        <w:rPr>
          <w:sz w:val="24"/>
        </w:rPr>
        <w:t>) kultūros, švietimo, sporto ar socialiniuose renginiuose ir treniruotų plėšriųjų paukščių naudojimas medžioklės su sakalais parodoje;</w:t>
      </w:r>
    </w:p>
    <w:p w:rsidR="007C67D5" w:rsidRPr="004425E9" w:rsidRDefault="0037765A" w:rsidP="004425E9">
      <w:pPr>
        <w:pStyle w:val="ListParagraph"/>
        <w:numPr>
          <w:ilvl w:val="0"/>
          <w:numId w:val="3"/>
        </w:numPr>
        <w:spacing w:before="120" w:after="120"/>
        <w:ind w:left="426" w:hanging="426"/>
        <w:contextualSpacing w:val="0"/>
        <w:jc w:val="both"/>
      </w:pPr>
      <w:r>
        <w:rPr>
          <w:sz w:val="24"/>
        </w:rPr>
        <w:t>treniravimas – žmogaus įtaka gyvūnui siekiant pasiekti, pastiprinti ar pagerinti tam tikrą minėto gyvūno elgseną ar veiksmus, kurie nėra būtini gyvūnui išgyventi, ar įprastai priežiūrai jį šeriant, transportuojant ar kitaip prižiūrint atlikti.</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pPr>
      <w:r>
        <w:rPr>
          <w:b/>
          <w:sz w:val="24"/>
        </w:rPr>
        <w:t>3 straipsnis</w:t>
      </w:r>
    </w:p>
    <w:p w:rsidR="007C67D5" w:rsidRPr="004425E9" w:rsidRDefault="0037765A" w:rsidP="004425E9">
      <w:pPr>
        <w:keepNext/>
        <w:keepLines/>
        <w:spacing w:before="120" w:after="120"/>
        <w:ind w:firstLine="708"/>
        <w:jc w:val="both"/>
      </w:pPr>
      <w:r>
        <w:rPr>
          <w:sz w:val="24"/>
        </w:rPr>
        <w:t>1. Gyvūnas treniruojamas atskirtoje zonoje (toliau – aikštelėje), kurioje:</w:t>
      </w:r>
    </w:p>
    <w:p w:rsidR="007C67D5" w:rsidRPr="004425E9" w:rsidRDefault="0037765A" w:rsidP="004425E9">
      <w:pPr>
        <w:pStyle w:val="ListParagraph"/>
        <w:numPr>
          <w:ilvl w:val="0"/>
          <w:numId w:val="5"/>
        </w:numPr>
        <w:spacing w:before="120" w:after="120"/>
        <w:ind w:left="426" w:hanging="426"/>
        <w:contextualSpacing w:val="0"/>
        <w:jc w:val="both"/>
      </w:pPr>
      <w:r>
        <w:rPr>
          <w:sz w:val="24"/>
        </w:rPr>
        <w:t>gyvūnas gali saugiai judėti;</w:t>
      </w:r>
    </w:p>
    <w:p w:rsidR="007C67D5" w:rsidRPr="004425E9" w:rsidRDefault="0037765A" w:rsidP="004425E9">
      <w:pPr>
        <w:pStyle w:val="ListParagraph"/>
        <w:numPr>
          <w:ilvl w:val="0"/>
          <w:numId w:val="5"/>
        </w:numPr>
        <w:spacing w:before="120" w:after="120"/>
        <w:ind w:left="426" w:hanging="426"/>
        <w:contextualSpacing w:val="0"/>
        <w:jc w:val="both"/>
      </w:pPr>
      <w:r>
        <w:rPr>
          <w:sz w:val="24"/>
        </w:rPr>
        <w:t>aikštelė suprojektuota ir įrengta taip, kad būtų sumažinta galimybė gyvūnui susižeisti ar patirti kitokią žalą;</w:t>
      </w:r>
    </w:p>
    <w:p w:rsidR="007C67D5" w:rsidRPr="004425E9" w:rsidRDefault="0037765A" w:rsidP="004425E9">
      <w:pPr>
        <w:pStyle w:val="ListParagraph"/>
        <w:numPr>
          <w:ilvl w:val="0"/>
          <w:numId w:val="5"/>
        </w:numPr>
        <w:spacing w:before="120" w:after="120"/>
        <w:ind w:left="426" w:hanging="426"/>
        <w:contextualSpacing w:val="0"/>
        <w:jc w:val="both"/>
      </w:pPr>
      <w:r>
        <w:rPr>
          <w:sz w:val="24"/>
        </w:rPr>
        <w:lastRenderedPageBreak/>
        <w:t>aikštelės matmenys yra tinkami treniruojamai gyvūnų rūšiai;</w:t>
      </w:r>
    </w:p>
    <w:p w:rsidR="007C67D5" w:rsidRPr="004425E9" w:rsidRDefault="0037765A" w:rsidP="004425E9">
      <w:pPr>
        <w:pStyle w:val="ListParagraph"/>
        <w:numPr>
          <w:ilvl w:val="0"/>
          <w:numId w:val="5"/>
        </w:numPr>
        <w:spacing w:before="120" w:after="120"/>
        <w:ind w:left="426" w:hanging="426"/>
        <w:contextualSpacing w:val="0"/>
        <w:jc w:val="both"/>
      </w:pPr>
      <w:r>
        <w:rPr>
          <w:sz w:val="24"/>
        </w:rPr>
        <w:t>užkertamas kelias gyvūnui ištrūkti į teritoriją už aikštelės ribų.</w:t>
      </w:r>
    </w:p>
    <w:p w:rsidR="007C67D5" w:rsidRPr="004425E9" w:rsidRDefault="0037765A" w:rsidP="004425E9">
      <w:pPr>
        <w:spacing w:before="120" w:after="120"/>
        <w:ind w:firstLine="709"/>
        <w:jc w:val="both"/>
      </w:pPr>
      <w:r>
        <w:rPr>
          <w:sz w:val="24"/>
        </w:rPr>
        <w:t>2. Aikštelė, kurios grindys nepadengtos dirvožemiu, smėliu ar žole, turi būti padengta 8–10 cm storio dirvožemio arba smėlio sluoksniu, ant kurio turi būti užpiltas 8–10 cm storio pjuvenų sluoksnis.</w:t>
      </w:r>
    </w:p>
    <w:p w:rsidR="007C67D5" w:rsidRPr="004425E9" w:rsidRDefault="0037765A" w:rsidP="004425E9">
      <w:pPr>
        <w:spacing w:before="120" w:after="120"/>
        <w:ind w:firstLine="709"/>
        <w:jc w:val="both"/>
      </w:pPr>
      <w:r>
        <w:rPr>
          <w:sz w:val="24"/>
        </w:rPr>
        <w:t>3. 2 dalyje nurodytais tikslais gali būti naudojama kita nei pjuvenos medžiaga, jei ji yra plastiška, neelastinga, neslidi ir saugi gyvūnui judėti.</w:t>
      </w:r>
    </w:p>
    <w:p w:rsidR="007C67D5" w:rsidRPr="004425E9" w:rsidRDefault="0037765A" w:rsidP="004425E9">
      <w:pPr>
        <w:spacing w:before="120" w:after="120"/>
        <w:ind w:firstLine="709"/>
        <w:jc w:val="both"/>
      </w:pPr>
      <w:r>
        <w:rPr>
          <w:sz w:val="24"/>
        </w:rPr>
        <w:t>4. Naudojamų konstrukcijų kraštai ir aikštelės išorinė riba turi būti suapvalinti be jokių kyšančių dalių. Zona, skirta gyvūnams įeiti ir išeiti iš aikštelės, turi būti pakankamai plati be jokių pridėtinių objektų ar kliūčių.</w:t>
      </w:r>
    </w:p>
    <w:p w:rsidR="007C67D5" w:rsidRPr="004425E9" w:rsidRDefault="0037765A" w:rsidP="004425E9">
      <w:pPr>
        <w:spacing w:before="120" w:after="120"/>
        <w:ind w:firstLine="709"/>
        <w:jc w:val="both"/>
      </w:pPr>
      <w:r>
        <w:rPr>
          <w:sz w:val="24"/>
        </w:rPr>
        <w:t>5. Garsas arba šviesa, naudojami gyvūną treniruojant, turi būti taikomi gyvūnui palaipsniui.</w:t>
      </w:r>
    </w:p>
    <w:p w:rsidR="007C67D5" w:rsidRPr="004425E9" w:rsidRDefault="0037765A" w:rsidP="004425E9">
      <w:pPr>
        <w:keepNext/>
        <w:keepLines/>
        <w:spacing w:before="120" w:after="120"/>
        <w:ind w:firstLine="709"/>
        <w:jc w:val="both"/>
      </w:pPr>
      <w:r>
        <w:rPr>
          <w:sz w:val="24"/>
        </w:rPr>
        <w:t>6. Gyvūnas neturi būti treniruojamas, jei jis yra:</w:t>
      </w:r>
    </w:p>
    <w:p w:rsidR="007C67D5" w:rsidRPr="004425E9" w:rsidRDefault="0037765A" w:rsidP="004425E9">
      <w:pPr>
        <w:pStyle w:val="ListParagraph"/>
        <w:numPr>
          <w:ilvl w:val="0"/>
          <w:numId w:val="7"/>
        </w:numPr>
        <w:spacing w:before="120" w:after="120"/>
        <w:ind w:left="426" w:hanging="426"/>
        <w:contextualSpacing w:val="0"/>
        <w:jc w:val="both"/>
      </w:pPr>
      <w:r>
        <w:rPr>
          <w:sz w:val="24"/>
        </w:rPr>
        <w:t>vaikinga patelė, kurios nėštumas – antroje pusėje, arba žindanti patelė;</w:t>
      </w:r>
    </w:p>
    <w:p w:rsidR="007C67D5" w:rsidRPr="004425E9" w:rsidRDefault="0037765A" w:rsidP="004425E9">
      <w:pPr>
        <w:pStyle w:val="ListParagraph"/>
        <w:numPr>
          <w:ilvl w:val="0"/>
          <w:numId w:val="7"/>
        </w:numPr>
        <w:spacing w:before="120" w:after="120"/>
        <w:ind w:left="426" w:hanging="426"/>
        <w:contextualSpacing w:val="0"/>
        <w:jc w:val="both"/>
      </w:pPr>
      <w:r>
        <w:rPr>
          <w:sz w:val="24"/>
        </w:rPr>
        <w:t>fiziškai išsekęs, sergantis arba turintis ligos požymių;</w:t>
      </w:r>
    </w:p>
    <w:p w:rsidR="006403F7" w:rsidRPr="004425E9" w:rsidRDefault="0037765A" w:rsidP="004425E9">
      <w:pPr>
        <w:pStyle w:val="ListParagraph"/>
        <w:numPr>
          <w:ilvl w:val="0"/>
          <w:numId w:val="7"/>
        </w:numPr>
        <w:spacing w:before="120" w:after="120"/>
        <w:ind w:left="426" w:hanging="426"/>
        <w:contextualSpacing w:val="0"/>
        <w:jc w:val="both"/>
        <w:rPr>
          <w:sz w:val="24"/>
        </w:rPr>
      </w:pPr>
      <w:r>
        <w:rPr>
          <w:sz w:val="24"/>
        </w:rPr>
        <w:t>veikiamas dopingo, narkotikų ar cheminių medžiagų, kurios kenkia jo sveikatai ar sukelia nefiziologinę būklę (toliau – draudžiamoji medžiaga) arba jei, nepaisant kilusių įtarimų dėl draudžiamosios medžiagos naudojimo, gyvūnas nebuvo ištirtas minėtai medžiagai aptikti;</w:t>
      </w:r>
    </w:p>
    <w:p w:rsidR="006403F7" w:rsidRPr="004425E9" w:rsidRDefault="0037765A" w:rsidP="004425E9">
      <w:pPr>
        <w:pStyle w:val="ListParagraph"/>
        <w:numPr>
          <w:ilvl w:val="0"/>
          <w:numId w:val="7"/>
        </w:numPr>
        <w:spacing w:before="120" w:after="120"/>
        <w:ind w:left="426" w:hanging="426"/>
        <w:contextualSpacing w:val="0"/>
        <w:jc w:val="both"/>
      </w:pPr>
      <w:r>
        <w:rPr>
          <w:sz w:val="24"/>
        </w:rPr>
        <w:t>netinkamai vežamas į aikštelę – naudojant netinkamas priemones ar pažeidžiant specialius teisės aktus</w:t>
      </w:r>
      <w:r>
        <w:rPr>
          <w:vertAlign w:val="superscript"/>
        </w:rPr>
        <w:footnoteReference w:id="3"/>
      </w:r>
      <w:r>
        <w:rPr>
          <w:sz w:val="24"/>
        </w:rPr>
        <w:t>), kuriais nustatomos gyvūnų vežimo taisyklės;</w:t>
      </w:r>
    </w:p>
    <w:p w:rsidR="00176A85" w:rsidRPr="004425E9" w:rsidRDefault="00176A85" w:rsidP="004425E9">
      <w:pPr>
        <w:pStyle w:val="ListParagraph"/>
        <w:numPr>
          <w:ilvl w:val="0"/>
          <w:numId w:val="7"/>
        </w:numPr>
        <w:spacing w:before="120" w:after="120"/>
        <w:ind w:left="426" w:hanging="426"/>
        <w:contextualSpacing w:val="0"/>
        <w:jc w:val="both"/>
      </w:pPr>
      <w:r>
        <w:rPr>
          <w:sz w:val="24"/>
        </w:rPr>
        <w:t>patiria stresą, yra akivaizdžiai susierzinęs ar nervingas.</w:t>
      </w:r>
    </w:p>
    <w:p w:rsidR="007C67D5" w:rsidRPr="004425E9" w:rsidRDefault="0037765A" w:rsidP="004425E9">
      <w:pPr>
        <w:spacing w:before="120" w:after="120"/>
        <w:ind w:firstLine="450"/>
        <w:jc w:val="both"/>
      </w:pPr>
      <w:r>
        <w:rPr>
          <w:sz w:val="24"/>
        </w:rPr>
        <w:t>7. Gyvūno baimei kontakto su žmonėmis metu panaikinti, santykiams užmegzti ir pagarbai žmonėms ugdyti pratinant jį prie vadovavimo naudojamos šios bendravimo priemonės:</w:t>
      </w:r>
    </w:p>
    <w:p w:rsidR="007C67D5" w:rsidRPr="004425E9" w:rsidRDefault="0037765A" w:rsidP="004425E9">
      <w:pPr>
        <w:pStyle w:val="ListParagraph"/>
        <w:numPr>
          <w:ilvl w:val="0"/>
          <w:numId w:val="10"/>
        </w:numPr>
        <w:spacing w:before="120" w:after="120"/>
        <w:ind w:left="426" w:hanging="426"/>
        <w:contextualSpacing w:val="0"/>
        <w:jc w:val="both"/>
      </w:pPr>
      <w:r>
        <w:rPr>
          <w:sz w:val="24"/>
        </w:rPr>
        <w:t>balso dirgiklis;</w:t>
      </w:r>
    </w:p>
    <w:p w:rsidR="007C67D5" w:rsidRPr="004425E9" w:rsidRDefault="0037765A" w:rsidP="004425E9">
      <w:pPr>
        <w:pStyle w:val="ListParagraph"/>
        <w:numPr>
          <w:ilvl w:val="0"/>
          <w:numId w:val="10"/>
        </w:numPr>
        <w:spacing w:before="120" w:after="120"/>
        <w:ind w:left="426" w:hanging="426"/>
        <w:contextualSpacing w:val="0"/>
        <w:jc w:val="both"/>
      </w:pPr>
      <w:r>
        <w:rPr>
          <w:sz w:val="24"/>
        </w:rPr>
        <w:t>bekontaktis dirgiklis naudojant kūno dalis (kūno kalba);</w:t>
      </w:r>
    </w:p>
    <w:p w:rsidR="007C67D5" w:rsidRPr="004425E9" w:rsidRDefault="0037765A" w:rsidP="004425E9">
      <w:pPr>
        <w:pStyle w:val="ListParagraph"/>
        <w:numPr>
          <w:ilvl w:val="0"/>
          <w:numId w:val="10"/>
        </w:numPr>
        <w:spacing w:before="120" w:after="120"/>
        <w:ind w:left="426" w:hanging="426"/>
        <w:contextualSpacing w:val="0"/>
        <w:jc w:val="both"/>
      </w:pPr>
      <w:r>
        <w:rPr>
          <w:sz w:val="24"/>
        </w:rPr>
        <w:t>lytėjimo ir kontakto mezgimo dirgikliai nesukeliant gyvūnui skausmo;</w:t>
      </w:r>
    </w:p>
    <w:p w:rsidR="007C67D5" w:rsidRPr="004425E9" w:rsidRDefault="0037765A" w:rsidP="004425E9">
      <w:pPr>
        <w:pStyle w:val="ListParagraph"/>
        <w:numPr>
          <w:ilvl w:val="0"/>
          <w:numId w:val="10"/>
        </w:numPr>
        <w:spacing w:before="120" w:after="120"/>
        <w:ind w:left="426" w:hanging="426"/>
        <w:contextualSpacing w:val="0"/>
        <w:jc w:val="both"/>
      </w:pPr>
      <w:r>
        <w:rPr>
          <w:sz w:val="24"/>
        </w:rPr>
        <w:t>vadovavimas gyvūnui;</w:t>
      </w:r>
    </w:p>
    <w:p w:rsidR="007C67D5" w:rsidRPr="004425E9" w:rsidRDefault="0037765A" w:rsidP="004425E9">
      <w:pPr>
        <w:pStyle w:val="ListParagraph"/>
        <w:numPr>
          <w:ilvl w:val="0"/>
          <w:numId w:val="10"/>
        </w:numPr>
        <w:spacing w:before="120" w:after="120"/>
        <w:ind w:left="426" w:hanging="426"/>
        <w:contextualSpacing w:val="0"/>
        <w:jc w:val="both"/>
      </w:pPr>
      <w:r>
        <w:rPr>
          <w:sz w:val="24"/>
        </w:rPr>
        <w:t>gyvūno apdovanojimas.</w:t>
      </w:r>
    </w:p>
    <w:p w:rsidR="007C67D5" w:rsidRPr="00622549" w:rsidRDefault="0037765A" w:rsidP="004425E9">
      <w:pPr>
        <w:spacing w:before="120" w:after="120"/>
        <w:ind w:firstLine="450"/>
        <w:jc w:val="both"/>
        <w:rPr>
          <w:sz w:val="24"/>
        </w:rPr>
      </w:pPr>
      <w:r>
        <w:rPr>
          <w:sz w:val="24"/>
        </w:rPr>
        <w:t>8. 7 dalyje nurodytos bendravimo priemonės kiekvienam gyvūnui taikomos suprantamai, nuosekliai, dedant minimalias pastangas ir nesukeliant gyvūnui streso ir psichinių ar fizinių kančių. Su naujomis treniravimo priemonėmis gyvūnas turi būti supažindinamas palaipsniui, kad jas naudojant gyvūnui nepasireikštų streso ar kitų psichinės kančios požymių. Gyvūnams leidžiama įprasti prie naujų treniravimo priemonių lengvai ir palaipsniui.</w:t>
      </w:r>
    </w:p>
    <w:p w:rsidR="007C67D5" w:rsidRPr="004425E9" w:rsidRDefault="0037765A" w:rsidP="004425E9">
      <w:pPr>
        <w:keepNext/>
        <w:keepLines/>
        <w:spacing w:before="120" w:after="120"/>
        <w:ind w:firstLine="450"/>
        <w:jc w:val="both"/>
      </w:pPr>
      <w:r>
        <w:rPr>
          <w:sz w:val="24"/>
        </w:rPr>
        <w:t>9. Treniruojant gyvūną:</w:t>
      </w:r>
    </w:p>
    <w:p w:rsidR="007C67D5" w:rsidRPr="004425E9" w:rsidRDefault="0037765A" w:rsidP="004425E9">
      <w:pPr>
        <w:pStyle w:val="ListParagraph"/>
        <w:numPr>
          <w:ilvl w:val="0"/>
          <w:numId w:val="13"/>
        </w:numPr>
        <w:spacing w:before="120" w:after="120"/>
        <w:ind w:left="426" w:hanging="426"/>
        <w:contextualSpacing w:val="0"/>
        <w:jc w:val="both"/>
      </w:pPr>
      <w:r>
        <w:rPr>
          <w:sz w:val="24"/>
        </w:rPr>
        <w:t>atsižvelgiama tik į prigimtines gyvūno charakteristikas;</w:t>
      </w:r>
    </w:p>
    <w:p w:rsidR="007C67D5" w:rsidRPr="004425E9" w:rsidRDefault="0037765A" w:rsidP="004425E9">
      <w:pPr>
        <w:pStyle w:val="ListParagraph"/>
        <w:numPr>
          <w:ilvl w:val="0"/>
          <w:numId w:val="13"/>
        </w:numPr>
        <w:spacing w:before="120" w:after="120"/>
        <w:ind w:left="426" w:hanging="426"/>
        <w:contextualSpacing w:val="0"/>
        <w:jc w:val="both"/>
      </w:pPr>
      <w:r>
        <w:rPr>
          <w:sz w:val="24"/>
        </w:rPr>
        <w:t>taip pat atsižvelgiama į gyvūno gebėjimą žaisti;</w:t>
      </w:r>
    </w:p>
    <w:p w:rsidR="007C67D5" w:rsidRPr="004425E9" w:rsidRDefault="0037765A" w:rsidP="004425E9">
      <w:pPr>
        <w:pStyle w:val="ListParagraph"/>
        <w:numPr>
          <w:ilvl w:val="0"/>
          <w:numId w:val="13"/>
        </w:numPr>
        <w:spacing w:before="120" w:after="120"/>
        <w:ind w:left="426" w:hanging="426"/>
        <w:contextualSpacing w:val="0"/>
        <w:jc w:val="both"/>
      </w:pPr>
      <w:r>
        <w:rPr>
          <w:sz w:val="24"/>
        </w:rPr>
        <w:t>naudojami teigiami dirgikliai;</w:t>
      </w:r>
    </w:p>
    <w:p w:rsidR="007C67D5" w:rsidRPr="004425E9" w:rsidRDefault="0037765A" w:rsidP="004425E9">
      <w:pPr>
        <w:pStyle w:val="ListParagraph"/>
        <w:numPr>
          <w:ilvl w:val="0"/>
          <w:numId w:val="13"/>
        </w:numPr>
        <w:spacing w:before="120" w:after="120"/>
        <w:ind w:left="426" w:hanging="426"/>
        <w:contextualSpacing w:val="0"/>
        <w:jc w:val="both"/>
      </w:pPr>
      <w:r>
        <w:rPr>
          <w:sz w:val="24"/>
        </w:rPr>
        <w:t>pageidaujami įpročiai, pratimai ir triukai pastiprinami už teisingą atlikimą gyvūną apdovanojant;</w:t>
      </w:r>
    </w:p>
    <w:p w:rsidR="007C67D5" w:rsidRPr="004425E9" w:rsidRDefault="0037765A" w:rsidP="004425E9">
      <w:pPr>
        <w:pStyle w:val="ListParagraph"/>
        <w:numPr>
          <w:ilvl w:val="0"/>
          <w:numId w:val="13"/>
        </w:numPr>
        <w:spacing w:before="120" w:after="120"/>
        <w:ind w:left="426" w:hanging="426"/>
        <w:contextualSpacing w:val="0"/>
        <w:jc w:val="both"/>
      </w:pPr>
      <w:r>
        <w:rPr>
          <w:sz w:val="24"/>
        </w:rPr>
        <w:t>naudojamos suapvalintos priemonės be kyšančių dalių.</w:t>
      </w:r>
    </w:p>
    <w:p w:rsidR="007C67D5" w:rsidRPr="004425E9" w:rsidRDefault="0037765A" w:rsidP="004425E9">
      <w:pPr>
        <w:keepNext/>
        <w:keepLines/>
        <w:spacing w:before="120" w:after="120"/>
        <w:ind w:firstLine="450"/>
        <w:jc w:val="both"/>
      </w:pPr>
      <w:r>
        <w:rPr>
          <w:sz w:val="24"/>
        </w:rPr>
        <w:t>10. Treniruojant gyvūną nenaudojama:</w:t>
      </w:r>
    </w:p>
    <w:p w:rsidR="007C67D5" w:rsidRPr="004425E9" w:rsidRDefault="0037765A" w:rsidP="004425E9">
      <w:pPr>
        <w:pStyle w:val="ListParagraph"/>
        <w:numPr>
          <w:ilvl w:val="0"/>
          <w:numId w:val="15"/>
        </w:numPr>
        <w:spacing w:before="120" w:after="120"/>
        <w:ind w:left="426" w:hanging="426"/>
        <w:contextualSpacing w:val="0"/>
        <w:jc w:val="both"/>
      </w:pPr>
      <w:r>
        <w:rPr>
          <w:sz w:val="24"/>
        </w:rPr>
        <w:t>ugnies ar kiti dirgikliai, kuriais būtų galima sukelti gyvūnui skausmą taikant terminį ar kitokį fizinio ar cheminio pobūdžio poveikį;</w:t>
      </w:r>
    </w:p>
    <w:p w:rsidR="007C67D5" w:rsidRPr="004425E9" w:rsidRDefault="0037765A" w:rsidP="004425E9">
      <w:pPr>
        <w:pStyle w:val="ListParagraph"/>
        <w:numPr>
          <w:ilvl w:val="0"/>
          <w:numId w:val="15"/>
        </w:numPr>
        <w:spacing w:before="120" w:after="120"/>
        <w:ind w:left="426" w:hanging="426"/>
        <w:contextualSpacing w:val="0"/>
        <w:jc w:val="both"/>
      </w:pPr>
      <w:r>
        <w:rPr>
          <w:sz w:val="24"/>
        </w:rPr>
        <w:t>alkio sukėlimas ar reikšmingi šėrimo apribojimai, kuriais būtų keliama grėsmė gyvūno sveikatai;</w:t>
      </w:r>
    </w:p>
    <w:p w:rsidR="007C67D5" w:rsidRPr="004425E9" w:rsidRDefault="0037765A" w:rsidP="004425E9">
      <w:pPr>
        <w:pStyle w:val="ListParagraph"/>
        <w:numPr>
          <w:ilvl w:val="0"/>
          <w:numId w:val="15"/>
        </w:numPr>
        <w:spacing w:before="120" w:after="120"/>
        <w:ind w:left="426" w:hanging="426"/>
        <w:contextualSpacing w:val="0"/>
        <w:jc w:val="both"/>
      </w:pPr>
      <w:r>
        <w:rPr>
          <w:sz w:val="24"/>
        </w:rPr>
        <w:t>priemonės, kuriomis apribojamas gyvūno galūnių judėjimas;</w:t>
      </w:r>
    </w:p>
    <w:p w:rsidR="007C67D5" w:rsidRPr="004425E9" w:rsidRDefault="0037765A" w:rsidP="004425E9">
      <w:pPr>
        <w:pStyle w:val="ListParagraph"/>
        <w:numPr>
          <w:ilvl w:val="0"/>
          <w:numId w:val="15"/>
        </w:numPr>
        <w:spacing w:before="120" w:after="120"/>
        <w:ind w:left="426" w:hanging="426"/>
        <w:contextualSpacing w:val="0"/>
        <w:jc w:val="both"/>
      </w:pPr>
      <w:r>
        <w:rPr>
          <w:sz w:val="24"/>
        </w:rPr>
        <w:t>priemonės ar įranga, kuriomis siunčiami elektros impulsai;</w:t>
      </w:r>
    </w:p>
    <w:p w:rsidR="007C67D5" w:rsidRPr="004425E9" w:rsidRDefault="0037765A" w:rsidP="004425E9">
      <w:pPr>
        <w:pStyle w:val="ListParagraph"/>
        <w:numPr>
          <w:ilvl w:val="0"/>
          <w:numId w:val="15"/>
        </w:numPr>
        <w:spacing w:before="120" w:after="120"/>
        <w:ind w:left="426" w:hanging="426"/>
        <w:contextualSpacing w:val="0"/>
        <w:jc w:val="both"/>
      </w:pPr>
      <w:r>
        <w:rPr>
          <w:sz w:val="24"/>
        </w:rPr>
        <w:t>medžiaga, kuria paveikiamas gyvūno suvokimas;</w:t>
      </w:r>
    </w:p>
    <w:p w:rsidR="007C67D5" w:rsidRPr="004425E9" w:rsidRDefault="0037765A" w:rsidP="004425E9">
      <w:pPr>
        <w:pStyle w:val="ListParagraph"/>
        <w:numPr>
          <w:ilvl w:val="0"/>
          <w:numId w:val="15"/>
        </w:numPr>
        <w:spacing w:before="120" w:after="120"/>
        <w:ind w:left="426" w:hanging="426"/>
        <w:contextualSpacing w:val="0"/>
        <w:jc w:val="both"/>
      </w:pPr>
      <w:r>
        <w:rPr>
          <w:sz w:val="24"/>
        </w:rPr>
        <w:t>barjeras ar kita priemonė, kuri galėtų kelti grėsmę gyvūno sveikatai, ypač – barjeras ar kita priemonė aštriais kraštais ir iškyšomis.</w:t>
      </w:r>
    </w:p>
    <w:p w:rsidR="007C67D5" w:rsidRPr="004425E9" w:rsidRDefault="0037765A" w:rsidP="004425E9">
      <w:pPr>
        <w:spacing w:before="120" w:after="120"/>
        <w:ind w:firstLine="450"/>
        <w:jc w:val="both"/>
      </w:pPr>
      <w:r>
        <w:rPr>
          <w:sz w:val="24"/>
        </w:rPr>
        <w:t>11. Priemonės ir reikmenys, naudojami treniruojant gyvūną, turi nekelti gyvūnui streso, psichinių ar fizinių kančių ir turi atitikti gyvūno sudėjimą bei gebėjimus ir pajėgumus atsižvelgiant į jo amžių. Priemonės ir reikmenys turi būti tokios būklės, kad gyvūnas nebūtų sužeistas, nepatirtų kančios ir nebūtų padaryta žalos jo sveikatai.</w:t>
      </w:r>
    </w:p>
    <w:p w:rsidR="007C67D5" w:rsidRPr="004425E9" w:rsidRDefault="0037765A" w:rsidP="004425E9">
      <w:pPr>
        <w:spacing w:before="120" w:after="120"/>
        <w:ind w:firstLine="450"/>
        <w:jc w:val="both"/>
      </w:pPr>
      <w:r>
        <w:rPr>
          <w:sz w:val="24"/>
        </w:rPr>
        <w:t>12. Gyvūno treniravimo būdas turi būti tinkamas atsižvelgiant į jo rūšį, amžių, fizinį išsivystymą ir elgseną. Treniruojant gyvūną reikia turėti omenyje gyvūno kilmę, lytį, socialinę padėtį, sveikatos būklę, esamą psichinę būseną ir jo aplinką.</w:t>
      </w:r>
    </w:p>
    <w:p w:rsidR="007C67D5" w:rsidRPr="004425E9" w:rsidRDefault="0037765A" w:rsidP="004425E9">
      <w:pPr>
        <w:spacing w:before="120" w:after="120"/>
        <w:ind w:firstLine="450"/>
        <w:jc w:val="both"/>
      </w:pPr>
      <w:r>
        <w:rPr>
          <w:sz w:val="24"/>
        </w:rPr>
        <w:t>13. Viešuose pasirodymuose gyvūną galima naudoti tik jei jis buvo tinkamai parengtas ir yra įpratęs prie viešų pasirodymų sąlygų.</w:t>
      </w:r>
    </w:p>
    <w:p w:rsidR="007C67D5" w:rsidRPr="004425E9" w:rsidRDefault="0037765A" w:rsidP="004425E9">
      <w:pPr>
        <w:spacing w:before="120" w:after="120"/>
        <w:ind w:firstLine="450"/>
        <w:jc w:val="both"/>
      </w:pPr>
      <w:r>
        <w:rPr>
          <w:sz w:val="24"/>
        </w:rPr>
        <w:t>14. Viešų pasirodymų metu naudojami gyvūnai turi būti švarūs ir tinkamai prižiūrėti.</w:t>
      </w:r>
    </w:p>
    <w:p w:rsidR="007C67D5" w:rsidRPr="004425E9" w:rsidRDefault="0037765A" w:rsidP="004425E9">
      <w:pPr>
        <w:keepNext/>
        <w:keepLines/>
        <w:spacing w:before="120" w:after="120"/>
        <w:ind w:firstLine="450"/>
        <w:jc w:val="both"/>
      </w:pPr>
      <w:r>
        <w:rPr>
          <w:sz w:val="24"/>
        </w:rPr>
        <w:t>15. Gyvūno treniravimas nutraukiamas, jei:</w:t>
      </w:r>
    </w:p>
    <w:p w:rsidR="007C67D5" w:rsidRPr="004425E9" w:rsidRDefault="0037765A" w:rsidP="004425E9">
      <w:pPr>
        <w:pStyle w:val="ListParagraph"/>
        <w:numPr>
          <w:ilvl w:val="0"/>
          <w:numId w:val="18"/>
        </w:numPr>
        <w:spacing w:before="120" w:after="120"/>
        <w:ind w:left="426" w:hanging="426"/>
        <w:contextualSpacing w:val="0"/>
        <w:jc w:val="both"/>
      </w:pPr>
      <w:r>
        <w:rPr>
          <w:sz w:val="24"/>
        </w:rPr>
        <w:t>gyvūnas yra pavargęs ir jei tęsiant treniruotę jį reikėtų perdėtai raginti;</w:t>
      </w:r>
    </w:p>
    <w:p w:rsidR="007C67D5" w:rsidRPr="004425E9" w:rsidRDefault="0037765A" w:rsidP="004425E9">
      <w:pPr>
        <w:pStyle w:val="ListParagraph"/>
        <w:numPr>
          <w:ilvl w:val="0"/>
          <w:numId w:val="18"/>
        </w:numPr>
        <w:spacing w:before="120" w:after="120"/>
        <w:ind w:left="426" w:hanging="426"/>
        <w:contextualSpacing w:val="0"/>
        <w:jc w:val="both"/>
      </w:pPr>
      <w:r>
        <w:rPr>
          <w:sz w:val="24"/>
        </w:rPr>
        <w:t>gyvūnas nėra tinkamai kontroliuojamas arba jei su juo elgiamasi šiurkščiai;</w:t>
      </w:r>
    </w:p>
    <w:p w:rsidR="007C67D5" w:rsidRPr="004425E9" w:rsidRDefault="0037765A" w:rsidP="004425E9">
      <w:pPr>
        <w:pStyle w:val="ListParagraph"/>
        <w:numPr>
          <w:ilvl w:val="0"/>
          <w:numId w:val="18"/>
        </w:numPr>
        <w:spacing w:before="120" w:after="120"/>
        <w:ind w:left="426" w:hanging="426"/>
        <w:contextualSpacing w:val="0"/>
        <w:jc w:val="both"/>
      </w:pPr>
      <w:r>
        <w:rPr>
          <w:sz w:val="24"/>
        </w:rPr>
        <w:t>piktnaudžiaujama rimbu arba kita vietoj rimbo naudojama priemone gyvūnui treniruoti;</w:t>
      </w:r>
    </w:p>
    <w:p w:rsidR="007C67D5" w:rsidRPr="004425E9" w:rsidRDefault="0037765A" w:rsidP="004425E9">
      <w:pPr>
        <w:pStyle w:val="ListParagraph"/>
        <w:numPr>
          <w:ilvl w:val="0"/>
          <w:numId w:val="18"/>
        </w:numPr>
        <w:spacing w:before="120" w:after="120"/>
        <w:ind w:left="426" w:hanging="426"/>
        <w:contextualSpacing w:val="0"/>
        <w:jc w:val="both"/>
      </w:pPr>
      <w:r>
        <w:rPr>
          <w:sz w:val="24"/>
        </w:rPr>
        <w:t>gyvūnui pasireiškia ligos, streso ar kiti požymiai, kurie galėtų sukelti gyvūno kančią;</w:t>
      </w:r>
    </w:p>
    <w:p w:rsidR="007C67D5" w:rsidRPr="004425E9" w:rsidRDefault="0037765A" w:rsidP="004425E9">
      <w:pPr>
        <w:pStyle w:val="ListParagraph"/>
        <w:numPr>
          <w:ilvl w:val="0"/>
          <w:numId w:val="18"/>
        </w:numPr>
        <w:spacing w:before="120" w:after="120"/>
        <w:ind w:left="426" w:hanging="426"/>
        <w:contextualSpacing w:val="0"/>
        <w:jc w:val="both"/>
      </w:pPr>
      <w:r>
        <w:rPr>
          <w:sz w:val="24"/>
        </w:rPr>
        <w:t>treniruojant gyvūną naudojama priemonė yra pažeista arba jei reikmenys, kuriuos treniruotės metu vilki gyvūnas, yra pažeisti ir jei tęsiant treniruotę gyvūnas galėtų patirti kančią dėl priemonių ar reikmenų pažeidimo;</w:t>
      </w:r>
    </w:p>
    <w:p w:rsidR="007C67D5" w:rsidRPr="004425E9" w:rsidRDefault="0037765A" w:rsidP="004425E9">
      <w:pPr>
        <w:pStyle w:val="ListParagraph"/>
        <w:numPr>
          <w:ilvl w:val="0"/>
          <w:numId w:val="18"/>
        </w:numPr>
        <w:spacing w:before="120" w:after="120"/>
        <w:ind w:left="426" w:hanging="426"/>
        <w:contextualSpacing w:val="0"/>
        <w:jc w:val="both"/>
      </w:pPr>
      <w:r>
        <w:rPr>
          <w:sz w:val="24"/>
        </w:rPr>
        <w:t>gyvūnas treniruojamas nesilaikant kai kurių 1–14 dalyse nurodytų sąlygų.</w:t>
      </w:r>
    </w:p>
    <w:p w:rsidR="007C67D5" w:rsidRPr="004425E9" w:rsidRDefault="0037765A" w:rsidP="004425E9">
      <w:pPr>
        <w:spacing w:before="120" w:after="120"/>
        <w:jc w:val="center"/>
      </w:pPr>
      <w:r>
        <w:rPr>
          <w:b/>
          <w:sz w:val="24"/>
        </w:rPr>
        <w:t>4 straipsnis</w:t>
      </w:r>
    </w:p>
    <w:p w:rsidR="007C67D5" w:rsidRPr="004425E9" w:rsidRDefault="0037765A" w:rsidP="004425E9">
      <w:pPr>
        <w:spacing w:before="120" w:after="120"/>
        <w:ind w:firstLine="708"/>
        <w:jc w:val="both"/>
      </w:pPr>
      <w:r>
        <w:rPr>
          <w:sz w:val="24"/>
        </w:rPr>
        <w:t>Gyvūnų, kuriuos draudžiama naudoti viešuose pasirodymuose arba treniruoti tokiems pasirodymams, sąrašas pateiktas priedėlyje.</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pPr>
      <w:r>
        <w:rPr>
          <w:b/>
          <w:sz w:val="24"/>
        </w:rPr>
        <w:t>5 straipsnis</w:t>
      </w:r>
    </w:p>
    <w:p w:rsidR="007C67D5" w:rsidRPr="004425E9" w:rsidRDefault="0037765A" w:rsidP="004425E9">
      <w:pPr>
        <w:spacing w:before="120" w:after="120"/>
        <w:ind w:firstLine="708"/>
        <w:jc w:val="both"/>
      </w:pPr>
      <w:r>
        <w:rPr>
          <w:sz w:val="24"/>
        </w:rPr>
        <w:t>Šis įgyvendinimo dekretas buvo priimtas pagal teisiškai privalomą Europos Sąjungos techninių standartų srities aktą.</w:t>
      </w:r>
      <w:r>
        <w:rPr>
          <w:sz w:val="24"/>
          <w:vertAlign w:val="superscript"/>
        </w:rPr>
        <w:footnoteReference w:id="4"/>
      </w:r>
      <w:r>
        <w:rPr>
          <w:sz w:val="24"/>
        </w:rPr>
        <w:t>)</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pPr>
      <w:r>
        <w:rPr>
          <w:b/>
          <w:sz w:val="24"/>
        </w:rPr>
        <w:t>6 straipsnis</w:t>
      </w:r>
    </w:p>
    <w:p w:rsidR="007C67D5" w:rsidRPr="004425E9" w:rsidRDefault="0037765A" w:rsidP="004425E9">
      <w:pPr>
        <w:keepNext/>
        <w:keepLines/>
        <w:spacing w:before="120" w:after="120"/>
        <w:jc w:val="center"/>
      </w:pPr>
      <w:r>
        <w:rPr>
          <w:b/>
          <w:sz w:val="24"/>
        </w:rPr>
        <w:t>Įsigaliojimo data</w:t>
      </w:r>
    </w:p>
    <w:p w:rsidR="007C67D5" w:rsidRPr="004425E9" w:rsidRDefault="0037765A" w:rsidP="004425E9">
      <w:pPr>
        <w:spacing w:before="120" w:after="120"/>
        <w:ind w:firstLine="708"/>
        <w:jc w:val="both"/>
      </w:pPr>
      <w:r>
        <w:rPr>
          <w:sz w:val="24"/>
        </w:rPr>
        <w:t>Šis įgyvendinimo dekretas įsigalioja 2019 m. rugsėjo 1 d.</w:t>
      </w:r>
    </w:p>
    <w:p w:rsidR="007C67D5" w:rsidRPr="004425E9" w:rsidRDefault="004425E9" w:rsidP="004425E9">
      <w:pPr>
        <w:keepNext/>
        <w:keepLines/>
        <w:pageBreakBefore/>
        <w:spacing w:after="200"/>
        <w:ind w:left="6372"/>
        <w:rPr>
          <w:sz w:val="24"/>
        </w:rPr>
      </w:pPr>
      <w:r>
        <w:rPr>
          <w:sz w:val="24"/>
        </w:rPr>
        <w:t>Įgyvendinimo dekreto Nr. .../2019 priedėlis</w:t>
      </w:r>
    </w:p>
    <w:p w:rsidR="006403F7" w:rsidRPr="004425E9" w:rsidRDefault="006403F7" w:rsidP="004425E9">
      <w:pPr>
        <w:keepNext/>
        <w:keepLines/>
        <w:spacing w:after="200"/>
        <w:ind w:left="6372"/>
      </w:pPr>
    </w:p>
    <w:p w:rsidR="007C67D5" w:rsidRPr="004425E9" w:rsidRDefault="0037765A" w:rsidP="004425E9">
      <w:pPr>
        <w:keepNext/>
        <w:keepLines/>
        <w:spacing w:after="200"/>
        <w:jc w:val="center"/>
      </w:pPr>
      <w:r>
        <w:rPr>
          <w:b/>
          <w:sz w:val="24"/>
        </w:rPr>
        <w:t>Gyvūnų, kuriuos draudžiama naudoti viešuose pasirodymuose arba treniruoti tokiems pasirodymams, sąrašas.</w:t>
      </w:r>
    </w:p>
    <w:p w:rsidR="007C67D5" w:rsidRPr="004425E9" w:rsidRDefault="00C774F3" w:rsidP="004425E9">
      <w:pPr>
        <w:keepNext/>
        <w:keepLines/>
        <w:ind w:firstLine="425"/>
        <w:rPr>
          <w:sz w:val="24"/>
          <w:szCs w:val="24"/>
        </w:rPr>
      </w:pPr>
      <w:r>
        <w:rPr>
          <w:sz w:val="24"/>
        </w:rPr>
        <w:t>Gyvūnai, kuriuos draudžiama naudoti viešuose pasirodymuose arba treniruoti tokiems pasirodymams, priklauso:</w:t>
      </w:r>
    </w:p>
    <w:p w:rsidR="007C67D5" w:rsidRPr="004425E9" w:rsidRDefault="0037765A" w:rsidP="004425E9">
      <w:pPr>
        <w:pStyle w:val="ListParagraph"/>
        <w:numPr>
          <w:ilvl w:val="0"/>
          <w:numId w:val="19"/>
        </w:numPr>
        <w:spacing w:before="120" w:after="120"/>
        <w:ind w:left="425" w:hanging="425"/>
        <w:jc w:val="both"/>
      </w:pPr>
      <w:r>
        <w:rPr>
          <w:sz w:val="24"/>
        </w:rPr>
        <w:t>mėsėdžių būriui, išskyrus naminius šunis (</w:t>
      </w:r>
      <w:r>
        <w:rPr>
          <w:i/>
          <w:sz w:val="24"/>
        </w:rPr>
        <w:t>Canis lupus familiaris</w:t>
      </w:r>
      <w:r>
        <w:rPr>
          <w:sz w:val="24"/>
        </w:rPr>
        <w:t>), namines kates (</w:t>
      </w:r>
      <w:r>
        <w:rPr>
          <w:i/>
          <w:sz w:val="24"/>
        </w:rPr>
        <w:t>Felis silvestris catus</w:t>
      </w:r>
      <w:r>
        <w:rPr>
          <w:sz w:val="24"/>
        </w:rPr>
        <w:t>) ir šeškus (</w:t>
      </w:r>
      <w:r>
        <w:rPr>
          <w:i/>
          <w:sz w:val="24"/>
        </w:rPr>
        <w:t>Mustela putorius Furo</w:t>
      </w:r>
      <w:r>
        <w:rPr>
          <w:sz w:val="24"/>
        </w:rPr>
        <w:t>);</w:t>
      </w:r>
    </w:p>
    <w:p w:rsidR="007C67D5" w:rsidRPr="004425E9" w:rsidRDefault="0037765A" w:rsidP="004425E9">
      <w:pPr>
        <w:pStyle w:val="ListParagraph"/>
        <w:numPr>
          <w:ilvl w:val="0"/>
          <w:numId w:val="19"/>
        </w:numPr>
        <w:spacing w:before="120" w:after="120"/>
        <w:ind w:left="425" w:hanging="425"/>
      </w:pPr>
      <w:r>
        <w:rPr>
          <w:sz w:val="24"/>
        </w:rPr>
        <w:t>primatų būriui;</w:t>
      </w:r>
    </w:p>
    <w:p w:rsidR="007C67D5" w:rsidRPr="004425E9" w:rsidRDefault="0037765A" w:rsidP="004425E9">
      <w:pPr>
        <w:pStyle w:val="ListParagraph"/>
        <w:numPr>
          <w:ilvl w:val="0"/>
          <w:numId w:val="19"/>
        </w:numPr>
        <w:spacing w:before="120" w:after="120"/>
        <w:ind w:left="425" w:hanging="425"/>
        <w:jc w:val="both"/>
      </w:pPr>
      <w:r>
        <w:rPr>
          <w:i/>
          <w:sz w:val="24"/>
        </w:rPr>
        <w:t>Elephantidae</w:t>
      </w:r>
      <w:r>
        <w:rPr>
          <w:sz w:val="24"/>
        </w:rPr>
        <w:t xml:space="preserve"> šeimai;</w:t>
      </w:r>
    </w:p>
    <w:p w:rsidR="007C67D5" w:rsidRPr="004425E9" w:rsidRDefault="0037765A" w:rsidP="004425E9">
      <w:pPr>
        <w:pStyle w:val="ListParagraph"/>
        <w:numPr>
          <w:ilvl w:val="0"/>
          <w:numId w:val="19"/>
        </w:numPr>
        <w:spacing w:before="120" w:after="120"/>
        <w:ind w:left="425" w:hanging="425"/>
      </w:pPr>
      <w:r>
        <w:rPr>
          <w:i/>
          <w:sz w:val="24"/>
        </w:rPr>
        <w:t>Delphinidae</w:t>
      </w:r>
      <w:r>
        <w:rPr>
          <w:sz w:val="24"/>
        </w:rPr>
        <w:t xml:space="preserve"> šeimai;</w:t>
      </w:r>
    </w:p>
    <w:p w:rsidR="00DE5997" w:rsidRPr="004425E9" w:rsidRDefault="0037765A" w:rsidP="004425E9">
      <w:pPr>
        <w:pStyle w:val="ListParagraph"/>
        <w:numPr>
          <w:ilvl w:val="0"/>
          <w:numId w:val="19"/>
        </w:numPr>
        <w:spacing w:before="120" w:after="120"/>
        <w:ind w:left="425" w:hanging="425"/>
        <w:jc w:val="both"/>
        <w:rPr>
          <w:sz w:val="24"/>
        </w:rPr>
      </w:pPr>
      <w:r>
        <w:rPr>
          <w:i/>
          <w:sz w:val="24"/>
        </w:rPr>
        <w:t>Hippopotamidae</w:t>
      </w:r>
      <w:r>
        <w:rPr>
          <w:sz w:val="24"/>
        </w:rPr>
        <w:t xml:space="preserve"> šeimai;</w:t>
      </w:r>
    </w:p>
    <w:p w:rsidR="007C67D5" w:rsidRPr="004425E9" w:rsidRDefault="00E23F9D" w:rsidP="004425E9">
      <w:pPr>
        <w:pStyle w:val="ListParagraph"/>
        <w:numPr>
          <w:ilvl w:val="0"/>
          <w:numId w:val="19"/>
        </w:numPr>
        <w:spacing w:before="120" w:after="120"/>
        <w:ind w:left="425" w:hanging="425"/>
        <w:jc w:val="both"/>
        <w:rPr>
          <w:sz w:val="24"/>
        </w:rPr>
      </w:pPr>
      <w:r>
        <w:rPr>
          <w:i/>
          <w:sz w:val="24"/>
        </w:rPr>
        <w:t>Giraffidae</w:t>
      </w:r>
      <w:r>
        <w:rPr>
          <w:sz w:val="24"/>
        </w:rPr>
        <w:t xml:space="preserve"> šeimai;</w:t>
      </w:r>
    </w:p>
    <w:p w:rsidR="00E23F9D" w:rsidRPr="004425E9" w:rsidRDefault="00E23F9D" w:rsidP="004425E9">
      <w:pPr>
        <w:pStyle w:val="ListParagraph"/>
        <w:numPr>
          <w:ilvl w:val="0"/>
          <w:numId w:val="19"/>
        </w:numPr>
        <w:spacing w:before="120" w:after="120"/>
        <w:ind w:left="425" w:hanging="425"/>
        <w:jc w:val="both"/>
      </w:pPr>
      <w:r>
        <w:rPr>
          <w:i/>
          <w:sz w:val="24"/>
        </w:rPr>
        <w:t>Rhinocerotidae</w:t>
      </w:r>
      <w:r>
        <w:rPr>
          <w:sz w:val="24"/>
        </w:rPr>
        <w:t xml:space="preserve"> šeimai.</w:t>
      </w:r>
    </w:p>
    <w:sectPr w:rsidR="00E23F9D" w:rsidRPr="004425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52A" w:rsidRDefault="00EF752A">
      <w:r>
        <w:separator/>
      </w:r>
    </w:p>
  </w:endnote>
  <w:endnote w:type="continuationSeparator" w:id="0">
    <w:p w:rsidR="00EF752A" w:rsidRDefault="00EF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991278"/>
      <w:docPartObj>
        <w:docPartGallery w:val="Page Numbers (Bottom of Page)"/>
        <w:docPartUnique/>
      </w:docPartObj>
    </w:sdtPr>
    <w:sdtEndPr/>
    <w:sdtContent>
      <w:p w:rsidR="00D8362D" w:rsidRDefault="00D8362D">
        <w:pPr>
          <w:pStyle w:val="Footer"/>
          <w:jc w:val="center"/>
        </w:pPr>
        <w:r>
          <w:fldChar w:fldCharType="begin"/>
        </w:r>
        <w:r>
          <w:instrText>PAGE   \* MERGEFORMAT</w:instrText>
        </w:r>
        <w:r>
          <w:fldChar w:fldCharType="separate"/>
        </w:r>
        <w:r w:rsidR="00EF752A">
          <w:rPr>
            <w:noProof/>
          </w:rPr>
          <w:t>1</w:t>
        </w:r>
        <w:r>
          <w:fldChar w:fldCharType="end"/>
        </w:r>
      </w:p>
    </w:sdtContent>
  </w:sdt>
  <w:p w:rsidR="00D8362D" w:rsidRDefault="00D8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52A" w:rsidRDefault="00EF752A">
      <w:r>
        <w:separator/>
      </w:r>
    </w:p>
  </w:footnote>
  <w:footnote w:type="continuationSeparator" w:id="0">
    <w:p w:rsidR="00EF752A" w:rsidRDefault="00EF752A">
      <w:r>
        <w:continuationSeparator/>
      </w:r>
    </w:p>
  </w:footnote>
  <w:footnote w:id="1">
    <w:p w:rsidR="007C67D5" w:rsidRDefault="0037765A" w:rsidP="004425E9">
      <w:pPr>
        <w:pStyle w:val="FootnoteText"/>
        <w:ind w:left="284" w:hanging="284"/>
        <w:jc w:val="both"/>
      </w:pPr>
      <w:r>
        <w:rPr>
          <w:vertAlign w:val="superscript"/>
        </w:rPr>
        <w:t>1</w:t>
      </w:r>
      <w:r w:rsidR="00530F99">
        <w:t>)</w:t>
      </w:r>
      <w:r w:rsidR="00530F99">
        <w:tab/>
      </w:r>
      <w:r>
        <w:t>Įstatymo Nr. 543/2002 dėl gamtos ir kraštovaizdžio apsaugos (su pakeitimais) 44 ir 45 straipsniai.</w:t>
      </w:r>
    </w:p>
  </w:footnote>
  <w:footnote w:id="2">
    <w:p w:rsidR="00D537DF" w:rsidRDefault="00D537DF" w:rsidP="006403F7">
      <w:pPr>
        <w:pStyle w:val="FootnoteText"/>
        <w:ind w:left="284" w:hanging="284"/>
        <w:jc w:val="both"/>
      </w:pPr>
      <w:r>
        <w:rPr>
          <w:rStyle w:val="FootnoteReference"/>
        </w:rPr>
        <w:footnoteRef/>
      </w:r>
      <w:r>
        <w:t>)</w:t>
      </w:r>
      <w:r>
        <w:tab/>
        <w:t>Pavyzdžiui, Slovakijos Respublikos Nacionalinės Tarybos įstatymo Nr. 171/1993 dėl policijos pajėgų (su pakeitimais) 50 straipsnio 1 dalies f ir g punktai, Įstatymo Nr. 321/2002 dėl Slovakijos Respublikos ginkluotųjų pajėgų 14 straipsnio 1 dalies b punktas.</w:t>
      </w:r>
    </w:p>
  </w:footnote>
  <w:footnote w:id="3">
    <w:p w:rsidR="007C67D5" w:rsidRDefault="00542CD2" w:rsidP="006403F7">
      <w:pPr>
        <w:ind w:left="284" w:hanging="284"/>
        <w:jc w:val="both"/>
      </w:pPr>
      <w:r>
        <w:rPr>
          <w:vertAlign w:val="superscript"/>
        </w:rPr>
        <w:t>3</w:t>
      </w:r>
      <w:r>
        <w:t xml:space="preserve">) </w:t>
      </w:r>
      <w:r w:rsidR="00530F99">
        <w:tab/>
      </w:r>
      <w:bookmarkStart w:id="0" w:name="_GoBack"/>
      <w:bookmarkEnd w:id="0"/>
      <w:r>
        <w:t>2004 m. gruodžio 22 d. Tarybos reglamentas (EB) Nr. 1/2005 dėl gyvūnų apsaugos juos vežant ir atliekant susijusias operacijas ir iš dalies keičiantis Direktyvas 64/432/EEB ir 93/119/EB ir Reglamentą (EB) Nr. 1255/97 (OL L 3, 2005 1 5).</w:t>
      </w:r>
    </w:p>
  </w:footnote>
  <w:footnote w:id="4">
    <w:p w:rsidR="007C67D5" w:rsidRDefault="00542CD2" w:rsidP="006403F7">
      <w:pPr>
        <w:ind w:left="284" w:hanging="284"/>
        <w:jc w:val="both"/>
      </w:pPr>
      <w:r>
        <w:rPr>
          <w:vertAlign w:val="superscript"/>
        </w:rPr>
        <w:t>4</w:t>
      </w:r>
      <w:r>
        <w:t>)</w:t>
      </w:r>
      <w:r>
        <w:tab/>
        <w:t>2015 m. rugsėjo 9 d. Europos Parlamento ir Tarybos direktyva (ES) 2015/1535, kuria nustatoma informacijos apie techninius reglamentus ir informacinės visuomenės paslaugų taisykles teikimo tvarka (OL L 241, 2015 9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669"/>
    <w:multiLevelType w:val="hybridMultilevel"/>
    <w:tmpl w:val="57385A36"/>
    <w:lvl w:ilvl="0" w:tplc="328A6930">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 w15:restartNumberingAfterBreak="0">
    <w:nsid w:val="0B795849"/>
    <w:multiLevelType w:val="hybridMultilevel"/>
    <w:tmpl w:val="414EB448"/>
    <w:lvl w:ilvl="0" w:tplc="FC60BB06">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8D5C23"/>
    <w:multiLevelType w:val="hybridMultilevel"/>
    <w:tmpl w:val="13949974"/>
    <w:lvl w:ilvl="0" w:tplc="4BAC6368">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3" w15:restartNumberingAfterBreak="0">
    <w:nsid w:val="1EE02F15"/>
    <w:multiLevelType w:val="hybridMultilevel"/>
    <w:tmpl w:val="3C98DBF6"/>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4" w15:restartNumberingAfterBreak="0">
    <w:nsid w:val="1FE970D8"/>
    <w:multiLevelType w:val="hybridMultilevel"/>
    <w:tmpl w:val="94108F70"/>
    <w:lvl w:ilvl="0" w:tplc="355A22DC">
      <w:start w:val="1"/>
      <w:numFmt w:val="lowerLetter"/>
      <w:lvlText w:val="%1) "/>
      <w:lvlJc w:val="left"/>
      <w:pPr>
        <w:ind w:left="10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B45B3A"/>
    <w:multiLevelType w:val="hybridMultilevel"/>
    <w:tmpl w:val="88DCE2B4"/>
    <w:lvl w:ilvl="0" w:tplc="8D6E3278">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6" w15:restartNumberingAfterBreak="0">
    <w:nsid w:val="31E13583"/>
    <w:multiLevelType w:val="hybridMultilevel"/>
    <w:tmpl w:val="2FE6D738"/>
    <w:lvl w:ilvl="0" w:tplc="FC60BB06">
      <w:start w:val="1"/>
      <w:numFmt w:val="lowerLetter"/>
      <w:lvlText w:val="%1)"/>
      <w:lvlJc w:val="left"/>
      <w:pPr>
        <w:ind w:left="96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7" w15:restartNumberingAfterBreak="0">
    <w:nsid w:val="356A7329"/>
    <w:multiLevelType w:val="hybridMultilevel"/>
    <w:tmpl w:val="F26EE760"/>
    <w:lvl w:ilvl="0" w:tplc="1FCC1604">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8" w15:restartNumberingAfterBreak="0">
    <w:nsid w:val="3794783E"/>
    <w:multiLevelType w:val="hybridMultilevel"/>
    <w:tmpl w:val="4108659E"/>
    <w:lvl w:ilvl="0" w:tplc="2F4CE9F0">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FB608C"/>
    <w:multiLevelType w:val="hybridMultilevel"/>
    <w:tmpl w:val="8DD21F62"/>
    <w:lvl w:ilvl="0" w:tplc="A5809654">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0" w15:restartNumberingAfterBreak="0">
    <w:nsid w:val="4C9E0E9D"/>
    <w:multiLevelType w:val="hybridMultilevel"/>
    <w:tmpl w:val="9AEAAF2C"/>
    <w:lvl w:ilvl="0" w:tplc="A628FAE6">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1" w15:restartNumberingAfterBreak="0">
    <w:nsid w:val="4CE4126D"/>
    <w:multiLevelType w:val="hybridMultilevel"/>
    <w:tmpl w:val="57BAF7D0"/>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2" w15:restartNumberingAfterBreak="0">
    <w:nsid w:val="4D8E0648"/>
    <w:multiLevelType w:val="hybridMultilevel"/>
    <w:tmpl w:val="38466362"/>
    <w:lvl w:ilvl="0" w:tplc="2F4CE9F0">
      <w:start w:val="1"/>
      <w:numFmt w:val="lowerLetter"/>
      <w:lvlText w:val="%1)"/>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3" w15:restartNumberingAfterBreak="0">
    <w:nsid w:val="5165676C"/>
    <w:multiLevelType w:val="hybridMultilevel"/>
    <w:tmpl w:val="B740971A"/>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5D46AD8"/>
    <w:multiLevelType w:val="hybridMultilevel"/>
    <w:tmpl w:val="2BCE06F2"/>
    <w:lvl w:ilvl="0" w:tplc="B604681E">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5" w15:restartNumberingAfterBreak="0">
    <w:nsid w:val="617345D0"/>
    <w:multiLevelType w:val="hybridMultilevel"/>
    <w:tmpl w:val="04C0B146"/>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6" w15:restartNumberingAfterBreak="0">
    <w:nsid w:val="720A3BE8"/>
    <w:multiLevelType w:val="hybridMultilevel"/>
    <w:tmpl w:val="89A4DCE4"/>
    <w:lvl w:ilvl="0" w:tplc="3CEC8430">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7" w15:restartNumberingAfterBreak="0">
    <w:nsid w:val="73525FC8"/>
    <w:multiLevelType w:val="hybridMultilevel"/>
    <w:tmpl w:val="F46C92E0"/>
    <w:lvl w:ilvl="0" w:tplc="3378D0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8" w15:restartNumberingAfterBreak="0">
    <w:nsid w:val="755D3439"/>
    <w:multiLevelType w:val="hybridMultilevel"/>
    <w:tmpl w:val="3C444674"/>
    <w:lvl w:ilvl="0" w:tplc="AD1A2C0C">
      <w:start w:val="1"/>
      <w:numFmt w:val="lowerLetter"/>
      <w:lvlText w:val="%1) "/>
      <w:lvlJc w:val="left"/>
      <w:pPr>
        <w:ind w:left="1020" w:hanging="360"/>
      </w:pPr>
      <w:rPr>
        <w:rFonts w:hint="default"/>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9" w15:restartNumberingAfterBreak="0">
    <w:nsid w:val="7ACA6BCB"/>
    <w:multiLevelType w:val="hybridMultilevel"/>
    <w:tmpl w:val="261C4CD0"/>
    <w:lvl w:ilvl="0" w:tplc="5D12E8E0">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num w:numId="1">
    <w:abstractNumId w:val="4"/>
  </w:num>
  <w:num w:numId="2">
    <w:abstractNumId w:val="5"/>
  </w:num>
  <w:num w:numId="3">
    <w:abstractNumId w:val="14"/>
  </w:num>
  <w:num w:numId="4">
    <w:abstractNumId w:val="7"/>
  </w:num>
  <w:num w:numId="5">
    <w:abstractNumId w:val="10"/>
  </w:num>
  <w:num w:numId="6">
    <w:abstractNumId w:val="9"/>
  </w:num>
  <w:num w:numId="7">
    <w:abstractNumId w:val="19"/>
  </w:num>
  <w:num w:numId="8">
    <w:abstractNumId w:val="17"/>
  </w:num>
  <w:num w:numId="9">
    <w:abstractNumId w:val="18"/>
  </w:num>
  <w:num w:numId="10">
    <w:abstractNumId w:val="0"/>
  </w:num>
  <w:num w:numId="11">
    <w:abstractNumId w:val="11"/>
  </w:num>
  <w:num w:numId="12">
    <w:abstractNumId w:val="6"/>
  </w:num>
  <w:num w:numId="13">
    <w:abstractNumId w:val="3"/>
  </w:num>
  <w:num w:numId="14">
    <w:abstractNumId w:val="13"/>
  </w:num>
  <w:num w:numId="15">
    <w:abstractNumId w:val="8"/>
  </w:num>
  <w:num w:numId="16">
    <w:abstractNumId w:val="12"/>
  </w:num>
  <w:num w:numId="17">
    <w:abstractNumId w:val="2"/>
  </w:num>
  <w:num w:numId="18">
    <w:abstractNumId w:val="15"/>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D5"/>
    <w:rsid w:val="00000C1F"/>
    <w:rsid w:val="000A10C5"/>
    <w:rsid w:val="00123EB6"/>
    <w:rsid w:val="001373ED"/>
    <w:rsid w:val="00176A85"/>
    <w:rsid w:val="001C2483"/>
    <w:rsid w:val="001D5DD5"/>
    <w:rsid w:val="00272B4A"/>
    <w:rsid w:val="002B45BF"/>
    <w:rsid w:val="002D7F58"/>
    <w:rsid w:val="00343D4D"/>
    <w:rsid w:val="00356415"/>
    <w:rsid w:val="00363100"/>
    <w:rsid w:val="0037765A"/>
    <w:rsid w:val="003F63F3"/>
    <w:rsid w:val="004425E9"/>
    <w:rsid w:val="004F2436"/>
    <w:rsid w:val="00530F99"/>
    <w:rsid w:val="00542CD2"/>
    <w:rsid w:val="005819D1"/>
    <w:rsid w:val="005C70A6"/>
    <w:rsid w:val="00611ADB"/>
    <w:rsid w:val="0061466F"/>
    <w:rsid w:val="00622549"/>
    <w:rsid w:val="00637B9C"/>
    <w:rsid w:val="006403F7"/>
    <w:rsid w:val="00651A6E"/>
    <w:rsid w:val="00683AF8"/>
    <w:rsid w:val="006C40FD"/>
    <w:rsid w:val="006D7C14"/>
    <w:rsid w:val="007339F5"/>
    <w:rsid w:val="007C67D5"/>
    <w:rsid w:val="008327EB"/>
    <w:rsid w:val="00873DEC"/>
    <w:rsid w:val="008C12F7"/>
    <w:rsid w:val="008E58BB"/>
    <w:rsid w:val="008F1664"/>
    <w:rsid w:val="008F4EA7"/>
    <w:rsid w:val="00935B7C"/>
    <w:rsid w:val="00964198"/>
    <w:rsid w:val="009C75C4"/>
    <w:rsid w:val="00A36AC9"/>
    <w:rsid w:val="00A55742"/>
    <w:rsid w:val="00A670D4"/>
    <w:rsid w:val="00AB63AE"/>
    <w:rsid w:val="00B55BC4"/>
    <w:rsid w:val="00C1493B"/>
    <w:rsid w:val="00C54803"/>
    <w:rsid w:val="00C7603F"/>
    <w:rsid w:val="00C774F3"/>
    <w:rsid w:val="00CA68FF"/>
    <w:rsid w:val="00CB02C9"/>
    <w:rsid w:val="00CC7A02"/>
    <w:rsid w:val="00D1219E"/>
    <w:rsid w:val="00D253C8"/>
    <w:rsid w:val="00D537DF"/>
    <w:rsid w:val="00D8362D"/>
    <w:rsid w:val="00DC1F46"/>
    <w:rsid w:val="00DE5997"/>
    <w:rsid w:val="00DF0B89"/>
    <w:rsid w:val="00E23F9D"/>
    <w:rsid w:val="00E472C8"/>
    <w:rsid w:val="00E62E0E"/>
    <w:rsid w:val="00EE43A7"/>
    <w:rsid w:val="00EE7977"/>
    <w:rsid w:val="00EF752A"/>
    <w:rsid w:val="00F70CE2"/>
    <w:rsid w:val="00FF351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249BF8-2930-4589-A3F2-25F3631A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03F7"/>
    <w:pPr>
      <w:keepNext/>
      <w:keepLines/>
      <w:spacing w:before="360" w:after="120"/>
      <w:jc w:val="center"/>
      <w:outlineLvl w:val="0"/>
    </w:pPr>
    <w:rPr>
      <w:rFonts w:cs="Arial"/>
      <w:b/>
      <w:bCs/>
      <w:sz w:val="24"/>
      <w:szCs w:val="28"/>
    </w:rPr>
  </w:style>
  <w:style w:type="paragraph" w:styleId="Heading2">
    <w:name w:val="heading 2"/>
    <w:basedOn w:val="Normal"/>
    <w:next w:val="Normal"/>
    <w:link w:val="Heading2Char"/>
    <w:uiPriority w:val="9"/>
    <w:unhideWhenUsed/>
    <w:qFormat/>
    <w:rsid w:val="006403F7"/>
    <w:pPr>
      <w:keepNext/>
      <w:keepLines/>
      <w:spacing w:before="240" w:after="120"/>
      <w:jc w:val="center"/>
      <w:outlineLvl w:val="1"/>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37DF"/>
  </w:style>
  <w:style w:type="character" w:customStyle="1" w:styleId="FootnoteTextChar">
    <w:name w:val="Footnote Text Char"/>
    <w:basedOn w:val="DefaultParagraphFont"/>
    <w:link w:val="FootnoteText"/>
    <w:uiPriority w:val="99"/>
    <w:semiHidden/>
    <w:rsid w:val="00D537DF"/>
  </w:style>
  <w:style w:type="character" w:styleId="FootnoteReference">
    <w:name w:val="footnote reference"/>
    <w:basedOn w:val="DefaultParagraphFont"/>
    <w:uiPriority w:val="99"/>
    <w:semiHidden/>
    <w:unhideWhenUsed/>
    <w:rsid w:val="00D537DF"/>
    <w:rPr>
      <w:vertAlign w:val="superscript"/>
    </w:rPr>
  </w:style>
  <w:style w:type="paragraph" w:styleId="BalloonText">
    <w:name w:val="Balloon Text"/>
    <w:basedOn w:val="Normal"/>
    <w:link w:val="BalloonTextChar"/>
    <w:uiPriority w:val="99"/>
    <w:semiHidden/>
    <w:unhideWhenUsed/>
    <w:rsid w:val="00176A85"/>
    <w:rPr>
      <w:rFonts w:ascii="Tahoma" w:hAnsi="Tahoma" w:cs="Tahoma"/>
      <w:sz w:val="16"/>
      <w:szCs w:val="16"/>
    </w:rPr>
  </w:style>
  <w:style w:type="character" w:customStyle="1" w:styleId="BalloonTextChar">
    <w:name w:val="Balloon Text Char"/>
    <w:basedOn w:val="DefaultParagraphFont"/>
    <w:link w:val="BalloonText"/>
    <w:uiPriority w:val="99"/>
    <w:semiHidden/>
    <w:rsid w:val="00176A85"/>
    <w:rPr>
      <w:rFonts w:ascii="Tahoma" w:hAnsi="Tahoma" w:cs="Tahoma"/>
      <w:sz w:val="16"/>
      <w:szCs w:val="16"/>
    </w:rPr>
  </w:style>
  <w:style w:type="paragraph" w:styleId="Header">
    <w:name w:val="header"/>
    <w:basedOn w:val="Normal"/>
    <w:link w:val="HeaderChar"/>
    <w:uiPriority w:val="99"/>
    <w:unhideWhenUsed/>
    <w:rsid w:val="00D8362D"/>
    <w:pPr>
      <w:tabs>
        <w:tab w:val="center" w:pos="4536"/>
        <w:tab w:val="right" w:pos="9072"/>
      </w:tabs>
    </w:pPr>
  </w:style>
  <w:style w:type="character" w:customStyle="1" w:styleId="HeaderChar">
    <w:name w:val="Header Char"/>
    <w:basedOn w:val="DefaultParagraphFont"/>
    <w:link w:val="Header"/>
    <w:uiPriority w:val="99"/>
    <w:rsid w:val="00D8362D"/>
  </w:style>
  <w:style w:type="paragraph" w:styleId="Footer">
    <w:name w:val="footer"/>
    <w:basedOn w:val="Normal"/>
    <w:link w:val="FooterChar"/>
    <w:uiPriority w:val="99"/>
    <w:unhideWhenUsed/>
    <w:rsid w:val="00D8362D"/>
    <w:pPr>
      <w:tabs>
        <w:tab w:val="center" w:pos="4536"/>
        <w:tab w:val="right" w:pos="9072"/>
      </w:tabs>
    </w:pPr>
  </w:style>
  <w:style w:type="character" w:customStyle="1" w:styleId="FooterChar">
    <w:name w:val="Footer Char"/>
    <w:basedOn w:val="DefaultParagraphFont"/>
    <w:link w:val="Footer"/>
    <w:uiPriority w:val="99"/>
    <w:rsid w:val="00D8362D"/>
  </w:style>
  <w:style w:type="character" w:customStyle="1" w:styleId="Heading1Char">
    <w:name w:val="Heading 1 Char"/>
    <w:basedOn w:val="DefaultParagraphFont"/>
    <w:link w:val="Heading1"/>
    <w:rsid w:val="006403F7"/>
    <w:rPr>
      <w:rFonts w:cs="Arial"/>
      <w:b/>
      <w:bCs/>
      <w:sz w:val="24"/>
      <w:szCs w:val="28"/>
      <w:lang w:val="lt-LT" w:eastAsia="en-GB" w:bidi="en-GB"/>
    </w:rPr>
  </w:style>
  <w:style w:type="character" w:customStyle="1" w:styleId="Heading2Char">
    <w:name w:val="Heading 2 Char"/>
    <w:basedOn w:val="DefaultParagraphFont"/>
    <w:link w:val="Heading2"/>
    <w:uiPriority w:val="9"/>
    <w:rsid w:val="006403F7"/>
    <w:rPr>
      <w:rFonts w:cs="Arial"/>
      <w:b/>
      <w:bCs/>
      <w:sz w:val="24"/>
      <w:szCs w:val="26"/>
      <w:lang w:val="lt-LT" w:eastAsia="en-GB" w:bidi="en-GB"/>
    </w:rPr>
  </w:style>
  <w:style w:type="paragraph" w:styleId="ListParagraph">
    <w:name w:val="List Paragraph"/>
    <w:basedOn w:val="Normal"/>
    <w:uiPriority w:val="34"/>
    <w:qFormat/>
    <w:rsid w:val="00640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_material"/>
    <f:field ref="objsubject" par="" edit="true" text=""/>
    <f:field ref="objcreatedby" par="" text="Nemec, Roman, Mgr."/>
    <f:field ref="objcreatedat" par="" text="5.4.2019 7:16:41"/>
    <f:field ref="objchangedby" par="" text="Administrator, System"/>
    <f:field ref="objmodifiedat" par="" text="5.4.2019 7:16: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C706268-7AA0-490E-82F8-817F4CE6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1115</Words>
  <Characters>6362</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Liu, Lei</cp:lastModifiedBy>
  <cp:revision>5</cp:revision>
  <dcterms:created xsi:type="dcterms:W3CDTF">2019-04-05T07:53:00Z</dcterms:created>
  <dcterms:modified xsi:type="dcterms:W3CDTF">2019-07-16T09:25:00Z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style="width:100.0%;height:37px;"&gt;			&lt;h2&gt;Správa o účasti verejnosti na tvorbe právneho predpisu&lt;/h2&gt;			&lt;h2&gt;Scenár 4: Verejno</vt:lpwstr>
  </property>
  <property fmtid="{D5CDD505-2E9C-101B-9397-08002B2CF9AE}" pid="3" name="FSC#SKEDITIONSLOVLEX@103.510:typpredpis">
    <vt:lpwstr>Vyhláška</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Veterinárna starostlivosť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Roman Nemec</vt:lpwstr>
  </property>
  <property fmtid="{D5CDD505-2E9C-101B-9397-08002B2CF9AE}" pid="12" name="FSC#SKEDITIONSLOVLEX@103.510:zodppredkladatel">
    <vt:lpwstr>Gabriela Matečná</vt:lpwstr>
  </property>
  <property fmtid="{D5CDD505-2E9C-101B-9397-08002B2CF9AE}" pid="13" name="FSC#SKEDITIONSLOVLEX@103.510:dalsipredkladatel">
    <vt:lpwstr/>
  </property>
  <property fmtid="{D5CDD505-2E9C-101B-9397-08002B2CF9AE}" pid="14" name="FSC#SKEDITIONSLOVLEX@103.510:nazovpredpis">
    <vt:lpwstr>, ktorou sa ustanovujú podrobnosti o použití zvieraťa na účely verejného vystúpenia alebo výcviku za účelom verejného vystúpenia</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vt:lpwstr>
  </property>
  <property fmtid="{D5CDD505-2E9C-101B-9397-08002B2CF9AE}" pid="23" name="FSC#SKEDITIONSLOVLEX@103.510:plnynazovpredpis">
    <vt:lpwstr> Vyhláška Ministerstva pôdohospodárstva a rozvoja vidieka Slovenskej republiky, ktorou sa ustanovujú podrobnosti o použití zvieraťa na účely verejného vystúpenia alebo výcviku za účelom verejného vystúpenia</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5199/2019-410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LP/2019/214</vt:lpwstr>
  </property>
  <property fmtid="{D5CDD505-2E9C-101B-9397-08002B2CF9AE}" pid="37" name="FSC#SKEDITIONSLOVLEX@103.510:typsprievdok">
    <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16. 3. 2019</vt:lpwstr>
  </property>
  <property fmtid="{D5CDD505-2E9C-101B-9397-08002B2CF9AE}" pid="59" name="FSC#SKEDITIONSLOVLEX@103.510:AttrDateDocPropUkonceniePKK">
    <vt:lpwstr>1. 4. 2019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 území Slovenskej republiky sa ustanoví zoznam&amp;nbsp; zvierat – najmä exotické (zástupcovia radov mäsožravce a primáty, zástupcovia čeľadí slonovité, delfínovité a&amp;nbsp;žirafovité), ktorých použitie na účely verejného vystúpenia bude zakázaný a nebude</vt:lpwstr>
  </property>
  <property fmtid="{D5CDD505-2E9C-101B-9397-08002B2CF9AE}" pid="66" name="FSC#SKEDITIONSLOVLEX@103.510:AttrStrListDocPropAltRiesenia">
    <vt:lpwstr>Alternatíva 0: nesúlad s § 53 ods. 1 písm. i) zákona č. 39/2007 Z. z. o veterinárnej starostlivosti v znení zákona č. 184/2018 Z. z.Alternatíva 1: riadne vykonanie splnomocňovacieho ustanovenia uvedeného v alternatíve 0.</vt:lpwstr>
  </property>
  <property fmtid="{D5CDD505-2E9C-101B-9397-08002B2CF9AE}" pid="67" name="FSC#SKEDITIONSLOVLEX@103.510:AttrStrListDocPropStanoviskoGest">
    <vt:lpwstr>&lt;h4 style="text-align: center;"&gt;stanovisko komisie&lt;/h4&gt;&lt;p align="center"&gt;&lt;br /&gt;&amp;nbsp;&lt;/p&gt;&lt;p align="center"&gt;&lt;strong&gt;(predbežné pripomienkové konanie)&lt;/strong&gt;&lt;/p&gt;&lt;p align="center"&gt;&amp;nbsp;&lt;/p&gt;&lt;p align="center"&gt;&lt;br /&gt;&lt;strong&gt;k&amp;nbsp;návrhu&lt;/strong&gt;&lt;/p&gt;&lt;p align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pôdohospodárstva a rozvoja vidieka Slovenskej republiky</vt:lpwstr>
  </property>
  <property fmtid="{D5CDD505-2E9C-101B-9397-08002B2CF9AE}" pid="142" name="FSC#SKEDITIONSLOVLEX@103.510:funkciaZodpPredAkuzativ">
    <vt:lpwstr>ministerka pôdohospodárstva a rozvoja vidieka Slovenskej republiky</vt:lpwstr>
  </property>
  <property fmtid="{D5CDD505-2E9C-101B-9397-08002B2CF9AE}" pid="143" name="FSC#SKEDITIONSLOVLEX@103.510:funkciaZodpPredDativ">
    <vt:lpwstr>ministerka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Gabriela Matečná_x000d_
ministerka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pôdohospodárstva a rozvoja vidieka Slovenskej republiky predkladá návrh vyhlášky Ministerstva pôdohospodárstva a rozvoja vidieka Slovenskej republiky, ktorou sa ustanovujú podrobnosti o&amp;nbsp;použití zvieraťa na účely verejného vystúpenia a</vt:lpwstr>
  </property>
  <property fmtid="{D5CDD505-2E9C-101B-9397-08002B2CF9AE}" pid="150" name="FSC#SKEDITIONSLOVLEX@103.510:vytvorenedna">
    <vt:lpwstr>5. 4. 2019</vt:lpwstr>
  </property>
  <property fmtid="{D5CDD505-2E9C-101B-9397-08002B2CF9AE}" pid="151" name="FSC#COOSYSTEM@1.1:Container">
    <vt:lpwstr>COO.2145.1000.3.3289170</vt:lpwstr>
  </property>
  <property fmtid="{D5CDD505-2E9C-101B-9397-08002B2CF9AE}" pid="152" name="FSC#FSCFOLIO@1.1001:docpropproject">
    <vt:lpwstr/>
  </property>
</Properties>
</file>