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443F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Vyhláška předsedy Úřadu pro dohled nad regulovanými činnostmi SZTFH č.</w:t>
      </w:r>
    </w:p>
    <w:p w14:paraId="78A2EE9D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</w:p>
    <w:p w14:paraId="1DA8F30D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…/2023 (…),</w:t>
      </w:r>
    </w:p>
    <w:p w14:paraId="7580F07E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</w:p>
    <w:p w14:paraId="6E970982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kterou se mění vyhláška SZTFH č. 20/2021 ze dne 29. října 2021 o plnění úkolů souvisejících s povolováním, správou a kontrolou některých druhů hazardních her</w:t>
      </w:r>
    </w:p>
    <w:p w14:paraId="3354A442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</w:p>
    <w:p w14:paraId="27B80967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</w:p>
    <w:p w14:paraId="5A4D706F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  <w:r>
        <w:t xml:space="preserve">Na základě oprávnění uděleného v § 38 odst. 2 písm. </w:t>
      </w:r>
      <w:r>
        <w:rPr>
          <w:i/>
        </w:rPr>
        <w:t>a)</w:t>
      </w:r>
      <w:r>
        <w:t xml:space="preserve"> a </w:t>
      </w:r>
      <w:r>
        <w:rPr>
          <w:i/>
        </w:rPr>
        <w:t>b)</w:t>
      </w:r>
      <w:r>
        <w:t xml:space="preserve"> zákona XXXIV z roku 1991 o provozování hazardních her, </w:t>
      </w:r>
    </w:p>
    <w:p w14:paraId="67DF3F1E" w14:textId="258A6756" w:rsidR="00BE630A" w:rsidRDefault="00BE630A" w:rsidP="00BE630A">
      <w:pPr>
        <w:spacing w:after="0" w:line="240" w:lineRule="auto"/>
        <w:jc w:val="both"/>
        <w:rPr>
          <w:rFonts w:eastAsia="Calibri"/>
        </w:rPr>
      </w:pPr>
      <w:r>
        <w:t xml:space="preserve">s ohledem na § 2 a 3, jakož i § 13 písm. b) na základě oprávnění uděleného v § 38 odst. 2 písm. </w:t>
      </w:r>
      <w:r>
        <w:rPr>
          <w:i/>
        </w:rPr>
        <w:t>d)</w:t>
      </w:r>
      <w:r>
        <w:t xml:space="preserve"> zákona XXXIV z roku 1991 o provozování hazardních her,</w:t>
      </w:r>
    </w:p>
    <w:p w14:paraId="7A855835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  <w:r>
        <w:t xml:space="preserve">s ohledem na § 4 až 10 a § 12 na základě oprávnění uděleného v § 38 odst. 2 písm. </w:t>
      </w:r>
      <w:r>
        <w:rPr>
          <w:i/>
        </w:rPr>
        <w:t>g)</w:t>
      </w:r>
      <w:r>
        <w:t xml:space="preserve"> zákona XXXIV z roku 1991 o provozování hazardních her,</w:t>
      </w:r>
    </w:p>
    <w:p w14:paraId="6895E230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  <w:r>
        <w:t xml:space="preserve">a v rámci svých povinností vymezených v § 13 písm. </w:t>
      </w:r>
      <w:r>
        <w:rPr>
          <w:i/>
        </w:rPr>
        <w:t>i)</w:t>
      </w:r>
      <w:r>
        <w:t xml:space="preserve"> a </w:t>
      </w:r>
      <w:r>
        <w:rPr>
          <w:i/>
        </w:rPr>
        <w:t>n)</w:t>
      </w:r>
      <w:r>
        <w:t xml:space="preserve"> zákona XXXII z roku 2021 o Úřadu pro dohled nad regulovanými činnostmi,</w:t>
      </w:r>
    </w:p>
    <w:p w14:paraId="59132BDE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  <w:r>
        <w:t>tímto nařizuji následující:</w:t>
      </w:r>
    </w:p>
    <w:p w14:paraId="0EB70FA2" w14:textId="77777777" w:rsidR="00BE630A" w:rsidRPr="00CF2667" w:rsidRDefault="00BE630A" w:rsidP="006E7FC5">
      <w:pPr>
        <w:spacing w:after="0" w:line="240" w:lineRule="auto"/>
        <w:jc w:val="both"/>
        <w:rPr>
          <w:rFonts w:eastAsia="Calibri"/>
        </w:rPr>
      </w:pPr>
    </w:p>
    <w:p w14:paraId="66058B66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§ 1</w:t>
      </w:r>
    </w:p>
    <w:p w14:paraId="7DC1A809" w14:textId="77777777" w:rsidR="00C9669B" w:rsidRPr="00CF2667" w:rsidRDefault="00C9669B" w:rsidP="006E7FC5">
      <w:pPr>
        <w:spacing w:after="0" w:line="240" w:lineRule="auto"/>
        <w:jc w:val="center"/>
        <w:rPr>
          <w:rFonts w:eastAsia="Calibri"/>
          <w:b/>
        </w:rPr>
      </w:pPr>
    </w:p>
    <w:p w14:paraId="09585543" w14:textId="0173393E" w:rsidR="00C9669B" w:rsidRPr="00CF2667" w:rsidRDefault="00C9669B" w:rsidP="00C9669B">
      <w:pPr>
        <w:spacing w:after="0" w:line="240" w:lineRule="auto"/>
        <w:jc w:val="both"/>
        <w:rPr>
          <w:rFonts w:eastAsia="Calibri"/>
        </w:rPr>
      </w:pPr>
      <w:r>
        <w:t>Do kapitoly I vyhlášky SZTFH č. 20/2021 ze dne 29. října 2021 o plnění úkolů souvisejících s povolováním, správou a kontrolou některých druhů hazardních her se doplňuje nový § 2/A (dále jen vyhláška), který zní:</w:t>
      </w:r>
    </w:p>
    <w:p w14:paraId="1CCBA5B6" w14:textId="77777777" w:rsidR="00C9669B" w:rsidRPr="00CF2667" w:rsidRDefault="00C9669B" w:rsidP="00C9669B">
      <w:pPr>
        <w:spacing w:after="0" w:line="240" w:lineRule="auto"/>
        <w:jc w:val="both"/>
        <w:rPr>
          <w:rFonts w:eastAsia="Calibri"/>
        </w:rPr>
      </w:pPr>
    </w:p>
    <w:p w14:paraId="4BA0FDB3" w14:textId="42989738" w:rsidR="00C9669B" w:rsidRPr="00CF2667" w:rsidRDefault="00C9669B" w:rsidP="00C9669B">
      <w:pPr>
        <w:spacing w:after="0" w:line="240" w:lineRule="auto"/>
        <w:jc w:val="both"/>
        <w:rPr>
          <w:rFonts w:eastAsia="Calibri"/>
          <w:b/>
        </w:rPr>
      </w:pPr>
      <w:r>
        <w:t>„§ 2/A Pokud je provozovatel oprávněn provozovat současně několik hazardních her, zaznamenává a vede účetnictví o příjmech a skutečných výdajích každé hazardní hry ověřitelným způsobem a odděleně, nezávisle na jakékoli jiné činnosti, kterou vykonává.“</w:t>
      </w:r>
    </w:p>
    <w:p w14:paraId="7A3199E9" w14:textId="77777777" w:rsidR="00421C27" w:rsidRPr="00CF2667" w:rsidRDefault="00421C27" w:rsidP="006E7FC5">
      <w:pPr>
        <w:spacing w:after="0" w:line="240" w:lineRule="auto"/>
        <w:jc w:val="center"/>
        <w:rPr>
          <w:rFonts w:eastAsia="Calibri"/>
          <w:b/>
        </w:rPr>
      </w:pPr>
    </w:p>
    <w:p w14:paraId="5BEA7056" w14:textId="77777777" w:rsidR="00421C27" w:rsidRPr="00CF2667" w:rsidRDefault="007F34EE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§ 2</w:t>
      </w:r>
    </w:p>
    <w:p w14:paraId="4BE47446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164D83E3" w14:textId="6FB86AC7" w:rsidR="00591010" w:rsidRPr="00CF2667" w:rsidRDefault="00591010" w:rsidP="00991F71">
      <w:pPr>
        <w:spacing w:after="0" w:line="240" w:lineRule="auto"/>
        <w:jc w:val="both"/>
      </w:pPr>
      <w:r>
        <w:t>(1) § 13 odst. 3 vyhlášky se nahrazuje tímto:</w:t>
      </w:r>
    </w:p>
    <w:p w14:paraId="36C968DE" w14:textId="77777777" w:rsidR="00D67727" w:rsidRPr="00CF2667" w:rsidRDefault="00D67727" w:rsidP="00591010">
      <w:pPr>
        <w:tabs>
          <w:tab w:val="center" w:pos="6096"/>
        </w:tabs>
        <w:spacing w:after="0" w:line="240" w:lineRule="auto"/>
        <w:jc w:val="both"/>
      </w:pPr>
    </w:p>
    <w:p w14:paraId="67C8D879" w14:textId="77777777" w:rsidR="00591010" w:rsidRPr="00CF2667" w:rsidRDefault="005F7926" w:rsidP="00591010">
      <w:pPr>
        <w:tabs>
          <w:tab w:val="center" w:pos="6096"/>
        </w:tabs>
        <w:spacing w:after="0" w:line="240" w:lineRule="auto"/>
        <w:jc w:val="both"/>
      </w:pPr>
      <w:r>
        <w:t>„(3) Loterijní tikety lze vyrábět pouze pomocí počítačem řízené uzavřené technologie, která zajišťuje</w:t>
      </w:r>
    </w:p>
    <w:p w14:paraId="1F259345" w14:textId="77777777" w:rsidR="00173F50" w:rsidRPr="00CF2667" w:rsidRDefault="00173F50" w:rsidP="00591010">
      <w:pPr>
        <w:tabs>
          <w:tab w:val="center" w:pos="6096"/>
        </w:tabs>
        <w:spacing w:after="0" w:line="240" w:lineRule="auto"/>
        <w:jc w:val="both"/>
      </w:pPr>
    </w:p>
    <w:p w14:paraId="7F8F7476" w14:textId="77777777" w:rsidR="00591010" w:rsidRPr="00CF2667" w:rsidRDefault="00591010" w:rsidP="00591010">
      <w:pPr>
        <w:tabs>
          <w:tab w:val="center" w:pos="6096"/>
        </w:tabs>
        <w:spacing w:after="0" w:line="240" w:lineRule="auto"/>
        <w:jc w:val="both"/>
      </w:pPr>
      <w:r>
        <w:rPr>
          <w:i/>
        </w:rPr>
        <w:t>a)</w:t>
      </w:r>
      <w:r>
        <w:t xml:space="preserve"> částku výhry uvedenou v zákoně o hazardních hrách,</w:t>
      </w:r>
    </w:p>
    <w:p w14:paraId="3D73CE20" w14:textId="77777777" w:rsidR="00591010" w:rsidRPr="00CF2667" w:rsidRDefault="00591010" w:rsidP="00591010">
      <w:pPr>
        <w:tabs>
          <w:tab w:val="center" w:pos="6096"/>
        </w:tabs>
        <w:spacing w:after="0" w:line="240" w:lineRule="auto"/>
        <w:jc w:val="both"/>
      </w:pPr>
      <w:r>
        <w:rPr>
          <w:i/>
        </w:rPr>
        <w:t>b)</w:t>
      </w:r>
      <w:r>
        <w:t xml:space="preserve"> rovnoměrné rozdělení výherních loterijních losů na výherní třídu v rámci povoleného množství nebo série podle herního plánu a</w:t>
      </w:r>
    </w:p>
    <w:p w14:paraId="1EB773D3" w14:textId="77777777" w:rsidR="00591010" w:rsidRPr="00CF2667" w:rsidRDefault="00591010" w:rsidP="00591010">
      <w:pPr>
        <w:tabs>
          <w:tab w:val="center" w:pos="6096"/>
        </w:tabs>
        <w:spacing w:after="0" w:line="240" w:lineRule="auto"/>
        <w:jc w:val="both"/>
      </w:pPr>
      <w:r>
        <w:rPr>
          <w:i/>
        </w:rPr>
        <w:t>c)</w:t>
      </w:r>
      <w:r>
        <w:t xml:space="preserve"> skutečnost, že kompletní série loterijních tiketů je vyrobena v uzavřeném výrobním procesu, který umožňuje identifikaci výherních loterijních tiketů až po odstranění virtuálního nebo fyzického krytu.“</w:t>
      </w:r>
    </w:p>
    <w:p w14:paraId="7EE32317" w14:textId="77777777" w:rsidR="00C012D4" w:rsidRPr="00CF2667" w:rsidRDefault="00C012D4" w:rsidP="00591010">
      <w:pPr>
        <w:tabs>
          <w:tab w:val="center" w:pos="6096"/>
        </w:tabs>
        <w:spacing w:after="0" w:line="240" w:lineRule="auto"/>
        <w:jc w:val="both"/>
        <w:rPr>
          <w:u w:val="single"/>
        </w:rPr>
      </w:pPr>
    </w:p>
    <w:p w14:paraId="6AC62775" w14:textId="10E53AA6" w:rsidR="00C012D4" w:rsidRPr="00CF2667" w:rsidRDefault="00C012D4" w:rsidP="00C012D4">
      <w:pPr>
        <w:spacing w:after="0"/>
        <w:jc w:val="both"/>
      </w:pPr>
      <w:r>
        <w:t>(2) Do § 13 vyhlášky se doplňují nové odstavce 10 a 11, které znějí:</w:t>
      </w:r>
    </w:p>
    <w:p w14:paraId="4EE4A851" w14:textId="77777777" w:rsidR="00B82D5A" w:rsidRPr="00CF2667" w:rsidRDefault="00B82D5A" w:rsidP="00C012D4">
      <w:pPr>
        <w:spacing w:after="0"/>
        <w:jc w:val="both"/>
      </w:pPr>
    </w:p>
    <w:p w14:paraId="351A0C29" w14:textId="5227B30D" w:rsidR="00C012D4" w:rsidRPr="00CF2667" w:rsidRDefault="00C012D4" w:rsidP="00C012D4">
      <w:pPr>
        <w:tabs>
          <w:tab w:val="center" w:pos="6096"/>
        </w:tabs>
        <w:spacing w:after="0" w:line="240" w:lineRule="auto"/>
        <w:jc w:val="both"/>
      </w:pPr>
      <w:r>
        <w:t xml:space="preserve">„(10) Odstavce 2 až 4 a odst. 5, </w:t>
      </w:r>
      <w:r>
        <w:rPr>
          <w:i/>
        </w:rPr>
        <w:t>a)</w:t>
      </w:r>
      <w:r>
        <w:t xml:space="preserve"> a </w:t>
      </w:r>
      <w:r>
        <w:rPr>
          <w:i/>
        </w:rPr>
        <w:t>b)</w:t>
      </w:r>
      <w:r>
        <w:t xml:space="preserve"> se použijí obdobně na stírací losy prodávané prostřednictvím komunikačních zařízení a systémů, přičemž loterie jsou uchovávány a uváděny na trh prostřednictvím komunikačních zařízení a systémů a dokumenty uvedené v odst. 5, </w:t>
      </w:r>
      <w:r>
        <w:rPr>
          <w:i/>
        </w:rPr>
        <w:t>a)</w:t>
      </w:r>
      <w:r>
        <w:t xml:space="preserve"> se předkládají orgánu pro hazardní hry v průběhu řízení o udělení licence. </w:t>
      </w:r>
    </w:p>
    <w:p w14:paraId="386CFFD5" w14:textId="77777777" w:rsidR="00BE630A" w:rsidRDefault="00BE630A" w:rsidP="00203C3F">
      <w:pPr>
        <w:tabs>
          <w:tab w:val="center" w:pos="6096"/>
        </w:tabs>
        <w:spacing w:after="0" w:line="240" w:lineRule="auto"/>
        <w:jc w:val="both"/>
      </w:pPr>
    </w:p>
    <w:p w14:paraId="4351477A" w14:textId="1A3C832B" w:rsidR="006E7FC5" w:rsidRPr="00CF2667" w:rsidRDefault="00C012D4" w:rsidP="00203C3F">
      <w:pPr>
        <w:tabs>
          <w:tab w:val="center" w:pos="6096"/>
        </w:tabs>
        <w:spacing w:after="0" w:line="240" w:lineRule="auto"/>
        <w:jc w:val="both"/>
      </w:pPr>
      <w:r>
        <w:lastRenderedPageBreak/>
        <w:t>(11) Z ustanovení této vyhlášky o auditu hazardních her na dálku a on-line kasinových her se na stírací losy prodávané prostřednictvím komunikačních zařízení a systémů použije § 15 odst. 2 a 3, příloha 2, bod I a bod II část A a bod III písm. c) přílohy 3, bod II odst. 1 písm. f) a h) a odst. 2 písm. a) až c) přílohy 4.“</w:t>
      </w:r>
    </w:p>
    <w:p w14:paraId="202FF135" w14:textId="77777777" w:rsidR="00431B0E" w:rsidRPr="00CF2667" w:rsidRDefault="00431B0E" w:rsidP="00203C3F">
      <w:pPr>
        <w:tabs>
          <w:tab w:val="center" w:pos="6096"/>
        </w:tabs>
        <w:spacing w:after="0" w:line="240" w:lineRule="auto"/>
        <w:jc w:val="both"/>
        <w:rPr>
          <w:rFonts w:eastAsia="Calibri"/>
        </w:rPr>
      </w:pPr>
    </w:p>
    <w:p w14:paraId="6A454895" w14:textId="77777777" w:rsidR="006E7FC5" w:rsidRPr="00CF2667" w:rsidRDefault="00C9669B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§ 3</w:t>
      </w:r>
    </w:p>
    <w:p w14:paraId="7EFE5D28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7F48D059" w14:textId="580CD7E8" w:rsidR="006E7FC5" w:rsidRPr="00CF2667" w:rsidRDefault="00B82D5A" w:rsidP="006E7FC5">
      <w:pPr>
        <w:spacing w:after="0" w:line="240" w:lineRule="auto"/>
        <w:jc w:val="both"/>
        <w:rPr>
          <w:rFonts w:eastAsia="Calibri"/>
        </w:rPr>
      </w:pPr>
      <w:r>
        <w:t>V kapitole III vyhlášky se doplňuje nový oddíl 7/A, který zní:</w:t>
      </w:r>
    </w:p>
    <w:p w14:paraId="276DDA3F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3C5A7CBA" w14:textId="4E8E5C4B" w:rsidR="00B82D5A" w:rsidRPr="00CF2667" w:rsidRDefault="00B82D5A" w:rsidP="00B82D5A">
      <w:pPr>
        <w:spacing w:after="0" w:line="240" w:lineRule="auto"/>
        <w:jc w:val="center"/>
        <w:rPr>
          <w:bCs/>
        </w:rPr>
      </w:pPr>
      <w:r>
        <w:t>„Oddíl 7/A Zvláštní pravidla pro loterijní hry prodávané výhradně prostřednictvím komunikačních zařízení a systémů</w:t>
      </w:r>
    </w:p>
    <w:p w14:paraId="766FBD3D" w14:textId="77777777" w:rsidR="00B82D5A" w:rsidRPr="00CF2667" w:rsidRDefault="00B82D5A" w:rsidP="00B82D5A">
      <w:pPr>
        <w:spacing w:after="0" w:line="240" w:lineRule="auto"/>
        <w:jc w:val="both"/>
        <w:rPr>
          <w:bCs/>
        </w:rPr>
      </w:pPr>
    </w:p>
    <w:p w14:paraId="37BBCCEA" w14:textId="111517D0" w:rsidR="00B82D5A" w:rsidRPr="00CF2667" w:rsidRDefault="008126DB" w:rsidP="00B82D5A">
      <w:pPr>
        <w:spacing w:after="0" w:line="240" w:lineRule="auto"/>
        <w:jc w:val="both"/>
        <w:rPr>
          <w:bCs/>
        </w:rPr>
      </w:pPr>
      <w:r>
        <w:t xml:space="preserve">§ 13/A Pokud jde o loterijní hry prodávané výhradně prostřednictvím komunikačních zařízení a systémů, použijí se ustanovení § 15 odst. 2 písm. </w:t>
      </w:r>
      <w:r>
        <w:rPr>
          <w:i/>
        </w:rPr>
        <w:t>a)</w:t>
      </w:r>
      <w:r>
        <w:t xml:space="preserve">, příloha 2, bod I, bod II část A a bod III písm. </w:t>
      </w:r>
      <w:r>
        <w:rPr>
          <w:i/>
        </w:rPr>
        <w:t>c)</w:t>
      </w:r>
      <w:r>
        <w:t xml:space="preserve"> přílohy 3</w:t>
      </w:r>
      <w:r>
        <w:rPr>
          <w:i/>
        </w:rPr>
        <w:t>)</w:t>
      </w:r>
      <w:r>
        <w:t xml:space="preserve">, bod II odst. 1, písm. </w:t>
      </w:r>
      <w:r>
        <w:rPr>
          <w:i/>
        </w:rPr>
        <w:t>f)</w:t>
      </w:r>
      <w:r>
        <w:t xml:space="preserve"> a </w:t>
      </w:r>
      <w:r>
        <w:rPr>
          <w:i/>
        </w:rPr>
        <w:t>h)</w:t>
      </w:r>
      <w:r>
        <w:t xml:space="preserve"> a bod 2 písm. </w:t>
      </w:r>
      <w:r>
        <w:rPr>
          <w:i/>
        </w:rPr>
        <w:t>a)</w:t>
      </w:r>
      <w:r>
        <w:t xml:space="preserve"> až </w:t>
      </w:r>
      <w:r>
        <w:rPr>
          <w:i/>
        </w:rPr>
        <w:t>c)</w:t>
      </w:r>
      <w:r>
        <w:t xml:space="preserve"> přílohy 4.“</w:t>
      </w:r>
    </w:p>
    <w:p w14:paraId="3AB0FB4F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32A5D86C" w14:textId="77777777" w:rsidR="006E7FC5" w:rsidRPr="00CF2667" w:rsidRDefault="00C9669B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§ 4</w:t>
      </w:r>
    </w:p>
    <w:p w14:paraId="1F6C6F18" w14:textId="77777777" w:rsidR="00447FE9" w:rsidRPr="00CF2667" w:rsidRDefault="00447FE9" w:rsidP="00447FE9">
      <w:pPr>
        <w:spacing w:after="0" w:line="240" w:lineRule="auto"/>
        <w:jc w:val="both"/>
        <w:rPr>
          <w:rFonts w:eastAsia="Calibri"/>
          <w:b/>
        </w:rPr>
      </w:pPr>
    </w:p>
    <w:p w14:paraId="1DEEA69D" w14:textId="147BF699" w:rsidR="00447FE9" w:rsidRPr="00CF2667" w:rsidRDefault="00447FE9" w:rsidP="00447FE9">
      <w:pPr>
        <w:jc w:val="both"/>
      </w:pPr>
      <w:r>
        <w:t>Do oddílu 9/C vyhlášky se doplňuje nový § 16/F, který zní:</w:t>
      </w:r>
    </w:p>
    <w:p w14:paraId="677AA608" w14:textId="7DEB23EE" w:rsidR="00447FE9" w:rsidRPr="00CF2667" w:rsidRDefault="00447FE9" w:rsidP="00447FE9">
      <w:pPr>
        <w:jc w:val="both"/>
      </w:pPr>
      <w:r>
        <w:t>„§ 16/F V případě předčasného vyplacení je provozovatel hazardních her při propagaci této funkce povinen výslovně upozornit hráče na skutečnost, že využití této funkce s sebou nese zvýšené riziko nadměrného hraní hazardních her a závislosti na hazardních hrách a tyto informace se uvedou v propagačním textu ve stejné velikosti písma jako hlavní text. Provozovatel hazardních her rovněž zpřístupní hráči na internetových stránkách hazardních her informace o tom, že využití této funkce s sebou nese zvýšené riziko nadměrného hraní hazardních her a závislosti na hazardních hrách.“</w:t>
      </w:r>
    </w:p>
    <w:p w14:paraId="6740684E" w14:textId="77777777" w:rsidR="0018214B" w:rsidRPr="00CF2667" w:rsidRDefault="00C9669B" w:rsidP="0018214B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§ 5</w:t>
      </w:r>
    </w:p>
    <w:p w14:paraId="2CEE6BA7" w14:textId="77777777" w:rsidR="00447FE9" w:rsidRPr="00CF2667" w:rsidRDefault="00447FE9" w:rsidP="00447FE9">
      <w:pPr>
        <w:spacing w:after="0" w:line="240" w:lineRule="auto"/>
        <w:jc w:val="both"/>
        <w:rPr>
          <w:rFonts w:eastAsia="Calibri"/>
          <w:b/>
        </w:rPr>
      </w:pPr>
    </w:p>
    <w:p w14:paraId="51A4AE0C" w14:textId="77777777" w:rsidR="0018214B" w:rsidRPr="00CF2667" w:rsidRDefault="0018214B" w:rsidP="0018214B">
      <w:pPr>
        <w:spacing w:after="0"/>
        <w:jc w:val="both"/>
      </w:pPr>
      <w:r>
        <w:t xml:space="preserve">(1) § 22 odst. 1 písm. </w:t>
      </w:r>
      <w:r>
        <w:rPr>
          <w:i/>
        </w:rPr>
        <w:t>c)</w:t>
      </w:r>
      <w:r>
        <w:t xml:space="preserve"> vyhlášky se nahrazuje tímto:</w:t>
      </w:r>
    </w:p>
    <w:p w14:paraId="35B5EE08" w14:textId="77777777" w:rsidR="0018214B" w:rsidRPr="00CF2667" w:rsidRDefault="0018214B" w:rsidP="00447FE9">
      <w:pPr>
        <w:spacing w:after="0" w:line="240" w:lineRule="auto"/>
        <w:jc w:val="both"/>
        <w:rPr>
          <w:rFonts w:eastAsia="Calibri"/>
          <w:b/>
        </w:rPr>
      </w:pPr>
    </w:p>
    <w:p w14:paraId="1F79836C" w14:textId="77777777" w:rsidR="0018214B" w:rsidRPr="00CF2667" w:rsidRDefault="003A5B78" w:rsidP="0018214B">
      <w:pPr>
        <w:spacing w:after="0" w:line="240" w:lineRule="auto"/>
        <w:jc w:val="both"/>
        <w:rPr>
          <w:i/>
        </w:rPr>
      </w:pPr>
      <w:r>
        <w:rPr>
          <w:i/>
        </w:rPr>
        <w:t>(Pokud provozovatel po registraci zjistí, že obsah údajů v rejstříku vykazuje nesrovnalosti, protože)</w:t>
      </w:r>
    </w:p>
    <w:p w14:paraId="13B389E6" w14:textId="77777777" w:rsidR="00173F50" w:rsidRPr="00CF2667" w:rsidRDefault="00173F50" w:rsidP="0018214B">
      <w:pPr>
        <w:spacing w:after="0" w:line="240" w:lineRule="auto"/>
        <w:jc w:val="both"/>
      </w:pPr>
    </w:p>
    <w:p w14:paraId="69BDF0DA" w14:textId="77777777" w:rsidR="0018214B" w:rsidRPr="00CF2667" w:rsidRDefault="003A5B78" w:rsidP="0018214B">
      <w:pPr>
        <w:spacing w:after="0" w:line="240" w:lineRule="auto"/>
        <w:jc w:val="both"/>
      </w:pPr>
      <w:r>
        <w:t>„</w:t>
      </w:r>
      <w:r>
        <w:rPr>
          <w:i/>
        </w:rPr>
        <w:t>c)</w:t>
      </w:r>
      <w:r>
        <w:t xml:space="preserve"> tentýž hráč je registrován více než jednou pro stejnou hru nebo pro stejný hráčský zůstatek,“</w:t>
      </w:r>
    </w:p>
    <w:p w14:paraId="36CDD328" w14:textId="77777777" w:rsidR="00173F50" w:rsidRPr="00CF2667" w:rsidRDefault="00173F50" w:rsidP="0018214B">
      <w:pPr>
        <w:spacing w:after="0" w:line="240" w:lineRule="auto"/>
        <w:jc w:val="both"/>
        <w:rPr>
          <w:i/>
        </w:rPr>
      </w:pPr>
    </w:p>
    <w:p w14:paraId="112A77F5" w14:textId="77777777" w:rsidR="0018214B" w:rsidRPr="00CF2667" w:rsidRDefault="003A5B78" w:rsidP="0018214B">
      <w:pPr>
        <w:spacing w:after="0" w:line="240" w:lineRule="auto"/>
        <w:jc w:val="both"/>
        <w:rPr>
          <w:i/>
        </w:rPr>
      </w:pPr>
      <w:r>
        <w:rPr>
          <w:i/>
        </w:rPr>
        <w:t>(hráčský zůstatek se neprodleně pozastaví.)</w:t>
      </w:r>
    </w:p>
    <w:p w14:paraId="25489DFD" w14:textId="77777777" w:rsidR="00447FE9" w:rsidRPr="00CF2667" w:rsidRDefault="00447FE9" w:rsidP="0018214B">
      <w:pPr>
        <w:spacing w:after="0" w:line="240" w:lineRule="auto"/>
        <w:jc w:val="both"/>
        <w:rPr>
          <w:rFonts w:eastAsia="Calibri"/>
          <w:b/>
        </w:rPr>
      </w:pPr>
    </w:p>
    <w:p w14:paraId="6DE1BE49" w14:textId="77777777" w:rsidR="0018214B" w:rsidRPr="00CF2667" w:rsidRDefault="0018214B" w:rsidP="0018214B">
      <w:pPr>
        <w:spacing w:after="0" w:line="240" w:lineRule="auto"/>
        <w:jc w:val="both"/>
        <w:rPr>
          <w:rFonts w:eastAsia="Calibri"/>
        </w:rPr>
      </w:pPr>
      <w:r>
        <w:t>(2) § 22 odst. 2 vyhlášky se nahrazuje tímto:</w:t>
      </w:r>
    </w:p>
    <w:p w14:paraId="084DEC63" w14:textId="77777777" w:rsidR="0018214B" w:rsidRPr="00CF2667" w:rsidRDefault="0018214B" w:rsidP="0018214B">
      <w:pPr>
        <w:spacing w:after="0" w:line="240" w:lineRule="auto"/>
        <w:jc w:val="both"/>
        <w:rPr>
          <w:rFonts w:eastAsia="Calibri"/>
        </w:rPr>
      </w:pPr>
    </w:p>
    <w:p w14:paraId="30723ACD" w14:textId="77777777" w:rsidR="0018214B" w:rsidRPr="00CF2667" w:rsidRDefault="0018214B" w:rsidP="0018214B">
      <w:pPr>
        <w:spacing w:after="0" w:line="240" w:lineRule="auto"/>
        <w:jc w:val="both"/>
      </w:pPr>
      <w:r>
        <w:t xml:space="preserve">„(2) V případě více registrací podle odstavce 1 písm. </w:t>
      </w:r>
      <w:r>
        <w:rPr>
          <w:i/>
        </w:rPr>
        <w:t>c)</w:t>
      </w:r>
      <w:r>
        <w:t xml:space="preserve"> se na hráče a dotčený hráčský zůstatek použijí opatření ke konečnému uzavření, vypořádání a vyloučení hráčského zůstatku ze hry takovým způsobem, aby byl pro účely účasti ve hře k dispozici pouze jeden hráčský zůstatek.“</w:t>
      </w:r>
    </w:p>
    <w:p w14:paraId="2946A417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1611C320" w14:textId="77777777" w:rsidR="005F30D0" w:rsidRPr="00CF2667" w:rsidRDefault="005F30D0" w:rsidP="006E7FC5">
      <w:pPr>
        <w:spacing w:after="0" w:line="240" w:lineRule="auto"/>
        <w:jc w:val="both"/>
        <w:rPr>
          <w:rFonts w:eastAsia="Calibri"/>
        </w:rPr>
      </w:pPr>
      <w:r>
        <w:t>(3) § 22 odst. 4 vyhlášky se nahrazuje tímto:</w:t>
      </w:r>
    </w:p>
    <w:p w14:paraId="42776204" w14:textId="77777777" w:rsidR="005F30D0" w:rsidRPr="00CF2667" w:rsidRDefault="005F30D0" w:rsidP="006E7FC5">
      <w:pPr>
        <w:spacing w:after="0" w:line="240" w:lineRule="auto"/>
        <w:jc w:val="both"/>
        <w:rPr>
          <w:rFonts w:eastAsia="Calibri"/>
        </w:rPr>
      </w:pPr>
    </w:p>
    <w:p w14:paraId="78F8008D" w14:textId="431D0808" w:rsidR="00CE4959" w:rsidRPr="00CF2667" w:rsidRDefault="005F30D0" w:rsidP="00CE4959">
      <w:pPr>
        <w:spacing w:after="0" w:line="240" w:lineRule="auto"/>
        <w:jc w:val="both"/>
      </w:pPr>
      <w:r>
        <w:t xml:space="preserve">„(4) Pokud provozovatel zjistí, že registrace nebo záznam nejsou vhodné z jiných důvodů mimo oblast působnosti vymezenou v bodě 1, zejména z důvodu opožděného oznámení změn údajů, přijme provozovatel opatření k nápravě těchto nesrovnalostí. V případě potřeby provozovatel </w:t>
      </w:r>
      <w:r>
        <w:lastRenderedPageBreak/>
        <w:t>vyzve hráče, aby přispěl k odstranění nesrovnalosti, a je oprávněn pozastavit všechny dotčené hráčské zůstatky, dokud není nesrovnalost odstraněna. Pokud nelze nesrovnalost odstranit do 30 dnů a hazardní hru tedy nelze hrát v souladu se zákonem, podnikne provozovatel kroky k uzavření všech příslušných hráčských zůstatků a hráče diskvalifikuje.“</w:t>
      </w:r>
    </w:p>
    <w:p w14:paraId="5D3A1DE7" w14:textId="77777777" w:rsidR="0018214B" w:rsidRPr="00CF2667" w:rsidRDefault="0018214B" w:rsidP="006E7FC5">
      <w:pPr>
        <w:spacing w:after="0" w:line="240" w:lineRule="auto"/>
        <w:jc w:val="both"/>
      </w:pPr>
    </w:p>
    <w:p w14:paraId="199A0A5A" w14:textId="77777777" w:rsidR="009817D0" w:rsidRPr="00CF2667" w:rsidRDefault="009817D0" w:rsidP="009E31C9">
      <w:pPr>
        <w:spacing w:after="0" w:line="240" w:lineRule="auto"/>
        <w:jc w:val="center"/>
        <w:rPr>
          <w:b/>
        </w:rPr>
      </w:pPr>
    </w:p>
    <w:p w14:paraId="53A4CF1C" w14:textId="38586C46" w:rsidR="00CE4959" w:rsidRPr="00CF2667" w:rsidRDefault="00CE4959" w:rsidP="006E7FC5">
      <w:pPr>
        <w:spacing w:after="0" w:line="240" w:lineRule="auto"/>
        <w:jc w:val="both"/>
        <w:rPr>
          <w:rFonts w:eastAsia="Calibri"/>
        </w:rPr>
      </w:pPr>
    </w:p>
    <w:p w14:paraId="74AA5137" w14:textId="333E8DF3" w:rsidR="0018214B" w:rsidRPr="00CF2667" w:rsidRDefault="0053730E" w:rsidP="00CA1F6D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§ 6</w:t>
      </w:r>
    </w:p>
    <w:p w14:paraId="44FAA856" w14:textId="77777777" w:rsidR="00CA1F6D" w:rsidRPr="00CF2667" w:rsidRDefault="00CA1F6D" w:rsidP="006E7FC5">
      <w:pPr>
        <w:spacing w:after="0" w:line="240" w:lineRule="auto"/>
        <w:jc w:val="both"/>
        <w:rPr>
          <w:rFonts w:eastAsia="Calibri"/>
        </w:rPr>
      </w:pPr>
    </w:p>
    <w:p w14:paraId="5F18C0BC" w14:textId="77777777" w:rsidR="00CA1F6D" w:rsidRPr="00CF2667" w:rsidRDefault="0099589C" w:rsidP="00CA1F6D">
      <w:pPr>
        <w:spacing w:after="0" w:line="240" w:lineRule="auto"/>
        <w:jc w:val="both"/>
      </w:pPr>
      <w:r>
        <w:t>(1) § 25 odst. 1 až 4 vyhlášky se nahrazují tímto:</w:t>
      </w:r>
    </w:p>
    <w:p w14:paraId="53A6CFCD" w14:textId="77777777" w:rsidR="00CA1F6D" w:rsidRPr="00CF2667" w:rsidRDefault="00CA1F6D" w:rsidP="00CA1F6D">
      <w:pPr>
        <w:spacing w:after="0" w:line="240" w:lineRule="auto"/>
        <w:jc w:val="both"/>
      </w:pPr>
    </w:p>
    <w:p w14:paraId="417ECDB4" w14:textId="77777777" w:rsidR="00CA1F6D" w:rsidRDefault="00CA1F6D" w:rsidP="00CA1F6D">
      <w:pPr>
        <w:spacing w:after="0" w:line="240" w:lineRule="auto"/>
        <w:jc w:val="both"/>
      </w:pPr>
      <w:r>
        <w:t xml:space="preserve">„(1) Pokud je provozovatel oprávněn provozovat i jiné hazardní hry než hry na dálku, může být vypořádání a zaznamenávání sázek, výher a jiných transakcí souvisejících s hazardními hrami prováděno na jediném nebo více společných hráčských zůstatcích s ohledem na všechny hazardní hry, jichž se zůstatek daného hráče týká. </w:t>
      </w:r>
    </w:p>
    <w:p w14:paraId="489F5722" w14:textId="77777777" w:rsidR="00BE630A" w:rsidRPr="00CF2667" w:rsidRDefault="00BE630A" w:rsidP="00CA1F6D">
      <w:pPr>
        <w:spacing w:after="0" w:line="240" w:lineRule="auto"/>
        <w:jc w:val="both"/>
        <w:rPr>
          <w:strike/>
        </w:rPr>
      </w:pPr>
    </w:p>
    <w:p w14:paraId="38A65140" w14:textId="77777777" w:rsidR="00CA1F6D" w:rsidRDefault="00CA1F6D" w:rsidP="00CA1F6D">
      <w:pPr>
        <w:spacing w:after="0" w:line="240" w:lineRule="auto"/>
        <w:jc w:val="both"/>
      </w:pPr>
      <w:r>
        <w:t>(2) Provozovatel může zřídit společný hráčský zůstatek pomocí hráčského zůstatku, který již existuje, nebo samostatně.</w:t>
      </w:r>
    </w:p>
    <w:p w14:paraId="23DE9B81" w14:textId="77777777" w:rsidR="00BE630A" w:rsidRPr="00CF2667" w:rsidRDefault="00BE630A" w:rsidP="00CA1F6D">
      <w:pPr>
        <w:spacing w:after="0" w:line="240" w:lineRule="auto"/>
        <w:jc w:val="both"/>
      </w:pPr>
    </w:p>
    <w:p w14:paraId="5F87DC70" w14:textId="01D878ED" w:rsidR="00CA1F6D" w:rsidRDefault="00CA1F6D" w:rsidP="00CA1F6D">
      <w:pPr>
        <w:spacing w:after="0" w:line="240" w:lineRule="auto"/>
        <w:jc w:val="both"/>
      </w:pPr>
      <w:r>
        <w:t>(3) Pokud je společný hráčský zůstatek zřízen s využitím stávajícího zůstatku nebo samostatně, může se hráč hazardních her na dálku zúčastnit, jakmile jsou dodržena ustanovení upravující hazardní hry na dálku.</w:t>
      </w:r>
    </w:p>
    <w:p w14:paraId="2E0069C6" w14:textId="77777777" w:rsidR="00BE630A" w:rsidRPr="00CF2667" w:rsidRDefault="00BE630A" w:rsidP="00CA1F6D">
      <w:pPr>
        <w:spacing w:after="0" w:line="240" w:lineRule="auto"/>
        <w:jc w:val="both"/>
      </w:pPr>
    </w:p>
    <w:p w14:paraId="7A20ACDF" w14:textId="77777777" w:rsidR="00CA1F6D" w:rsidRPr="00CF2667" w:rsidRDefault="00CA1F6D" w:rsidP="00CA1F6D">
      <w:pPr>
        <w:spacing w:after="0" w:line="240" w:lineRule="auto"/>
        <w:jc w:val="both"/>
      </w:pPr>
      <w:r>
        <w:t>(4) Výplatní marže u běžných hráčských zůstatků podle § 29/H odst. 5 zákona o hazardních hrách se stanoví tak, aby byla zajištěna výplata ve všech dotčených hazardních hrách.“</w:t>
      </w:r>
    </w:p>
    <w:p w14:paraId="5294CE56" w14:textId="77777777" w:rsidR="0099589C" w:rsidRPr="00CF2667" w:rsidRDefault="0099589C" w:rsidP="00CA1F6D">
      <w:pPr>
        <w:spacing w:after="0" w:line="240" w:lineRule="auto"/>
        <w:jc w:val="both"/>
      </w:pPr>
    </w:p>
    <w:p w14:paraId="31BCA5AA" w14:textId="68A3C0CF" w:rsidR="0099589C" w:rsidRPr="00CF2667" w:rsidRDefault="0099589C" w:rsidP="00CA1F6D">
      <w:pPr>
        <w:spacing w:after="0" w:line="240" w:lineRule="auto"/>
        <w:jc w:val="both"/>
      </w:pPr>
      <w:r>
        <w:t>(2) § 25 odst. 6 a 7 vyhlášky se nahrazují tímto:</w:t>
      </w:r>
    </w:p>
    <w:p w14:paraId="2D2C3E3B" w14:textId="77777777" w:rsidR="0099589C" w:rsidRPr="00CF2667" w:rsidRDefault="0099589C" w:rsidP="00CA1F6D">
      <w:pPr>
        <w:spacing w:after="0" w:line="240" w:lineRule="auto"/>
        <w:jc w:val="both"/>
      </w:pPr>
    </w:p>
    <w:p w14:paraId="155C1E40" w14:textId="77777777" w:rsidR="00CA1F6D" w:rsidRDefault="0099589C" w:rsidP="00CA1F6D">
      <w:pPr>
        <w:spacing w:after="0" w:line="240" w:lineRule="auto"/>
        <w:jc w:val="both"/>
      </w:pPr>
      <w:r>
        <w:t>„(6) Během doby pozastavení licence na hazardní hru převede provozovatel na společný hráčský zůstatek veškeré poplatky a kreditní položky související s vypořádáním herních transakcí u jiných hazardních her, než je dotčená hra, které patří do společného zůstatku, a provede platby v souvislosti s těmito herními transakcemi. V souvislosti s hazardní hrou, na kterou se vztahuje pozastavení licence, provozovatel převádí pouze poplatky a kreditní položky za hry předcházející datu pozastavení a může provádět platby pouze v souvislosti s vypořádáním herních transakcí před dnem pozastavení.</w:t>
      </w:r>
    </w:p>
    <w:p w14:paraId="60E69676" w14:textId="77777777" w:rsidR="00BE630A" w:rsidRPr="00CF2667" w:rsidRDefault="00BE630A" w:rsidP="00CA1F6D">
      <w:pPr>
        <w:spacing w:after="0" w:line="240" w:lineRule="auto"/>
        <w:jc w:val="both"/>
      </w:pPr>
    </w:p>
    <w:p w14:paraId="0A01354D" w14:textId="77777777" w:rsidR="00CA1F6D" w:rsidRPr="00CF2667" w:rsidRDefault="00CA1F6D" w:rsidP="00CA1F6D">
      <w:pPr>
        <w:spacing w:after="0" w:line="240" w:lineRule="auto"/>
        <w:jc w:val="both"/>
      </w:pPr>
      <w:r>
        <w:t>(7) Pozastavení nebo uzavření společného hráčského zůstatku provozovatelem se považuje za opatření, které se vztahuje na všechny hazardní hry. V případě zákazu podle vyhlášky SZTFH o podrobných pravidlech pro odpovědné provozování hazardních her provozovatel v herním plánu a v pravidlech účasti uvede, zda v případě závažného porušení smlouvy zaniká hráčský zůstatek a možnost přístupu ke všem dotčeným hazardním hrám.“</w:t>
      </w:r>
    </w:p>
    <w:p w14:paraId="6B66795A" w14:textId="77777777" w:rsidR="00672BEF" w:rsidRPr="00CF2667" w:rsidRDefault="00672BEF" w:rsidP="00CA1F6D">
      <w:pPr>
        <w:spacing w:after="0" w:line="240" w:lineRule="auto"/>
        <w:jc w:val="both"/>
      </w:pPr>
    </w:p>
    <w:p w14:paraId="554A5C3E" w14:textId="6D28C58D" w:rsidR="00672BEF" w:rsidRPr="00CF2667" w:rsidRDefault="0053730E" w:rsidP="008902D0">
      <w:pPr>
        <w:keepNext/>
        <w:keepLines/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§ 7</w:t>
      </w:r>
    </w:p>
    <w:p w14:paraId="20C19BC1" w14:textId="77777777" w:rsidR="005A6F45" w:rsidRPr="00CF2667" w:rsidRDefault="005A6F45" w:rsidP="008902D0">
      <w:pPr>
        <w:keepNext/>
        <w:keepLines/>
        <w:spacing w:after="0"/>
        <w:rPr>
          <w:b/>
        </w:rPr>
      </w:pPr>
    </w:p>
    <w:p w14:paraId="3E80FDCD" w14:textId="502FA8D5" w:rsidR="005A6F45" w:rsidRPr="00CF2667" w:rsidRDefault="005A6F45" w:rsidP="00D007AF">
      <w:pPr>
        <w:spacing w:after="0"/>
        <w:jc w:val="both"/>
      </w:pPr>
      <w:r>
        <w:t>§ 26 odst. 2 až 3 vyhlášky se nahrazují tímto:</w:t>
      </w:r>
    </w:p>
    <w:p w14:paraId="75956E45" w14:textId="77777777" w:rsidR="005A6F45" w:rsidRPr="00CF2667" w:rsidRDefault="005A6F45" w:rsidP="005A6F45">
      <w:pPr>
        <w:spacing w:after="0" w:line="240" w:lineRule="auto"/>
        <w:jc w:val="both"/>
      </w:pPr>
    </w:p>
    <w:p w14:paraId="00B4543E" w14:textId="4F6CE1E6" w:rsidR="005A6F45" w:rsidRDefault="005A6F45" w:rsidP="005A6F45">
      <w:pPr>
        <w:spacing w:after="0" w:line="240" w:lineRule="auto"/>
        <w:jc w:val="both"/>
      </w:pPr>
      <w:r>
        <w:t>„(2) Provozovatel může z jiných důvodů uvedených v herním plánu a v pravidlech účasti, zejména v případě porušení pravidel účasti v hazardní hře, pozastavit hráčský zůstatek, který patří k této hazardní hře, nebo dokonce všechny hráčské zůstatky daného hráče.</w:t>
      </w:r>
    </w:p>
    <w:p w14:paraId="09271C4A" w14:textId="77777777" w:rsidR="00BE630A" w:rsidRPr="00CF2667" w:rsidRDefault="00BE630A" w:rsidP="005A6F45">
      <w:pPr>
        <w:spacing w:after="0" w:line="240" w:lineRule="auto"/>
        <w:jc w:val="both"/>
      </w:pPr>
    </w:p>
    <w:p w14:paraId="211075B7" w14:textId="77777777" w:rsidR="005A6F45" w:rsidRPr="00CF2667" w:rsidRDefault="005A6F45" w:rsidP="005A6F45">
      <w:pPr>
        <w:spacing w:after="0" w:line="240" w:lineRule="auto"/>
        <w:jc w:val="both"/>
      </w:pPr>
      <w:r>
        <w:lastRenderedPageBreak/>
        <w:t>(3) Provozovatel neprodleně oznámí hráči elektronickou poštou skutečnost, datum a důvod pozastavení hráčského zůstatku nebo zůstatků, případně skutečnost a datum ukončení takového pozastavení.“</w:t>
      </w:r>
    </w:p>
    <w:p w14:paraId="0F80A0E3" w14:textId="77777777" w:rsidR="00672BEF" w:rsidRPr="00CF2667" w:rsidRDefault="00672BEF" w:rsidP="00CA1F6D">
      <w:pPr>
        <w:spacing w:after="0" w:line="240" w:lineRule="auto"/>
        <w:jc w:val="both"/>
      </w:pPr>
    </w:p>
    <w:p w14:paraId="54A8D44E" w14:textId="1F230B53" w:rsidR="00CA1F6D" w:rsidRPr="00CF2667" w:rsidRDefault="006A2019" w:rsidP="00883ECB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§ 8</w:t>
      </w:r>
    </w:p>
    <w:p w14:paraId="6BE5A07E" w14:textId="77777777" w:rsidR="00CA1F6D" w:rsidRPr="00CF2667" w:rsidRDefault="00CA1F6D" w:rsidP="006E7FC5">
      <w:pPr>
        <w:spacing w:after="0" w:line="240" w:lineRule="auto"/>
        <w:jc w:val="both"/>
        <w:rPr>
          <w:rFonts w:eastAsia="Calibri"/>
        </w:rPr>
      </w:pPr>
    </w:p>
    <w:p w14:paraId="634AF65C" w14:textId="77777777" w:rsidR="00883ECB" w:rsidRPr="00CF2667" w:rsidRDefault="00883ECB" w:rsidP="00883ECB">
      <w:pPr>
        <w:spacing w:after="0" w:line="240" w:lineRule="auto"/>
        <w:jc w:val="both"/>
      </w:pPr>
      <w:r>
        <w:t>§ 29 odst. 3 vyhlášky se nahrazuje tímto:</w:t>
      </w:r>
    </w:p>
    <w:p w14:paraId="4DDA198A" w14:textId="77777777" w:rsidR="00883ECB" w:rsidRPr="00CF2667" w:rsidRDefault="00883ECB" w:rsidP="00883ECB">
      <w:pPr>
        <w:spacing w:after="0" w:line="240" w:lineRule="auto"/>
        <w:jc w:val="both"/>
      </w:pPr>
    </w:p>
    <w:p w14:paraId="43128F1C" w14:textId="71C5936B" w:rsidR="00883ECB" w:rsidRPr="00CF2667" w:rsidRDefault="00883ECB" w:rsidP="00883ECB">
      <w:pPr>
        <w:spacing w:after="0" w:line="240" w:lineRule="auto"/>
        <w:jc w:val="both"/>
      </w:pPr>
      <w:r>
        <w:t>„(3) V případě společného hráčského zůstatku může hráč použít dárkovou a speciální bonusovou nabídku jako sázky pro účely hraní hazardních her v tomto hráčském zůstatku za předpokladu, že ji provozovatel účtuje stejným způsobem, jak je definováno ve schválených herních plánech.“</w:t>
      </w:r>
    </w:p>
    <w:p w14:paraId="3A09060E" w14:textId="77777777" w:rsidR="00883ECB" w:rsidRPr="00CF2667" w:rsidRDefault="00883ECB" w:rsidP="006E7FC5">
      <w:pPr>
        <w:spacing w:after="0" w:line="240" w:lineRule="auto"/>
        <w:jc w:val="both"/>
        <w:rPr>
          <w:rFonts w:eastAsia="Calibri"/>
        </w:rPr>
      </w:pPr>
    </w:p>
    <w:p w14:paraId="073A1B9C" w14:textId="1E762FAB" w:rsidR="00883ECB" w:rsidRPr="00CF2667" w:rsidRDefault="006A2019" w:rsidP="00BE416C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§ 9</w:t>
      </w:r>
    </w:p>
    <w:p w14:paraId="5B41DEF3" w14:textId="77777777" w:rsidR="00BE416C" w:rsidRPr="00CF2667" w:rsidRDefault="00BE416C" w:rsidP="00BE416C">
      <w:pPr>
        <w:spacing w:after="0" w:line="240" w:lineRule="auto"/>
        <w:jc w:val="both"/>
        <w:rPr>
          <w:rFonts w:eastAsia="Calibri"/>
          <w:b/>
        </w:rPr>
      </w:pPr>
    </w:p>
    <w:p w14:paraId="091301B9" w14:textId="77777777" w:rsidR="00BE416C" w:rsidRPr="00CF2667" w:rsidRDefault="00BE416C" w:rsidP="00BE416C">
      <w:pPr>
        <w:spacing w:after="0" w:line="240" w:lineRule="auto"/>
        <w:jc w:val="both"/>
      </w:pPr>
      <w:r>
        <w:t>§ 32 odst. 2 vyhlášky se nahrazuje tímto:</w:t>
      </w:r>
    </w:p>
    <w:p w14:paraId="3935C9D5" w14:textId="77777777" w:rsidR="00BE416C" w:rsidRPr="00CF2667" w:rsidRDefault="00BE416C" w:rsidP="00BE416C">
      <w:pPr>
        <w:spacing w:after="0" w:line="240" w:lineRule="auto"/>
        <w:jc w:val="both"/>
      </w:pPr>
    </w:p>
    <w:p w14:paraId="5F8CCFFC" w14:textId="77777777" w:rsidR="00BE416C" w:rsidRPr="00CF2667" w:rsidRDefault="00BE416C" w:rsidP="00BE416C">
      <w:pPr>
        <w:spacing w:after="0" w:line="240" w:lineRule="auto"/>
        <w:jc w:val="both"/>
      </w:pPr>
      <w:r>
        <w:t xml:space="preserve">„(2) V případě více společných hráčských zůstatků uvedených v § 25 odst. 1 se ve vztahu k dotčenému společnému hráčskému zůstatku musí poskytnout údaje uvedené v bodě I písm. </w:t>
      </w:r>
      <w:r>
        <w:rPr>
          <w:i/>
        </w:rPr>
        <w:t>a)</w:t>
      </w:r>
      <w:r>
        <w:t xml:space="preserve"> až </w:t>
      </w:r>
      <w:r>
        <w:rPr>
          <w:i/>
        </w:rPr>
        <w:t>d)</w:t>
      </w:r>
      <w:r>
        <w:t xml:space="preserve">, </w:t>
      </w:r>
      <w:r>
        <w:rPr>
          <w:i/>
        </w:rPr>
        <w:t>i)</w:t>
      </w:r>
      <w:r>
        <w:t xml:space="preserve"> až </w:t>
      </w:r>
      <w:r>
        <w:rPr>
          <w:i/>
        </w:rPr>
        <w:t>l)</w:t>
      </w:r>
      <w:r>
        <w:t xml:space="preserve"> a </w:t>
      </w:r>
      <w:r>
        <w:rPr>
          <w:i/>
        </w:rPr>
        <w:t>n)</w:t>
      </w:r>
      <w:r>
        <w:t xml:space="preserve"> přílohy 3.“</w:t>
      </w:r>
    </w:p>
    <w:p w14:paraId="3C2DC92C" w14:textId="77777777" w:rsidR="00EF1F0E" w:rsidRPr="00CF2667" w:rsidRDefault="00EF1F0E" w:rsidP="00D831E3">
      <w:pPr>
        <w:spacing w:after="0" w:line="240" w:lineRule="auto"/>
        <w:jc w:val="center"/>
        <w:rPr>
          <w:rFonts w:eastAsia="Calibri"/>
          <w:b/>
        </w:rPr>
      </w:pPr>
    </w:p>
    <w:p w14:paraId="3368B22F" w14:textId="77777777" w:rsidR="00CC2AA8" w:rsidRPr="00CF2667" w:rsidRDefault="00CC2AA8" w:rsidP="009B4363">
      <w:pPr>
        <w:spacing w:after="0"/>
        <w:jc w:val="both"/>
      </w:pPr>
    </w:p>
    <w:p w14:paraId="5288889E" w14:textId="005DDDB9" w:rsidR="00BE416C" w:rsidRPr="00CF2667" w:rsidRDefault="00D831E3" w:rsidP="00BE416C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§ 10</w:t>
      </w:r>
    </w:p>
    <w:p w14:paraId="5AEE038B" w14:textId="77777777" w:rsidR="00883ECB" w:rsidRPr="00CF2667" w:rsidRDefault="00883ECB" w:rsidP="006E7FC5">
      <w:pPr>
        <w:spacing w:after="0" w:line="240" w:lineRule="auto"/>
        <w:jc w:val="both"/>
        <w:rPr>
          <w:rFonts w:eastAsia="Calibri"/>
        </w:rPr>
      </w:pPr>
    </w:p>
    <w:p w14:paraId="780AC5C8" w14:textId="77777777" w:rsidR="00BE416C" w:rsidRDefault="00BE416C" w:rsidP="00BE416C">
      <w:r>
        <w:t>§ 76 odst. 5 vyhlášky se nahrazuje tímto:</w:t>
      </w:r>
    </w:p>
    <w:p w14:paraId="7CCD7B57" w14:textId="4704AFFB" w:rsidR="00D87DB3" w:rsidRPr="00B404C3" w:rsidRDefault="00D87DB3" w:rsidP="00BE416C">
      <w:pPr>
        <w:rPr>
          <w:i/>
        </w:rPr>
      </w:pPr>
      <w:r>
        <w:rPr>
          <w:i/>
        </w:rPr>
        <w:t>(Pro účely této vyhlášky se použijí tyto definice:)</w:t>
      </w:r>
    </w:p>
    <w:p w14:paraId="50528523" w14:textId="77777777" w:rsidR="00BE416C" w:rsidRPr="00CF2667" w:rsidRDefault="00BE416C" w:rsidP="00BE416C">
      <w:pPr>
        <w:spacing w:after="0" w:line="240" w:lineRule="auto"/>
        <w:jc w:val="both"/>
      </w:pPr>
      <w:r>
        <w:t xml:space="preserve">„5. </w:t>
      </w:r>
      <w:r>
        <w:rPr>
          <w:i/>
        </w:rPr>
        <w:t>společný hráčský zůstatek:</w:t>
      </w:r>
      <w:r>
        <w:t xml:space="preserve"> zůstatek vedený provozovatelem (který je oprávněn provozovat více druhů hazardních her) za účelem účtování a zaznamenávání sázek, výher a jiných herních transakcí týkajících se dotčených her.“</w:t>
      </w:r>
    </w:p>
    <w:p w14:paraId="08CA76BF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1A64D24D" w14:textId="6112EEA4" w:rsidR="004B77C9" w:rsidRPr="00CF2667" w:rsidRDefault="004B77C9" w:rsidP="006E7FC5">
      <w:pPr>
        <w:spacing w:after="0" w:line="240" w:lineRule="auto"/>
        <w:jc w:val="both"/>
        <w:rPr>
          <w:rFonts w:eastAsia="Calibri"/>
        </w:rPr>
      </w:pPr>
    </w:p>
    <w:p w14:paraId="28E48A86" w14:textId="77777777" w:rsidR="00024F51" w:rsidRPr="00CF2667" w:rsidRDefault="00024F51" w:rsidP="00D851ED">
      <w:pPr>
        <w:spacing w:after="0" w:line="240" w:lineRule="auto"/>
        <w:jc w:val="center"/>
        <w:rPr>
          <w:rFonts w:eastAsia="Calibri"/>
          <w:b/>
        </w:rPr>
      </w:pPr>
    </w:p>
    <w:p w14:paraId="62A2F325" w14:textId="299A9708" w:rsidR="00024F51" w:rsidRDefault="00B8585F" w:rsidP="00D851ED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§ 11</w:t>
      </w:r>
    </w:p>
    <w:p w14:paraId="2AA0E041" w14:textId="77777777" w:rsidR="00B8585F" w:rsidRDefault="00B8585F" w:rsidP="00D851ED">
      <w:pPr>
        <w:spacing w:after="0" w:line="240" w:lineRule="auto"/>
        <w:jc w:val="center"/>
        <w:rPr>
          <w:rFonts w:eastAsia="Calibri"/>
          <w:b/>
        </w:rPr>
      </w:pPr>
    </w:p>
    <w:p w14:paraId="284227C6" w14:textId="77777777" w:rsidR="00B8585F" w:rsidRDefault="00B8585F" w:rsidP="00B8585F">
      <w:pPr>
        <w:spacing w:after="0" w:line="240" w:lineRule="auto"/>
        <w:jc w:val="both"/>
        <w:rPr>
          <w:rFonts w:eastAsia="Calibri"/>
        </w:rPr>
      </w:pPr>
      <w:r>
        <w:t>V kapitole XI vyhlášky se doplňuje nový § 79, který zní:</w:t>
      </w:r>
    </w:p>
    <w:p w14:paraId="0CFCA622" w14:textId="77777777" w:rsidR="00B8585F" w:rsidRDefault="00B8585F" w:rsidP="00B8585F">
      <w:pPr>
        <w:spacing w:after="0" w:line="240" w:lineRule="auto"/>
        <w:jc w:val="both"/>
        <w:rPr>
          <w:rFonts w:eastAsia="Calibri"/>
          <w:b/>
        </w:rPr>
      </w:pPr>
    </w:p>
    <w:p w14:paraId="537E199A" w14:textId="5CD65CEE" w:rsidR="00B8585F" w:rsidRPr="003B294C" w:rsidRDefault="00B8585F" w:rsidP="00B8585F">
      <w:pPr>
        <w:spacing w:after="0" w:line="240" w:lineRule="auto"/>
        <w:jc w:val="both"/>
        <w:rPr>
          <w:rFonts w:eastAsia="Calibri"/>
        </w:rPr>
      </w:pPr>
      <w:r>
        <w:t>„§ 79 Navrhovaná ustanovení této vyhlášky stanovená ve vyhlášce SZTFH č. …/2023 (…), kterou se mění vyhláška SZTFH č. 20/2021 ze dne 29. října 2021 o plnění úkolů souvisejících s povolováním, správou a kontrolou některých druhů hazardních her, konkrétně § 2/A, § 13 odst. 3, 10 a 11, oddíl 7/A, § 16/F, § 22 odst. 1, § 22 odst. 2 a 4, § 25 odst. 1 až 4, 6 a 7, § 26 odst. 2 a 3, § 29 odst. 3, § 32 odst. 2, § 76 odst. 5 a bod C odst. 1 přílohy 2 byla předem oznámena v souladu s články 5 až 7 směrnice Evropského parlamentu a Rady (EU) 2015/1535 ze dne 9. září 2015 o postupu při poskytování informací v oblasti technických předpisů a předpisů pro služby informační společnosti.“</w:t>
      </w:r>
    </w:p>
    <w:p w14:paraId="78C7E8FD" w14:textId="77777777" w:rsidR="00B8585F" w:rsidRPr="00CF2667" w:rsidRDefault="00B8585F" w:rsidP="00D851ED">
      <w:pPr>
        <w:spacing w:after="0" w:line="240" w:lineRule="auto"/>
        <w:jc w:val="center"/>
        <w:rPr>
          <w:rFonts w:eastAsia="Calibri"/>
          <w:b/>
        </w:rPr>
      </w:pPr>
    </w:p>
    <w:p w14:paraId="2056C2B0" w14:textId="77777777" w:rsidR="00024F51" w:rsidRPr="00CF2667" w:rsidRDefault="00024F51" w:rsidP="00D851ED">
      <w:pPr>
        <w:spacing w:after="0" w:line="240" w:lineRule="auto"/>
        <w:jc w:val="center"/>
        <w:rPr>
          <w:rFonts w:eastAsia="Calibri"/>
          <w:b/>
        </w:rPr>
      </w:pPr>
    </w:p>
    <w:p w14:paraId="115BBCEA" w14:textId="2E59E0DF" w:rsidR="00B8585F" w:rsidRPr="00CF2667" w:rsidRDefault="00D831E3" w:rsidP="00B8585F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§ 12</w:t>
      </w:r>
    </w:p>
    <w:p w14:paraId="7508A6B6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67F085A2" w14:textId="718B856E" w:rsidR="00173F50" w:rsidRPr="00CF2667" w:rsidRDefault="00CB7CD2" w:rsidP="006E7FC5">
      <w:pPr>
        <w:spacing w:after="0" w:line="240" w:lineRule="auto"/>
        <w:jc w:val="both"/>
        <w:rPr>
          <w:rFonts w:eastAsia="Calibri"/>
        </w:rPr>
      </w:pPr>
      <w:r>
        <w:t xml:space="preserve">Ve vyhlášce </w:t>
      </w:r>
    </w:p>
    <w:p w14:paraId="1AD1CF86" w14:textId="6E94142C" w:rsidR="00A52272" w:rsidRPr="00CF2667" w:rsidRDefault="00F63205" w:rsidP="006E7FC5">
      <w:pPr>
        <w:spacing w:after="0" w:line="240" w:lineRule="auto"/>
        <w:jc w:val="both"/>
        <w:rPr>
          <w:rFonts w:eastAsia="Calibri"/>
        </w:rPr>
      </w:pPr>
      <w:r>
        <w:rPr>
          <w:i/>
        </w:rPr>
        <w:lastRenderedPageBreak/>
        <w:t>a)</w:t>
      </w:r>
      <w:r>
        <w:t xml:space="preserve"> se v § 22 odst. 1 slova „hráčský zůstatek“ nahrazují slovy „všechny dotčené hráčské zůstatky“,</w:t>
      </w:r>
    </w:p>
    <w:p w14:paraId="0E38F8A0" w14:textId="10A0D320" w:rsidR="00F63205" w:rsidRPr="008D4778" w:rsidRDefault="00F63205" w:rsidP="00F63205">
      <w:pPr>
        <w:spacing w:after="0" w:line="240" w:lineRule="auto"/>
        <w:jc w:val="both"/>
        <w:rPr>
          <w:rFonts w:eastAsia="Calibri"/>
        </w:rPr>
      </w:pPr>
      <w:r>
        <w:rPr>
          <w:i/>
        </w:rPr>
        <w:t>b)</w:t>
      </w:r>
      <w:r>
        <w:t xml:space="preserve"> se v bodě C odst. 1 přílohy 2 slova „pro společný hráčský zůstatek“ nahrazují slovy „pro dotčený společný hráčský zůstatek“.</w:t>
      </w:r>
    </w:p>
    <w:p w14:paraId="3DF148E3" w14:textId="77777777" w:rsidR="00BF5C0C" w:rsidRPr="00CF2667" w:rsidRDefault="00BF5C0C" w:rsidP="006E7FC5">
      <w:pPr>
        <w:spacing w:after="0" w:line="240" w:lineRule="auto"/>
        <w:jc w:val="both"/>
        <w:rPr>
          <w:rFonts w:eastAsia="Calibri"/>
        </w:rPr>
      </w:pPr>
    </w:p>
    <w:p w14:paraId="264E9D44" w14:textId="77777777" w:rsidR="00CC2AA8" w:rsidRPr="00CF2667" w:rsidRDefault="00CC2AA8" w:rsidP="006E7FC5">
      <w:pPr>
        <w:spacing w:after="0" w:line="240" w:lineRule="auto"/>
        <w:jc w:val="both"/>
        <w:rPr>
          <w:rFonts w:eastAsia="Calibri"/>
        </w:rPr>
      </w:pPr>
    </w:p>
    <w:p w14:paraId="1B62B26B" w14:textId="77777777" w:rsidR="00A52272" w:rsidRPr="00CF2667" w:rsidRDefault="00A52272" w:rsidP="006E7FC5">
      <w:pPr>
        <w:spacing w:after="0" w:line="240" w:lineRule="auto"/>
        <w:jc w:val="both"/>
        <w:rPr>
          <w:rFonts w:eastAsia="Calibri"/>
        </w:rPr>
      </w:pPr>
    </w:p>
    <w:p w14:paraId="34636380" w14:textId="61602DFD" w:rsidR="00421C27" w:rsidRPr="00CF2667" w:rsidRDefault="00D831E3" w:rsidP="00421C27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§ 13</w:t>
      </w:r>
    </w:p>
    <w:p w14:paraId="63ECFAEB" w14:textId="45A2EF41" w:rsidR="00BF5C0C" w:rsidRPr="00CF2667" w:rsidRDefault="00BF5C0C" w:rsidP="006E7FC5">
      <w:pPr>
        <w:spacing w:after="0" w:line="240" w:lineRule="auto"/>
        <w:jc w:val="both"/>
        <w:rPr>
          <w:rFonts w:eastAsia="Calibri"/>
        </w:rPr>
      </w:pPr>
    </w:p>
    <w:p w14:paraId="1562E5E9" w14:textId="77777777" w:rsidR="00C9669B" w:rsidRPr="00CF2667" w:rsidRDefault="00D851ED" w:rsidP="006E7FC5">
      <w:pPr>
        <w:spacing w:after="0" w:line="240" w:lineRule="auto"/>
        <w:jc w:val="both"/>
        <w:rPr>
          <w:rFonts w:eastAsia="Calibri"/>
        </w:rPr>
      </w:pPr>
      <w:r>
        <w:t>Zrušují se následující ustanovení vyhlášky:</w:t>
      </w:r>
    </w:p>
    <w:p w14:paraId="0E1ADBA3" w14:textId="77777777" w:rsidR="00BF5C0C" w:rsidRPr="00CF2667" w:rsidRDefault="00BF5C0C" w:rsidP="006E7FC5">
      <w:pPr>
        <w:spacing w:after="0" w:line="240" w:lineRule="auto"/>
        <w:jc w:val="both"/>
        <w:rPr>
          <w:rFonts w:eastAsia="Calibri"/>
        </w:rPr>
      </w:pPr>
    </w:p>
    <w:p w14:paraId="3768B456" w14:textId="77777777" w:rsidR="00C9669B" w:rsidRPr="00CF2667" w:rsidRDefault="00C9669B" w:rsidP="006E7FC5">
      <w:pPr>
        <w:spacing w:after="0" w:line="240" w:lineRule="auto"/>
        <w:jc w:val="both"/>
        <w:rPr>
          <w:rFonts w:eastAsia="Calibri"/>
        </w:rPr>
      </w:pPr>
      <w:r>
        <w:rPr>
          <w:i/>
        </w:rPr>
        <w:t>a)</w:t>
      </w:r>
      <w:r>
        <w:t xml:space="preserve"> § 11 odst. 2,</w:t>
      </w:r>
    </w:p>
    <w:p w14:paraId="46DB22F4" w14:textId="77777777" w:rsidR="00D851ED" w:rsidRPr="00CF2667" w:rsidRDefault="00C9669B" w:rsidP="006E7FC5">
      <w:pPr>
        <w:spacing w:after="0" w:line="240" w:lineRule="auto"/>
        <w:jc w:val="both"/>
        <w:rPr>
          <w:rFonts w:eastAsia="Calibri"/>
        </w:rPr>
      </w:pPr>
      <w:r>
        <w:rPr>
          <w:i/>
        </w:rPr>
        <w:t>b)</w:t>
      </w:r>
      <w:r>
        <w:t xml:space="preserve"> § 76 odst. 1,</w:t>
      </w:r>
    </w:p>
    <w:p w14:paraId="5FD8D111" w14:textId="77777777" w:rsidR="006D702B" w:rsidRPr="00CF2667" w:rsidRDefault="006D702B" w:rsidP="006E7FC5">
      <w:pPr>
        <w:spacing w:after="0" w:line="240" w:lineRule="auto"/>
        <w:jc w:val="both"/>
        <w:rPr>
          <w:rFonts w:eastAsia="Calibri"/>
        </w:rPr>
      </w:pPr>
    </w:p>
    <w:p w14:paraId="1BD95EA2" w14:textId="41D12212" w:rsidR="00BF5C0C" w:rsidRPr="00CF2667" w:rsidRDefault="00BF5C0C" w:rsidP="00CF2667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§ 14</w:t>
      </w:r>
    </w:p>
    <w:p w14:paraId="7D101E13" w14:textId="173FDD3E" w:rsidR="00BF5C0C" w:rsidRPr="00CF2667" w:rsidRDefault="00BF5C0C" w:rsidP="006E7FC5">
      <w:pPr>
        <w:spacing w:after="0" w:line="240" w:lineRule="auto"/>
        <w:jc w:val="both"/>
        <w:rPr>
          <w:rFonts w:eastAsia="Calibri"/>
        </w:rPr>
      </w:pPr>
    </w:p>
    <w:p w14:paraId="6E5ECC11" w14:textId="77777777" w:rsidR="006D702B" w:rsidRPr="00CF2667" w:rsidRDefault="006D702B" w:rsidP="006E7FC5">
      <w:pPr>
        <w:spacing w:after="0" w:line="240" w:lineRule="auto"/>
        <w:jc w:val="both"/>
        <w:rPr>
          <w:rFonts w:eastAsia="Calibri"/>
        </w:rPr>
      </w:pPr>
      <w:r>
        <w:t>Tato vyhláška nabývá účinnosti dne ......... 2023.</w:t>
      </w:r>
    </w:p>
    <w:p w14:paraId="45C78A1B" w14:textId="77777777" w:rsidR="006D702B" w:rsidRPr="00CF2667" w:rsidRDefault="006D702B" w:rsidP="006E7FC5">
      <w:pPr>
        <w:spacing w:after="0" w:line="240" w:lineRule="auto"/>
        <w:jc w:val="center"/>
        <w:rPr>
          <w:rFonts w:eastAsia="Calibri"/>
          <w:b/>
        </w:rPr>
      </w:pPr>
    </w:p>
    <w:p w14:paraId="130A173C" w14:textId="0F14DA3E" w:rsidR="006E7FC5" w:rsidRPr="00CF2667" w:rsidRDefault="00BF5C0C" w:rsidP="006E7FC5">
      <w:pPr>
        <w:jc w:val="center"/>
        <w:rPr>
          <w:rFonts w:eastAsia="Calibri"/>
          <w:b/>
        </w:rPr>
      </w:pPr>
      <w:r>
        <w:rPr>
          <w:b/>
        </w:rPr>
        <w:t>§ 15</w:t>
      </w:r>
    </w:p>
    <w:p w14:paraId="052A2215" w14:textId="6292C937" w:rsidR="006E7FC5" w:rsidRPr="00CF2667" w:rsidRDefault="00D669AC" w:rsidP="006E7FC5">
      <w:pPr>
        <w:jc w:val="both"/>
        <w:rPr>
          <w:rFonts w:eastAsia="Calibri"/>
        </w:rPr>
      </w:pPr>
      <w:r>
        <w:t>Požadavek na předběžné oznámení tohoto návrhu vyhlášky podle článků 5–7 směrnice Evropského parlamentu a Rady (EU) 2015/1535 ze dne 9. září 2015 o postupu při poskytování informací v oblasti technických předpisů a předpisů pro služby informační společnosti byl splněn.</w:t>
      </w:r>
    </w:p>
    <w:p w14:paraId="3C6A2578" w14:textId="77777777" w:rsidR="007F34EE" w:rsidRPr="00CF2667" w:rsidRDefault="006E7FC5" w:rsidP="007F34EE">
      <w:pPr>
        <w:jc w:val="center"/>
        <w:rPr>
          <w:rFonts w:eastAsia="Calibri"/>
        </w:rPr>
      </w:pPr>
      <w:r>
        <w:t xml:space="preserve">   </w:t>
      </w:r>
    </w:p>
    <w:p w14:paraId="7E631094" w14:textId="5CD1C4E6" w:rsidR="006E7FC5" w:rsidRPr="00F135C5" w:rsidRDefault="006E7FC5" w:rsidP="00F135C5">
      <w:pPr>
        <w:rPr>
          <w:rFonts w:eastAsia="Calibri"/>
          <w:b/>
          <w:bCs/>
        </w:rPr>
      </w:pPr>
    </w:p>
    <w:sectPr w:rsidR="006E7FC5" w:rsidRPr="00F1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167"/>
    <w:multiLevelType w:val="hybridMultilevel"/>
    <w:tmpl w:val="0078767E"/>
    <w:lvl w:ilvl="0" w:tplc="A63243D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45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C5"/>
    <w:rsid w:val="0001079C"/>
    <w:rsid w:val="00012DCD"/>
    <w:rsid w:val="00024F51"/>
    <w:rsid w:val="00041F7B"/>
    <w:rsid w:val="0009293C"/>
    <w:rsid w:val="000A7196"/>
    <w:rsid w:val="000B3671"/>
    <w:rsid w:val="000E02F3"/>
    <w:rsid w:val="000F2AD6"/>
    <w:rsid w:val="001052C1"/>
    <w:rsid w:val="00127FAE"/>
    <w:rsid w:val="0015599C"/>
    <w:rsid w:val="0016206A"/>
    <w:rsid w:val="00173F50"/>
    <w:rsid w:val="00181F7A"/>
    <w:rsid w:val="0018214B"/>
    <w:rsid w:val="00193CE0"/>
    <w:rsid w:val="0020391A"/>
    <w:rsid w:val="00203C3F"/>
    <w:rsid w:val="00206AC5"/>
    <w:rsid w:val="0021203C"/>
    <w:rsid w:val="00212B64"/>
    <w:rsid w:val="0023017A"/>
    <w:rsid w:val="00234A70"/>
    <w:rsid w:val="002572BC"/>
    <w:rsid w:val="002662A1"/>
    <w:rsid w:val="002A7C40"/>
    <w:rsid w:val="002C7981"/>
    <w:rsid w:val="00334106"/>
    <w:rsid w:val="003A5B78"/>
    <w:rsid w:val="003A78F0"/>
    <w:rsid w:val="003D5B7A"/>
    <w:rsid w:val="00421C27"/>
    <w:rsid w:val="00431B0E"/>
    <w:rsid w:val="00444CCE"/>
    <w:rsid w:val="00447FE9"/>
    <w:rsid w:val="00460640"/>
    <w:rsid w:val="0047373B"/>
    <w:rsid w:val="00482857"/>
    <w:rsid w:val="00497BD3"/>
    <w:rsid w:val="004B777D"/>
    <w:rsid w:val="004B77C9"/>
    <w:rsid w:val="005034BC"/>
    <w:rsid w:val="00517308"/>
    <w:rsid w:val="00521538"/>
    <w:rsid w:val="00526197"/>
    <w:rsid w:val="0053730E"/>
    <w:rsid w:val="00591010"/>
    <w:rsid w:val="005A5938"/>
    <w:rsid w:val="005A6F45"/>
    <w:rsid w:val="005C402F"/>
    <w:rsid w:val="005D223D"/>
    <w:rsid w:val="005E07CA"/>
    <w:rsid w:val="005F0267"/>
    <w:rsid w:val="005F0F64"/>
    <w:rsid w:val="005F30D0"/>
    <w:rsid w:val="005F7926"/>
    <w:rsid w:val="00605AC6"/>
    <w:rsid w:val="00632E1B"/>
    <w:rsid w:val="00634997"/>
    <w:rsid w:val="00655C54"/>
    <w:rsid w:val="00667115"/>
    <w:rsid w:val="00672BEF"/>
    <w:rsid w:val="006A0AD9"/>
    <w:rsid w:val="006A2019"/>
    <w:rsid w:val="006D702B"/>
    <w:rsid w:val="006E7FC5"/>
    <w:rsid w:val="0070150D"/>
    <w:rsid w:val="007176D9"/>
    <w:rsid w:val="00723037"/>
    <w:rsid w:val="00743DA6"/>
    <w:rsid w:val="0076793D"/>
    <w:rsid w:val="00774591"/>
    <w:rsid w:val="00782E0A"/>
    <w:rsid w:val="00785E70"/>
    <w:rsid w:val="007919A4"/>
    <w:rsid w:val="007B051F"/>
    <w:rsid w:val="007F34EE"/>
    <w:rsid w:val="00803C4C"/>
    <w:rsid w:val="00806F38"/>
    <w:rsid w:val="008120A6"/>
    <w:rsid w:val="008126DB"/>
    <w:rsid w:val="00815C73"/>
    <w:rsid w:val="00816C55"/>
    <w:rsid w:val="00836DF7"/>
    <w:rsid w:val="0084156F"/>
    <w:rsid w:val="00846670"/>
    <w:rsid w:val="00883ECB"/>
    <w:rsid w:val="008902D0"/>
    <w:rsid w:val="008A5958"/>
    <w:rsid w:val="008C4599"/>
    <w:rsid w:val="008F4AEA"/>
    <w:rsid w:val="0094265F"/>
    <w:rsid w:val="00965042"/>
    <w:rsid w:val="009817D0"/>
    <w:rsid w:val="00991F71"/>
    <w:rsid w:val="0099589C"/>
    <w:rsid w:val="009B4363"/>
    <w:rsid w:val="009C02BE"/>
    <w:rsid w:val="009C35BE"/>
    <w:rsid w:val="009E31C9"/>
    <w:rsid w:val="009E5ECF"/>
    <w:rsid w:val="009F37D4"/>
    <w:rsid w:val="00A23564"/>
    <w:rsid w:val="00A52272"/>
    <w:rsid w:val="00A654AB"/>
    <w:rsid w:val="00A93213"/>
    <w:rsid w:val="00B12456"/>
    <w:rsid w:val="00B162E1"/>
    <w:rsid w:val="00B2554E"/>
    <w:rsid w:val="00B2666F"/>
    <w:rsid w:val="00B404C3"/>
    <w:rsid w:val="00B47621"/>
    <w:rsid w:val="00B60400"/>
    <w:rsid w:val="00B82D5A"/>
    <w:rsid w:val="00B8585F"/>
    <w:rsid w:val="00BB0F1A"/>
    <w:rsid w:val="00BC68A9"/>
    <w:rsid w:val="00BE416C"/>
    <w:rsid w:val="00BE630A"/>
    <w:rsid w:val="00BF5A71"/>
    <w:rsid w:val="00BF5C0C"/>
    <w:rsid w:val="00C012D4"/>
    <w:rsid w:val="00C350BD"/>
    <w:rsid w:val="00C50A71"/>
    <w:rsid w:val="00C536ED"/>
    <w:rsid w:val="00C63619"/>
    <w:rsid w:val="00C84F9C"/>
    <w:rsid w:val="00C9669B"/>
    <w:rsid w:val="00CA1F6D"/>
    <w:rsid w:val="00CB1E4B"/>
    <w:rsid w:val="00CB7CD2"/>
    <w:rsid w:val="00CC134D"/>
    <w:rsid w:val="00CC2AA8"/>
    <w:rsid w:val="00CE4959"/>
    <w:rsid w:val="00CF2667"/>
    <w:rsid w:val="00D007AF"/>
    <w:rsid w:val="00D32BE4"/>
    <w:rsid w:val="00D42C8A"/>
    <w:rsid w:val="00D65715"/>
    <w:rsid w:val="00D669AC"/>
    <w:rsid w:val="00D67727"/>
    <w:rsid w:val="00D831E3"/>
    <w:rsid w:val="00D851ED"/>
    <w:rsid w:val="00D87DB3"/>
    <w:rsid w:val="00DD6AA8"/>
    <w:rsid w:val="00E25CE6"/>
    <w:rsid w:val="00E261AE"/>
    <w:rsid w:val="00E35F25"/>
    <w:rsid w:val="00E64453"/>
    <w:rsid w:val="00EA2A22"/>
    <w:rsid w:val="00ED1E39"/>
    <w:rsid w:val="00EF1F0E"/>
    <w:rsid w:val="00F135C5"/>
    <w:rsid w:val="00F34A5B"/>
    <w:rsid w:val="00F42DAC"/>
    <w:rsid w:val="00F6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C289"/>
  <w15:docId w15:val="{689E1621-4457-4042-BDCB-0C05FD9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C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1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1010"/>
    <w:pPr>
      <w:spacing w:after="20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01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10"/>
    <w:rPr>
      <w:rFonts w:ascii="Tahoma" w:eastAsia="Times New Roman" w:hAnsi="Tahoma" w:cs="Tahoma"/>
      <w:sz w:val="16"/>
      <w:szCs w:val="16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EF1F0E"/>
    <w:pPr>
      <w:spacing w:before="100" w:beforeAutospacing="1" w:after="100" w:afterAutospacing="1" w:line="240" w:lineRule="auto"/>
    </w:pPr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F0E"/>
    <w:pPr>
      <w:spacing w:after="160"/>
    </w:pPr>
    <w:rPr>
      <w:rFonts w:ascii="Times New Roman" w:eastAsia="Times New Roman" w:hAnsi="Times New Roman"/>
      <w:b/>
      <w:bCs/>
      <w:lang w:eastAsia="hu-H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F0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173F50"/>
    <w:pPr>
      <w:ind w:left="720"/>
      <w:contextualSpacing/>
    </w:pPr>
  </w:style>
  <w:style w:type="paragraph" w:styleId="Revision">
    <w:name w:val="Revision"/>
    <w:hidden/>
    <w:uiPriority w:val="99"/>
    <w:semiHidden/>
    <w:rsid w:val="0080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3259-9B7A-46FB-A08F-3149266F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Krisztina dr.</dc:creator>
  <cp:lastModifiedBy>Anastasia Stavroulaki</cp:lastModifiedBy>
  <cp:revision>4</cp:revision>
  <cp:lastPrinted>2023-03-21T08:45:00Z</cp:lastPrinted>
  <dcterms:created xsi:type="dcterms:W3CDTF">2023-03-22T13:23:00Z</dcterms:created>
  <dcterms:modified xsi:type="dcterms:W3CDTF">2023-03-29T15:17:00Z</dcterms:modified>
</cp:coreProperties>
</file>