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443F" w14:textId="77777777" w:rsidR="006E7FC5" w:rsidRPr="00CF2667" w:rsidRDefault="006E7FC5" w:rsidP="006E7FC5">
      <w:pPr>
        <w:spacing w:after="0" w:line="240" w:lineRule="auto"/>
        <w:jc w:val="center"/>
        <w:rPr>
          <w:rFonts w:eastAsia="Calibri"/>
          <w:b/>
        </w:rPr>
      </w:pPr>
      <w:r>
        <w:rPr>
          <w:b/>
        </w:rPr>
        <w:t>Foraithne SZTFH Uimh</w:t>
      </w:r>
    </w:p>
    <w:p w14:paraId="78A2EE9D" w14:textId="77777777" w:rsidR="006E7FC5" w:rsidRPr="00CF2667" w:rsidRDefault="006E7FC5" w:rsidP="006E7FC5">
      <w:pPr>
        <w:spacing w:after="0" w:line="240" w:lineRule="auto"/>
        <w:jc w:val="center"/>
        <w:rPr>
          <w:rFonts w:eastAsia="Calibri"/>
          <w:b/>
        </w:rPr>
      </w:pPr>
    </w:p>
    <w:p w14:paraId="1DA8F30D" w14:textId="77777777" w:rsidR="006E7FC5" w:rsidRPr="00CF2667" w:rsidRDefault="006E7FC5" w:rsidP="006E7FC5">
      <w:pPr>
        <w:spacing w:after="0" w:line="240" w:lineRule="auto"/>
        <w:jc w:val="center"/>
        <w:rPr>
          <w:rFonts w:eastAsia="Calibri"/>
          <w:b/>
        </w:rPr>
      </w:pPr>
      <w:r>
        <w:rPr>
          <w:b/>
        </w:rPr>
        <w:t>./2023 (.) ó Uachtarán an Údaráis Maoirseachta um Ghnóthaí Rialála</w:t>
      </w:r>
    </w:p>
    <w:p w14:paraId="7580F07E" w14:textId="77777777" w:rsidR="006E7FC5" w:rsidRPr="00CF2667" w:rsidRDefault="006E7FC5" w:rsidP="006E7FC5">
      <w:pPr>
        <w:spacing w:after="0" w:line="240" w:lineRule="auto"/>
        <w:jc w:val="center"/>
        <w:rPr>
          <w:rFonts w:eastAsia="Calibri"/>
          <w:b/>
        </w:rPr>
      </w:pPr>
    </w:p>
    <w:p w14:paraId="6E970982" w14:textId="77777777" w:rsidR="006E7FC5" w:rsidRPr="00CF2667" w:rsidRDefault="006E7FC5" w:rsidP="006E7FC5">
      <w:pPr>
        <w:spacing w:after="0" w:line="240" w:lineRule="auto"/>
        <w:jc w:val="center"/>
        <w:rPr>
          <w:rFonts w:eastAsia="Calibri"/>
          <w:b/>
        </w:rPr>
      </w:pPr>
      <w:r>
        <w:rPr>
          <w:b/>
        </w:rPr>
        <w:t>lena leasaítear Foraithne SZTFH Uimh. 20/2021 29 Deireadh Fómhair 2021 maidir le cur chun feidhme cúraimí a bhaineann le cluichí deiseanna áirithe a údarú, a bhainistiú agus a rialú</w:t>
      </w:r>
    </w:p>
    <w:p w14:paraId="3354A442" w14:textId="77777777" w:rsidR="006E7FC5" w:rsidRPr="00CF2667" w:rsidRDefault="006E7FC5" w:rsidP="006E7FC5">
      <w:pPr>
        <w:spacing w:after="0" w:line="240" w:lineRule="auto"/>
        <w:jc w:val="center"/>
        <w:rPr>
          <w:rFonts w:eastAsia="Calibri"/>
          <w:b/>
        </w:rPr>
      </w:pPr>
    </w:p>
    <w:p w14:paraId="27B80967" w14:textId="77777777" w:rsidR="00BE630A" w:rsidRDefault="00BE630A" w:rsidP="00BE630A">
      <w:pPr>
        <w:spacing w:after="0" w:line="240" w:lineRule="auto"/>
        <w:jc w:val="both"/>
        <w:rPr>
          <w:rFonts w:eastAsia="Calibri"/>
        </w:rPr>
      </w:pPr>
    </w:p>
    <w:p w14:paraId="5A4D706F" w14:textId="77777777" w:rsidR="00BE630A" w:rsidRDefault="00BE630A" w:rsidP="00BE630A">
      <w:pPr>
        <w:spacing w:after="0" w:line="240" w:lineRule="auto"/>
        <w:jc w:val="both"/>
        <w:rPr>
          <w:rFonts w:eastAsia="Calibri"/>
        </w:rPr>
      </w:pPr>
      <w:r>
        <w:t>Ar bhonn an údaraithe a deonaíodh in Roinn 38(2)</w:t>
      </w:r>
      <w:r>
        <w:rPr>
          <w:i/>
        </w:rPr>
        <w:t>(a)</w:t>
      </w:r>
      <w:r>
        <w:t xml:space="preserve"> agus </w:t>
      </w:r>
      <w:r>
        <w:rPr>
          <w:i/>
        </w:rPr>
        <w:t>(b)</w:t>
      </w:r>
      <w:r>
        <w:t xml:space="preserve"> de Ghníomh XXXIV de 1991 maidir le hoibríochtaí cearrbhachais, </w:t>
      </w:r>
    </w:p>
    <w:p w14:paraId="67DF3F1E" w14:textId="258A6756" w:rsidR="00BE630A" w:rsidRDefault="00BE630A" w:rsidP="00BE630A">
      <w:pPr>
        <w:spacing w:after="0" w:line="240" w:lineRule="auto"/>
        <w:jc w:val="both"/>
        <w:rPr>
          <w:rFonts w:eastAsia="Calibri"/>
        </w:rPr>
      </w:pPr>
      <w:r>
        <w:t>maidir le Ranna 2 agus 3 chomh maith le Roinn 13(b) ar bhonn an údaraithe a deonaíodh i Roinn 38(2)</w:t>
      </w:r>
      <w:r>
        <w:rPr>
          <w:i/>
        </w:rPr>
        <w:t>(d)</w:t>
      </w:r>
      <w:r>
        <w:t xml:space="preserve"> de Ghníomh XXXIV de 1991 maidir le hoibríochtaí cearrbhachais,</w:t>
      </w:r>
    </w:p>
    <w:p w14:paraId="7A855835" w14:textId="77777777" w:rsidR="00BE630A" w:rsidRDefault="00BE630A" w:rsidP="00BE630A">
      <w:pPr>
        <w:spacing w:after="0" w:line="240" w:lineRule="auto"/>
        <w:jc w:val="both"/>
        <w:rPr>
          <w:rFonts w:eastAsia="Calibri"/>
        </w:rPr>
      </w:pPr>
      <w:r>
        <w:t>maidir le ranna 4 go 10 agus Alt 12 ar bhonn an údaraithe a deonaíodh i Roinn 38(2)</w:t>
      </w:r>
      <w:r>
        <w:rPr>
          <w:i/>
        </w:rPr>
        <w:t>(g)</w:t>
      </w:r>
      <w:r>
        <w:t xml:space="preserve"> de Ghníomh XXXIV de 1991 maidir le hoibríochtaí cearrbhachais,</w:t>
      </w:r>
    </w:p>
    <w:p w14:paraId="6895E230" w14:textId="77777777" w:rsidR="00BE630A" w:rsidRDefault="00BE630A" w:rsidP="00BE630A">
      <w:pPr>
        <w:spacing w:after="0" w:line="240" w:lineRule="auto"/>
        <w:jc w:val="both"/>
        <w:rPr>
          <w:rFonts w:eastAsia="Calibri"/>
        </w:rPr>
      </w:pPr>
      <w:r>
        <w:t>agus ag gníomhú laistigh de raon feidhme mo dhualgas a shainítear i Roinn 13</w:t>
      </w:r>
      <w:r>
        <w:rPr>
          <w:i/>
        </w:rPr>
        <w:t>(i)</w:t>
      </w:r>
      <w:r>
        <w:t xml:space="preserve"> agus </w:t>
      </w:r>
      <w:r>
        <w:rPr>
          <w:i/>
        </w:rPr>
        <w:t>(n)</w:t>
      </w:r>
      <w:r>
        <w:t xml:space="preserve"> de Ghníomh XXXII de 2021 maidir leis an Údarás Maoirseachta um Ghnóthaí Rialála,</w:t>
      </w:r>
    </w:p>
    <w:p w14:paraId="59132BDE" w14:textId="77777777" w:rsidR="00BE630A" w:rsidRDefault="00BE630A" w:rsidP="00BE630A">
      <w:pPr>
        <w:spacing w:after="0" w:line="240" w:lineRule="auto"/>
        <w:jc w:val="both"/>
        <w:rPr>
          <w:rFonts w:eastAsia="Calibri"/>
        </w:rPr>
      </w:pPr>
      <w:r>
        <w:t>Ordaím leis seo an méid seo a leanas:</w:t>
      </w:r>
    </w:p>
    <w:p w14:paraId="0EB70FA2" w14:textId="77777777" w:rsidR="00BE630A" w:rsidRPr="00CF2667" w:rsidRDefault="00BE630A" w:rsidP="006E7FC5">
      <w:pPr>
        <w:spacing w:after="0" w:line="240" w:lineRule="auto"/>
        <w:jc w:val="both"/>
        <w:rPr>
          <w:rFonts w:eastAsia="Calibri"/>
        </w:rPr>
      </w:pPr>
    </w:p>
    <w:p w14:paraId="66058B66" w14:textId="77777777" w:rsidR="006E7FC5" w:rsidRPr="00CF2667" w:rsidRDefault="006E7FC5" w:rsidP="006E7FC5">
      <w:pPr>
        <w:spacing w:after="0" w:line="240" w:lineRule="auto"/>
        <w:jc w:val="center"/>
        <w:rPr>
          <w:rFonts w:eastAsia="Calibri"/>
          <w:b/>
        </w:rPr>
      </w:pPr>
      <w:r>
        <w:rPr>
          <w:b/>
        </w:rPr>
        <w:t>Roinn 1</w:t>
      </w:r>
    </w:p>
    <w:p w14:paraId="7DC1A809" w14:textId="77777777" w:rsidR="00C9669B" w:rsidRPr="00CF2667" w:rsidRDefault="00C9669B" w:rsidP="006E7FC5">
      <w:pPr>
        <w:spacing w:after="0" w:line="240" w:lineRule="auto"/>
        <w:jc w:val="center"/>
        <w:rPr>
          <w:rFonts w:eastAsia="Calibri"/>
          <w:b/>
        </w:rPr>
      </w:pPr>
    </w:p>
    <w:p w14:paraId="09585543" w14:textId="0173393E" w:rsidR="00C9669B" w:rsidRPr="00CF2667" w:rsidRDefault="00C9669B" w:rsidP="00C9669B">
      <w:pPr>
        <w:spacing w:after="0" w:line="240" w:lineRule="auto"/>
        <w:jc w:val="both"/>
        <w:rPr>
          <w:rFonts w:eastAsia="Calibri"/>
        </w:rPr>
      </w:pPr>
      <w:r>
        <w:t>Cuirtear Roinn 2/A nua le Caibidil I d’Fhoraithne SZTFH Uimh. 20/2021 29 Deireadh Fómhair 2021 maidir le cur chun feidhme cúraimí a bhaineann le cineálacha áirithe cearrbhachais a údarú, a bhainistiú agus a rialú (dá ngairtear: Rialachán Cur Chun Feidhme), ar mar seo a leanas a bheidh sé:</w:t>
      </w:r>
    </w:p>
    <w:p w14:paraId="1CCBA5B6" w14:textId="77777777" w:rsidR="00C9669B" w:rsidRPr="00CF2667" w:rsidRDefault="00C9669B" w:rsidP="00C9669B">
      <w:pPr>
        <w:spacing w:after="0" w:line="240" w:lineRule="auto"/>
        <w:jc w:val="both"/>
        <w:rPr>
          <w:rFonts w:eastAsia="Calibri"/>
        </w:rPr>
      </w:pPr>
    </w:p>
    <w:p w14:paraId="4BA0FDB3" w14:textId="42989738" w:rsidR="00C9669B" w:rsidRPr="00CF2667" w:rsidRDefault="00C9669B" w:rsidP="00C9669B">
      <w:pPr>
        <w:spacing w:after="0" w:line="240" w:lineRule="auto"/>
        <w:jc w:val="both"/>
        <w:rPr>
          <w:rFonts w:eastAsia="Calibri"/>
          <w:b/>
        </w:rPr>
      </w:pPr>
      <w:r>
        <w:t>‘Roinn 2/A I gcás ina bhfuil an t-oibreoir údaraithe roinnt cluichí seans a eagrú ag an am céanna, déanfaidh sé cuntais ioncaim agus chostais iarbhír gach cluiche seans a thaifeadadh agus a chothabháil ar bhealach infhíoraithe agus ar leithligh óna chéile, neamhspleách ar aon ghníomhaíocht eile a dhéanann sé.’</w:t>
      </w:r>
    </w:p>
    <w:p w14:paraId="7A3199E9" w14:textId="77777777" w:rsidR="00421C27" w:rsidRPr="00CF2667" w:rsidRDefault="00421C27" w:rsidP="006E7FC5">
      <w:pPr>
        <w:spacing w:after="0" w:line="240" w:lineRule="auto"/>
        <w:jc w:val="center"/>
        <w:rPr>
          <w:rFonts w:eastAsia="Calibri"/>
          <w:b/>
        </w:rPr>
      </w:pPr>
    </w:p>
    <w:p w14:paraId="5BEA7056" w14:textId="77777777" w:rsidR="00421C27" w:rsidRPr="00CF2667" w:rsidRDefault="007F34EE" w:rsidP="006E7FC5">
      <w:pPr>
        <w:spacing w:after="0" w:line="240" w:lineRule="auto"/>
        <w:jc w:val="center"/>
        <w:rPr>
          <w:rFonts w:eastAsia="Calibri"/>
          <w:b/>
        </w:rPr>
      </w:pPr>
      <w:r>
        <w:rPr>
          <w:b/>
        </w:rPr>
        <w:t>Roinn 2</w:t>
      </w:r>
    </w:p>
    <w:p w14:paraId="4BE47446" w14:textId="77777777" w:rsidR="006E7FC5" w:rsidRPr="00CF2667" w:rsidRDefault="006E7FC5" w:rsidP="006E7FC5">
      <w:pPr>
        <w:spacing w:after="0" w:line="240" w:lineRule="auto"/>
        <w:jc w:val="both"/>
        <w:rPr>
          <w:rFonts w:eastAsia="Calibri"/>
        </w:rPr>
      </w:pPr>
    </w:p>
    <w:p w14:paraId="164D83E3" w14:textId="6FB86AC7" w:rsidR="00591010" w:rsidRPr="00CF2667" w:rsidRDefault="00591010" w:rsidP="00991F71">
      <w:pPr>
        <w:spacing w:after="0" w:line="240" w:lineRule="auto"/>
        <w:jc w:val="both"/>
      </w:pPr>
      <w:r>
        <w:t>(1) Cuirtear an méid seo a leanas in ionad Roinn 13(3) den Fhoraithne Cur Chun Feidhme:</w:t>
      </w:r>
    </w:p>
    <w:p w14:paraId="36C968DE" w14:textId="77777777" w:rsidR="00D67727" w:rsidRPr="00CF2667" w:rsidRDefault="00D67727" w:rsidP="00591010">
      <w:pPr>
        <w:tabs>
          <w:tab w:val="center" w:pos="6096"/>
        </w:tabs>
        <w:spacing w:after="0" w:line="240" w:lineRule="auto"/>
        <w:jc w:val="both"/>
      </w:pPr>
    </w:p>
    <w:p w14:paraId="67C8D879" w14:textId="77777777" w:rsidR="00591010" w:rsidRPr="00CF2667" w:rsidRDefault="005F7926" w:rsidP="00591010">
      <w:pPr>
        <w:tabs>
          <w:tab w:val="center" w:pos="6096"/>
        </w:tabs>
        <w:spacing w:after="0" w:line="240" w:lineRule="auto"/>
        <w:jc w:val="both"/>
      </w:pPr>
      <w:r>
        <w:t>‘(3) Ní féidir ticéid crannchuir a tháirgeadh ach amháin trí úsáid a bhaint as teicneolaíocht dhúnta ríomhaire-rialaithe a chinntíonn</w:t>
      </w:r>
    </w:p>
    <w:p w14:paraId="1F259345" w14:textId="77777777" w:rsidR="00173F50" w:rsidRPr="00CF2667" w:rsidRDefault="00173F50" w:rsidP="00591010">
      <w:pPr>
        <w:tabs>
          <w:tab w:val="center" w:pos="6096"/>
        </w:tabs>
        <w:spacing w:after="0" w:line="240" w:lineRule="auto"/>
        <w:jc w:val="both"/>
      </w:pPr>
    </w:p>
    <w:p w14:paraId="7F8F7476" w14:textId="77777777" w:rsidR="00591010" w:rsidRPr="00CF2667" w:rsidRDefault="00591010" w:rsidP="00591010">
      <w:pPr>
        <w:tabs>
          <w:tab w:val="center" w:pos="6096"/>
        </w:tabs>
        <w:spacing w:after="0" w:line="240" w:lineRule="auto"/>
        <w:jc w:val="both"/>
      </w:pPr>
      <w:r>
        <w:rPr>
          <w:i/>
        </w:rPr>
        <w:t>(a)</w:t>
      </w:r>
      <w:r>
        <w:t xml:space="preserve"> méid na mbuaiteoirí a shonraítear sa Ghníomh Cearrbhachais,</w:t>
      </w:r>
    </w:p>
    <w:p w14:paraId="3D73CE20" w14:textId="77777777" w:rsidR="00591010" w:rsidRPr="00CF2667" w:rsidRDefault="00591010" w:rsidP="00591010">
      <w:pPr>
        <w:tabs>
          <w:tab w:val="center" w:pos="6096"/>
        </w:tabs>
        <w:spacing w:after="0" w:line="240" w:lineRule="auto"/>
        <w:jc w:val="both"/>
      </w:pPr>
      <w:r>
        <w:rPr>
          <w:i/>
        </w:rPr>
        <w:t>(b)</w:t>
      </w:r>
      <w:r>
        <w:t xml:space="preserve"> dáileadh cothrom na dticéad crannchuir a bhuaigh in aghaidh na haicme buaite laistigh den chainníocht údaraithe nó den tsraith údaraithe de réir an phlean cluiche, agus</w:t>
      </w:r>
    </w:p>
    <w:p w14:paraId="1EB773D3" w14:textId="77777777" w:rsidR="00591010" w:rsidRPr="00CF2667" w:rsidRDefault="00591010" w:rsidP="00591010">
      <w:pPr>
        <w:tabs>
          <w:tab w:val="center" w:pos="6096"/>
        </w:tabs>
        <w:spacing w:after="0" w:line="240" w:lineRule="auto"/>
        <w:jc w:val="both"/>
      </w:pPr>
      <w:r>
        <w:rPr>
          <w:i/>
        </w:rPr>
        <w:t>(c)</w:t>
      </w:r>
      <w:r>
        <w:t xml:space="preserve"> go ndéantar sraith iomlán ticéad crannchuir a tháirgeadh i bpróiseas táirgthe dúnta lenar féidir ticéid chrannchuir bhuaiteacha a aithint ach amháin tar éis an clúdach fíorúil nó fisiciúil a bhaint.’</w:t>
      </w:r>
    </w:p>
    <w:p w14:paraId="7EE32317" w14:textId="77777777" w:rsidR="00C012D4" w:rsidRPr="00CF2667" w:rsidRDefault="00C012D4" w:rsidP="00591010">
      <w:pPr>
        <w:tabs>
          <w:tab w:val="center" w:pos="6096"/>
        </w:tabs>
        <w:spacing w:after="0" w:line="240" w:lineRule="auto"/>
        <w:jc w:val="both"/>
        <w:rPr>
          <w:u w:val="single"/>
        </w:rPr>
      </w:pPr>
    </w:p>
    <w:p w14:paraId="6AC62775" w14:textId="10E53AA6" w:rsidR="00C012D4" w:rsidRPr="00CF2667" w:rsidRDefault="00C012D4" w:rsidP="00C012D4">
      <w:pPr>
        <w:spacing w:after="0"/>
        <w:jc w:val="both"/>
      </w:pPr>
      <w:r>
        <w:t>(2) Cuirfear na míreanna (10) agus (11) seo a leanas le Roinn 13 den Fhoraithne Cur Chun Feidhme:</w:t>
      </w:r>
    </w:p>
    <w:p w14:paraId="4EE4A851" w14:textId="77777777" w:rsidR="00B82D5A" w:rsidRPr="00CF2667" w:rsidRDefault="00B82D5A" w:rsidP="00C012D4">
      <w:pPr>
        <w:spacing w:after="0"/>
        <w:jc w:val="both"/>
      </w:pPr>
    </w:p>
    <w:p w14:paraId="351A0C29" w14:textId="5227B30D" w:rsidR="00C012D4" w:rsidRPr="00CF2667" w:rsidRDefault="00C012D4" w:rsidP="00C012D4">
      <w:pPr>
        <w:tabs>
          <w:tab w:val="center" w:pos="6096"/>
        </w:tabs>
        <w:spacing w:after="0" w:line="240" w:lineRule="auto"/>
        <w:jc w:val="both"/>
      </w:pPr>
      <w:r>
        <w:t>‘(10) Beidh feidhm mutatis mutandis ag míreanna (2) go (4) agus ag mír (5)</w:t>
      </w:r>
      <w:r>
        <w:rPr>
          <w:i/>
        </w:rPr>
        <w:t>(a)</w:t>
      </w:r>
      <w:r>
        <w:t xml:space="preserve"> agus </w:t>
      </w:r>
      <w:r>
        <w:rPr>
          <w:i/>
        </w:rPr>
        <w:t>(b)</w:t>
      </w:r>
      <w:r>
        <w:t xml:space="preserve"> maidir le scríobchártaí a dhíoltar trí bhíthin feistí agus córais chumarsáide, agus go ndéanfar crannchuir </w:t>
      </w:r>
      <w:r>
        <w:lastRenderedPageBreak/>
        <w:t>a stóráil agus a chur ar an margadh trí bhíthin feistí agus córais chumarsáide, agus cuirfear na doiciméid dá dtagraítear i mír (5)</w:t>
      </w:r>
      <w:r>
        <w:rPr>
          <w:i/>
        </w:rPr>
        <w:t>(a)</w:t>
      </w:r>
      <w:r>
        <w:t xml:space="preserve"> faoi bhráid an údaráis chearrbhachais le linn an nós imeachta um údarú. </w:t>
      </w:r>
    </w:p>
    <w:p w14:paraId="386CFFD5" w14:textId="77777777" w:rsidR="00BE630A" w:rsidRDefault="00BE630A" w:rsidP="00203C3F">
      <w:pPr>
        <w:tabs>
          <w:tab w:val="center" w:pos="6096"/>
        </w:tabs>
        <w:spacing w:after="0" w:line="240" w:lineRule="auto"/>
        <w:jc w:val="both"/>
      </w:pPr>
    </w:p>
    <w:p w14:paraId="4351477A" w14:textId="1A3C832B" w:rsidR="006E7FC5" w:rsidRPr="00CF2667" w:rsidRDefault="00C012D4" w:rsidP="00203C3F">
      <w:pPr>
        <w:tabs>
          <w:tab w:val="center" w:pos="6096"/>
        </w:tabs>
        <w:spacing w:after="0" w:line="240" w:lineRule="auto"/>
        <w:jc w:val="both"/>
      </w:pPr>
      <w:r>
        <w:t>(11) As measc fhorálacha an rialacháin seo maidir le hiniúchadh a dhéanamh ar chianchearrbhachas agus ar chluichí ceasaíneo ar líne, beidh feidhm ag Roinn 15(2) agus (3), Iarscríbhinn 2, clásal I d’Iarscríbhinn 3, clásal II(A) agus clásal III(c), clásal II(1)(f) agus (h) d’Iarscríbhinn 4, agus clásail 2(a) go (c) maidir le scríobchártaí a dhíoltar trí fheistí agus córais chumarsáide.’</w:t>
      </w:r>
    </w:p>
    <w:p w14:paraId="202FF135" w14:textId="77777777" w:rsidR="00431B0E" w:rsidRPr="00CF2667" w:rsidRDefault="00431B0E" w:rsidP="00203C3F">
      <w:pPr>
        <w:tabs>
          <w:tab w:val="center" w:pos="6096"/>
        </w:tabs>
        <w:spacing w:after="0" w:line="240" w:lineRule="auto"/>
        <w:jc w:val="both"/>
        <w:rPr>
          <w:rFonts w:eastAsia="Calibri"/>
        </w:rPr>
      </w:pPr>
    </w:p>
    <w:p w14:paraId="6A454895" w14:textId="77777777" w:rsidR="006E7FC5" w:rsidRPr="00CF2667" w:rsidRDefault="00C9669B" w:rsidP="006E7FC5">
      <w:pPr>
        <w:spacing w:after="0" w:line="240" w:lineRule="auto"/>
        <w:jc w:val="center"/>
        <w:rPr>
          <w:rFonts w:eastAsia="Calibri"/>
          <w:b/>
        </w:rPr>
      </w:pPr>
      <w:r>
        <w:rPr>
          <w:b/>
        </w:rPr>
        <w:t>Roinn 3</w:t>
      </w:r>
    </w:p>
    <w:p w14:paraId="7EFE5D28" w14:textId="77777777" w:rsidR="006E7FC5" w:rsidRPr="00CF2667" w:rsidRDefault="006E7FC5" w:rsidP="006E7FC5">
      <w:pPr>
        <w:spacing w:after="0" w:line="240" w:lineRule="auto"/>
        <w:jc w:val="both"/>
        <w:rPr>
          <w:rFonts w:eastAsia="Calibri"/>
        </w:rPr>
      </w:pPr>
    </w:p>
    <w:p w14:paraId="7F48D059" w14:textId="580CD7E8" w:rsidR="006E7FC5" w:rsidRPr="00CF2667" w:rsidRDefault="00B82D5A" w:rsidP="006E7FC5">
      <w:pPr>
        <w:spacing w:after="0" w:line="240" w:lineRule="auto"/>
        <w:jc w:val="both"/>
        <w:rPr>
          <w:rFonts w:eastAsia="Calibri"/>
        </w:rPr>
      </w:pPr>
      <w:r>
        <w:t>Cuirtear ceannteideal 7/A seo a leanas le Caibidil III den Fhoraithne Cur Chun Feidhme:</w:t>
      </w:r>
    </w:p>
    <w:p w14:paraId="276DDA3F" w14:textId="77777777" w:rsidR="006E7FC5" w:rsidRPr="00CF2667" w:rsidRDefault="006E7FC5" w:rsidP="006E7FC5">
      <w:pPr>
        <w:spacing w:after="0" w:line="240" w:lineRule="auto"/>
        <w:jc w:val="both"/>
        <w:rPr>
          <w:rFonts w:eastAsia="Calibri"/>
        </w:rPr>
      </w:pPr>
    </w:p>
    <w:p w14:paraId="3C5A7CBA" w14:textId="4E8E5C4B" w:rsidR="00B82D5A" w:rsidRPr="00CF2667" w:rsidRDefault="00B82D5A" w:rsidP="00B82D5A">
      <w:pPr>
        <w:spacing w:after="0" w:line="240" w:lineRule="auto"/>
        <w:jc w:val="center"/>
        <w:rPr>
          <w:bCs/>
        </w:rPr>
      </w:pPr>
      <w:r>
        <w:t>‘Roinn 7/A Rialacha speisialta le haghaidh cluichí crannchuir a dhíoltar trí ghléasanna agus córais chumarsáide amháin</w:t>
      </w:r>
    </w:p>
    <w:p w14:paraId="766FBD3D" w14:textId="77777777" w:rsidR="00B82D5A" w:rsidRPr="00CF2667" w:rsidRDefault="00B82D5A" w:rsidP="00B82D5A">
      <w:pPr>
        <w:spacing w:after="0" w:line="240" w:lineRule="auto"/>
        <w:jc w:val="both"/>
        <w:rPr>
          <w:bCs/>
        </w:rPr>
      </w:pPr>
    </w:p>
    <w:p w14:paraId="37BBCCEA" w14:textId="111517D0" w:rsidR="00B82D5A" w:rsidRPr="00CF2667" w:rsidRDefault="008126DB" w:rsidP="00B82D5A">
      <w:pPr>
        <w:spacing w:after="0" w:line="240" w:lineRule="auto"/>
        <w:jc w:val="both"/>
        <w:rPr>
          <w:bCs/>
        </w:rPr>
      </w:pPr>
      <w:r>
        <w:t>Roinn 13/A I gcás cluichí crannchuir a dhíoltar go heisiach trí fheistí agus córais chumarsáide, forálacha Roinn 15(2)</w:t>
      </w:r>
      <w:r>
        <w:rPr>
          <w:i/>
        </w:rPr>
        <w:t>(a)</w:t>
      </w:r>
      <w:r>
        <w:t>, Iarscríbhinn 2, clásal I d’Iarscríbhinn 3 agus clásal II(A) agus clásal III</w:t>
      </w:r>
      <w:r>
        <w:rPr>
          <w:i/>
        </w:rPr>
        <w:t>(c)</w:t>
      </w:r>
      <w:r>
        <w:t>, Beidh feidhm ag Iarscríbhinn 4 clásal II(1)</w:t>
      </w:r>
      <w:r>
        <w:rPr>
          <w:i/>
        </w:rPr>
        <w:t>(f)</w:t>
      </w:r>
      <w:r>
        <w:t xml:space="preserve"> agus </w:t>
      </w:r>
      <w:r>
        <w:rPr>
          <w:i/>
        </w:rPr>
        <w:t>(h)</w:t>
      </w:r>
      <w:r>
        <w:t xml:space="preserve"> agus ag clásal (2)</w:t>
      </w:r>
      <w:r>
        <w:rPr>
          <w:i/>
        </w:rPr>
        <w:t>(a)</w:t>
      </w:r>
      <w:r>
        <w:t xml:space="preserve"> go </w:t>
      </w:r>
      <w:r>
        <w:rPr>
          <w:i/>
        </w:rPr>
        <w:t>(c)</w:t>
      </w:r>
      <w:r>
        <w:t>.’</w:t>
      </w:r>
    </w:p>
    <w:p w14:paraId="3AB0FB4F" w14:textId="77777777" w:rsidR="006E7FC5" w:rsidRPr="00CF2667" w:rsidRDefault="006E7FC5" w:rsidP="006E7FC5">
      <w:pPr>
        <w:spacing w:after="0" w:line="240" w:lineRule="auto"/>
        <w:jc w:val="both"/>
        <w:rPr>
          <w:rFonts w:eastAsia="Calibri"/>
        </w:rPr>
      </w:pPr>
    </w:p>
    <w:p w14:paraId="32A5D86C" w14:textId="77777777" w:rsidR="006E7FC5" w:rsidRPr="00CF2667" w:rsidRDefault="00C9669B" w:rsidP="006E7FC5">
      <w:pPr>
        <w:spacing w:after="0" w:line="240" w:lineRule="auto"/>
        <w:jc w:val="center"/>
        <w:rPr>
          <w:rFonts w:eastAsia="Calibri"/>
          <w:b/>
        </w:rPr>
      </w:pPr>
      <w:r>
        <w:rPr>
          <w:b/>
        </w:rPr>
        <w:t>Roinn 4</w:t>
      </w:r>
    </w:p>
    <w:p w14:paraId="1F6C6F18" w14:textId="77777777" w:rsidR="00447FE9" w:rsidRPr="00CF2667" w:rsidRDefault="00447FE9" w:rsidP="00447FE9">
      <w:pPr>
        <w:spacing w:after="0" w:line="240" w:lineRule="auto"/>
        <w:jc w:val="both"/>
        <w:rPr>
          <w:rFonts w:eastAsia="Calibri"/>
          <w:b/>
        </w:rPr>
      </w:pPr>
    </w:p>
    <w:p w14:paraId="1DEEA69D" w14:textId="147BF699" w:rsidR="00447FE9" w:rsidRPr="00CF2667" w:rsidRDefault="00447FE9" w:rsidP="00447FE9">
      <w:pPr>
        <w:jc w:val="both"/>
      </w:pPr>
      <w:r>
        <w:t>Cuirtear Roinn 16/F nua le ceannteideal 9/C den Fhoraithne Cur Chun Feidhme, a léifear mar a leanas:</w:t>
      </w:r>
    </w:p>
    <w:p w14:paraId="677AA608" w14:textId="7DEB23EE" w:rsidR="00447FE9" w:rsidRPr="00CF2667" w:rsidRDefault="00447FE9" w:rsidP="00447FE9">
      <w:pPr>
        <w:jc w:val="both"/>
      </w:pPr>
      <w:r>
        <w:t>‘Roinn 16/F I gcás íocaíocht luath, nuair a bhíonn an fheidhm seo á cur chun cinn, tá sé d’oibleagáid ar an oibreoir cearrbhachais aird an imreora a tharraingt go sainráite ar an bhfíric go bhfuil riosca méadaithe cearrbhachais agus andúil iomarcach i gceist le húsáid na feidhme sin agus beidh an fhaisnéis sin le feiceáil i dtéacs an chur chun cinn sa chló céanna leis an téacs. Cuirfidh an t-oibreoir cearrbhachais ar fáil don imreoir ar shuíomh gréasáin an chearrbhachais freisin an fhaisnéis go mbeidh riosca méadaithe cearrbhachais agus andúile i gceist le húsáid na feidhme sin.’</w:t>
      </w:r>
    </w:p>
    <w:p w14:paraId="6740684E" w14:textId="77777777" w:rsidR="0018214B" w:rsidRPr="00CF2667" w:rsidRDefault="00C9669B" w:rsidP="0018214B">
      <w:pPr>
        <w:spacing w:after="0" w:line="240" w:lineRule="auto"/>
        <w:jc w:val="center"/>
        <w:rPr>
          <w:rFonts w:eastAsia="Calibri"/>
          <w:b/>
        </w:rPr>
      </w:pPr>
      <w:r>
        <w:rPr>
          <w:b/>
        </w:rPr>
        <w:t>Roinn 5</w:t>
      </w:r>
    </w:p>
    <w:p w14:paraId="2CEE6BA7" w14:textId="77777777" w:rsidR="00447FE9" w:rsidRPr="00CF2667" w:rsidRDefault="00447FE9" w:rsidP="00447FE9">
      <w:pPr>
        <w:spacing w:after="0" w:line="240" w:lineRule="auto"/>
        <w:jc w:val="both"/>
        <w:rPr>
          <w:rFonts w:eastAsia="Calibri"/>
          <w:b/>
        </w:rPr>
      </w:pPr>
    </w:p>
    <w:p w14:paraId="51A4AE0C" w14:textId="77777777" w:rsidR="0018214B" w:rsidRPr="00CF2667" w:rsidRDefault="0018214B" w:rsidP="0018214B">
      <w:pPr>
        <w:spacing w:after="0"/>
        <w:jc w:val="both"/>
      </w:pPr>
      <w:r>
        <w:t>(1) Cuirfear an méid seo a leanas in ionad Roinn 22(1)</w:t>
      </w:r>
      <w:r>
        <w:rPr>
          <w:i/>
        </w:rPr>
        <w:t>(c)</w:t>
      </w:r>
      <w:r>
        <w:t xml:space="preserve"> den Fhoraithne Cur Chun Feidhme:</w:t>
      </w:r>
    </w:p>
    <w:p w14:paraId="35B5EE08" w14:textId="77777777" w:rsidR="0018214B" w:rsidRPr="00CF2667" w:rsidRDefault="0018214B" w:rsidP="00447FE9">
      <w:pPr>
        <w:spacing w:after="0" w:line="240" w:lineRule="auto"/>
        <w:jc w:val="both"/>
        <w:rPr>
          <w:rFonts w:eastAsia="Calibri"/>
          <w:b/>
        </w:rPr>
      </w:pPr>
    </w:p>
    <w:p w14:paraId="1F79836C" w14:textId="77777777" w:rsidR="0018214B" w:rsidRPr="00CF2667" w:rsidRDefault="003A5B78" w:rsidP="0018214B">
      <w:pPr>
        <w:spacing w:after="0" w:line="240" w:lineRule="auto"/>
        <w:jc w:val="both"/>
        <w:rPr>
          <w:i/>
        </w:rPr>
      </w:pPr>
      <w:r>
        <w:rPr>
          <w:i/>
        </w:rPr>
        <w:t>(Má fhaigheann an t-oibreoir amach tar éis clárúcháin go léiríonn inneachar sonraí an chláir neamhrialtachtaí mar gheall ar)</w:t>
      </w:r>
    </w:p>
    <w:p w14:paraId="13B389E6" w14:textId="77777777" w:rsidR="00173F50" w:rsidRPr="00CF2667" w:rsidRDefault="00173F50" w:rsidP="0018214B">
      <w:pPr>
        <w:spacing w:after="0" w:line="240" w:lineRule="auto"/>
        <w:jc w:val="both"/>
      </w:pPr>
    </w:p>
    <w:p w14:paraId="69BDF0DA" w14:textId="77777777" w:rsidR="0018214B" w:rsidRPr="00CF2667" w:rsidRDefault="003A5B78" w:rsidP="0018214B">
      <w:pPr>
        <w:spacing w:after="0" w:line="240" w:lineRule="auto"/>
        <w:jc w:val="both"/>
      </w:pPr>
      <w:r>
        <w:t>‘</w:t>
      </w:r>
      <w:r>
        <w:rPr>
          <w:i/>
        </w:rPr>
        <w:t>(c)</w:t>
      </w:r>
      <w:r>
        <w:t xml:space="preserve"> tá an t-imreoir céanna cláraithe roinnt uaireanta don chluiche céanna nó don chothromaíocht imreoir chéanna,’</w:t>
      </w:r>
    </w:p>
    <w:p w14:paraId="36CDD328" w14:textId="77777777" w:rsidR="00173F50" w:rsidRPr="00CF2667" w:rsidRDefault="00173F50" w:rsidP="0018214B">
      <w:pPr>
        <w:spacing w:after="0" w:line="240" w:lineRule="auto"/>
        <w:jc w:val="both"/>
        <w:rPr>
          <w:i/>
        </w:rPr>
      </w:pPr>
    </w:p>
    <w:p w14:paraId="112A77F5" w14:textId="77777777" w:rsidR="0018214B" w:rsidRPr="00CF2667" w:rsidRDefault="003A5B78" w:rsidP="0018214B">
      <w:pPr>
        <w:spacing w:after="0" w:line="240" w:lineRule="auto"/>
        <w:jc w:val="both"/>
        <w:rPr>
          <w:i/>
        </w:rPr>
      </w:pPr>
      <w:r>
        <w:rPr>
          <w:i/>
        </w:rPr>
        <w:t>(beidh an t-iarmhéid imreoir a chur ar fionraí láithreach.)</w:t>
      </w:r>
    </w:p>
    <w:p w14:paraId="25489DFD" w14:textId="77777777" w:rsidR="00447FE9" w:rsidRPr="00CF2667" w:rsidRDefault="00447FE9" w:rsidP="0018214B">
      <w:pPr>
        <w:spacing w:after="0" w:line="240" w:lineRule="auto"/>
        <w:jc w:val="both"/>
        <w:rPr>
          <w:rFonts w:eastAsia="Calibri"/>
          <w:b/>
        </w:rPr>
      </w:pPr>
    </w:p>
    <w:p w14:paraId="6DE1BE49" w14:textId="77777777" w:rsidR="0018214B" w:rsidRPr="00CF2667" w:rsidRDefault="0018214B" w:rsidP="0018214B">
      <w:pPr>
        <w:spacing w:after="0" w:line="240" w:lineRule="auto"/>
        <w:jc w:val="both"/>
        <w:rPr>
          <w:rFonts w:eastAsia="Calibri"/>
        </w:rPr>
      </w:pPr>
      <w:r>
        <w:t>(2) Cuirfear an méid seo a leanas in ionad Roinn 22(2) den Fhoraithne Cur Chun Feidhme:</w:t>
      </w:r>
    </w:p>
    <w:p w14:paraId="084DEC63" w14:textId="77777777" w:rsidR="0018214B" w:rsidRPr="00CF2667" w:rsidRDefault="0018214B" w:rsidP="0018214B">
      <w:pPr>
        <w:spacing w:after="0" w:line="240" w:lineRule="auto"/>
        <w:jc w:val="both"/>
        <w:rPr>
          <w:rFonts w:eastAsia="Calibri"/>
        </w:rPr>
      </w:pPr>
    </w:p>
    <w:p w14:paraId="30723ACD" w14:textId="77777777" w:rsidR="0018214B" w:rsidRPr="00CF2667" w:rsidRDefault="0018214B" w:rsidP="0018214B">
      <w:pPr>
        <w:spacing w:after="0" w:line="240" w:lineRule="auto"/>
        <w:jc w:val="both"/>
      </w:pPr>
      <w:r>
        <w:t>‘(2) I gcás ilchlárúcháin de réir mhír (1)</w:t>
      </w:r>
      <w:r>
        <w:rPr>
          <w:i/>
        </w:rPr>
        <w:t>(c)</w:t>
      </w:r>
      <w:r>
        <w:t xml:space="preserve">, déanfar bearta chun cothromaíocht an imreora a dhúnadh go cinntitheach, a shocrú agus a eisiamh ón gcluiche a chur i bhfeidhm ar an imreoir </w:t>
      </w:r>
      <w:r>
        <w:lastRenderedPageBreak/>
        <w:t>agus ar chothromaíocht an imreora lena mbaineann sa chaoi nach mbeidh ach cothromaíocht imreoir amháin ar fáil le bheith rannpháirteach i gcluiche.’</w:t>
      </w:r>
    </w:p>
    <w:p w14:paraId="2946A417" w14:textId="77777777" w:rsidR="006E7FC5" w:rsidRPr="00CF2667" w:rsidRDefault="006E7FC5" w:rsidP="006E7FC5">
      <w:pPr>
        <w:spacing w:after="0" w:line="240" w:lineRule="auto"/>
        <w:jc w:val="both"/>
        <w:rPr>
          <w:rFonts w:eastAsia="Calibri"/>
        </w:rPr>
      </w:pPr>
    </w:p>
    <w:p w14:paraId="1611C320" w14:textId="77777777" w:rsidR="005F30D0" w:rsidRPr="00CF2667" w:rsidRDefault="005F30D0" w:rsidP="006E7FC5">
      <w:pPr>
        <w:spacing w:after="0" w:line="240" w:lineRule="auto"/>
        <w:jc w:val="both"/>
        <w:rPr>
          <w:rFonts w:eastAsia="Calibri"/>
        </w:rPr>
      </w:pPr>
      <w:r>
        <w:t>(3) Cuirfear an méid seo a leanas in ionad Roinn 22(4) den Fhoraithne Cur Chun Feidhme:</w:t>
      </w:r>
    </w:p>
    <w:p w14:paraId="42776204" w14:textId="77777777" w:rsidR="005F30D0" w:rsidRPr="00CF2667" w:rsidRDefault="005F30D0" w:rsidP="006E7FC5">
      <w:pPr>
        <w:spacing w:after="0" w:line="240" w:lineRule="auto"/>
        <w:jc w:val="both"/>
        <w:rPr>
          <w:rFonts w:eastAsia="Calibri"/>
        </w:rPr>
      </w:pPr>
    </w:p>
    <w:p w14:paraId="78F8008D" w14:textId="431D0808" w:rsidR="00CE4959" w:rsidRPr="00CF2667" w:rsidRDefault="005F30D0" w:rsidP="00CE4959">
      <w:pPr>
        <w:spacing w:after="0" w:line="240" w:lineRule="auto"/>
        <w:jc w:val="both"/>
      </w:pPr>
      <w:r>
        <w:t>‘(4) Má fhaigheann an t-oibreoir amach nach bhfuil an clárú nó an taifead iomchuí ar chúiseanna eile lasmuigh den raon feidhme atá sainithe in (1), go háirithe mar gheall ar mhoill ar athruithe ar shonraí a thuairisciú, déanfaidh an t-eagraí bearta chun aghaidh a thabhairt ar na neamhrialtachtaí. Más gá, iarrfaidh an t-oibreoir ar an imreoir rannchuidiú le deireadh a chur leis an neamhrialtacht agus féadfaidh sé an t-imreoir ar fad a ndéantar difear dó a chur ar fionraí go dtí go gcuirfear deireadh leis an neamhrialtacht. Mura féidir deireadh a chur leis an neamhrialtacht laistigh de 30 lá agus, dá bhrí sin, nach féidir cluiche i gcomhréir leis an dlí a áirithiú, gníomhóidh an t-oibreoir chun iarmhéideanna uile an imreora ábhartha a dhúnadh agus chun an t-imreoir a dhícháiliú.’</w:t>
      </w:r>
    </w:p>
    <w:p w14:paraId="5D3A1DE7" w14:textId="77777777" w:rsidR="0018214B" w:rsidRPr="00CF2667" w:rsidRDefault="0018214B" w:rsidP="006E7FC5">
      <w:pPr>
        <w:spacing w:after="0" w:line="240" w:lineRule="auto"/>
        <w:jc w:val="both"/>
      </w:pPr>
    </w:p>
    <w:p w14:paraId="199A0A5A" w14:textId="77777777" w:rsidR="009817D0" w:rsidRPr="00CF2667" w:rsidRDefault="009817D0" w:rsidP="009E31C9">
      <w:pPr>
        <w:spacing w:after="0" w:line="240" w:lineRule="auto"/>
        <w:jc w:val="center"/>
        <w:rPr>
          <w:b/>
        </w:rPr>
      </w:pPr>
    </w:p>
    <w:p w14:paraId="53A4CF1C" w14:textId="38586C46" w:rsidR="00CE4959" w:rsidRPr="00CF2667" w:rsidRDefault="00CE4959" w:rsidP="006E7FC5">
      <w:pPr>
        <w:spacing w:after="0" w:line="240" w:lineRule="auto"/>
        <w:jc w:val="both"/>
        <w:rPr>
          <w:rFonts w:eastAsia="Calibri"/>
        </w:rPr>
      </w:pPr>
    </w:p>
    <w:p w14:paraId="74AA5137" w14:textId="333E8DF3" w:rsidR="0018214B" w:rsidRPr="00CF2667" w:rsidRDefault="0053730E" w:rsidP="00CA1F6D">
      <w:pPr>
        <w:spacing w:after="0" w:line="240" w:lineRule="auto"/>
        <w:jc w:val="center"/>
        <w:rPr>
          <w:rFonts w:eastAsia="Calibri"/>
          <w:b/>
        </w:rPr>
      </w:pPr>
      <w:r>
        <w:rPr>
          <w:b/>
        </w:rPr>
        <w:t>Roinn 6</w:t>
      </w:r>
    </w:p>
    <w:p w14:paraId="44FAA856" w14:textId="77777777" w:rsidR="00CA1F6D" w:rsidRPr="00CF2667" w:rsidRDefault="00CA1F6D" w:rsidP="006E7FC5">
      <w:pPr>
        <w:spacing w:after="0" w:line="240" w:lineRule="auto"/>
        <w:jc w:val="both"/>
        <w:rPr>
          <w:rFonts w:eastAsia="Calibri"/>
        </w:rPr>
      </w:pPr>
    </w:p>
    <w:p w14:paraId="5F18C0BC" w14:textId="77777777" w:rsidR="00CA1F6D" w:rsidRPr="00CF2667" w:rsidRDefault="0099589C" w:rsidP="00CA1F6D">
      <w:pPr>
        <w:spacing w:after="0" w:line="240" w:lineRule="auto"/>
        <w:jc w:val="both"/>
      </w:pPr>
      <w:r>
        <w:t>(1) Cuirfear an méid seo a leanas in ionad Roinn 25(1)-(4) den Fhoraithne Cur Chun Feidhme:</w:t>
      </w:r>
    </w:p>
    <w:p w14:paraId="53A6CFCD" w14:textId="77777777" w:rsidR="00CA1F6D" w:rsidRPr="00CF2667" w:rsidRDefault="00CA1F6D" w:rsidP="00CA1F6D">
      <w:pPr>
        <w:spacing w:after="0" w:line="240" w:lineRule="auto"/>
        <w:jc w:val="both"/>
      </w:pPr>
    </w:p>
    <w:p w14:paraId="417ECDB4" w14:textId="77777777" w:rsidR="00CA1F6D" w:rsidRDefault="00CA1F6D" w:rsidP="00CA1F6D">
      <w:pPr>
        <w:spacing w:after="0" w:line="240" w:lineRule="auto"/>
        <w:jc w:val="both"/>
      </w:pPr>
      <w:r>
        <w:t xml:space="preserve">‘(1) Má tá an t-oibreoir ceadúnaithe chun cluichí seans a eagrú seachas cearrbhachas iargúlta, féadfar socrú agus taifeadadh geallta, buaite agus idirbhearta eile a bhaineann le cearrbhachas a choinneáil don imreoir ar iarmhéideanna imreoir coiteann amháin nó níos mó i ndáil le gach cluichí a mbíonn tionchar ag cothromaíocht imreoir áirithe orthu. </w:t>
      </w:r>
    </w:p>
    <w:p w14:paraId="489F5722" w14:textId="77777777" w:rsidR="00BE630A" w:rsidRPr="00CF2667" w:rsidRDefault="00BE630A" w:rsidP="00CA1F6D">
      <w:pPr>
        <w:spacing w:after="0" w:line="240" w:lineRule="auto"/>
        <w:jc w:val="both"/>
        <w:rPr>
          <w:strike/>
        </w:rPr>
      </w:pPr>
    </w:p>
    <w:p w14:paraId="38A65140" w14:textId="77777777" w:rsidR="00CA1F6D" w:rsidRDefault="00CA1F6D" w:rsidP="00CA1F6D">
      <w:pPr>
        <w:spacing w:after="0" w:line="240" w:lineRule="auto"/>
        <w:jc w:val="both"/>
      </w:pPr>
      <w:r>
        <w:t>(2) Féadfaidh an t-eagraí cothromaíocht an imreora choitinn a bhunú trí úsáid a bhaint as cothromaíocht an imreora atá i bhfeidhm cheana féin ag an eagraí nó ar leithligh uaidh.</w:t>
      </w:r>
    </w:p>
    <w:p w14:paraId="23DE9B81" w14:textId="77777777" w:rsidR="00BE630A" w:rsidRPr="00CF2667" w:rsidRDefault="00BE630A" w:rsidP="00CA1F6D">
      <w:pPr>
        <w:spacing w:after="0" w:line="240" w:lineRule="auto"/>
        <w:jc w:val="both"/>
      </w:pPr>
    </w:p>
    <w:p w14:paraId="5F87DC70" w14:textId="01D878ED" w:rsidR="00CA1F6D" w:rsidRDefault="00CA1F6D" w:rsidP="00CA1F6D">
      <w:pPr>
        <w:spacing w:after="0" w:line="240" w:lineRule="auto"/>
        <w:jc w:val="both"/>
      </w:pPr>
      <w:r>
        <w:t>(3) Má bhunaítear cothromaíocht imreoir coiteann tríd an iarmhéid atá ann cheana a úsáid nó ar leithligh uaidh, féadfaidh rannpháirtíocht an imreora sa chianchearrbhachas tarlú a luaithe a chomhlíonfar na forálacha lena rialaítear cianchearrbhachas.</w:t>
      </w:r>
    </w:p>
    <w:p w14:paraId="2E0069C6" w14:textId="77777777" w:rsidR="00BE630A" w:rsidRPr="00CF2667" w:rsidRDefault="00BE630A" w:rsidP="00CA1F6D">
      <w:pPr>
        <w:spacing w:after="0" w:line="240" w:lineRule="auto"/>
        <w:jc w:val="both"/>
      </w:pPr>
    </w:p>
    <w:p w14:paraId="7A20ACDF" w14:textId="77777777" w:rsidR="00CA1F6D" w:rsidRPr="00CF2667" w:rsidRDefault="00CA1F6D" w:rsidP="00CA1F6D">
      <w:pPr>
        <w:spacing w:after="0" w:line="240" w:lineRule="auto"/>
        <w:jc w:val="both"/>
      </w:pPr>
      <w:r>
        <w:t>(4) Ní mór an corrlach íocaíochta amach d’iarmhéideanna imreoir coiteann de réir Roinn 29/H(5) den Ghníomh Cearrbhachais a chinneadh ar bhealach lena n-áiritheofar íocaíochtaí amach sna cluichí uile a ndéantar difear dóibh.’</w:t>
      </w:r>
    </w:p>
    <w:p w14:paraId="5294CE56" w14:textId="77777777" w:rsidR="0099589C" w:rsidRPr="00CF2667" w:rsidRDefault="0099589C" w:rsidP="00CA1F6D">
      <w:pPr>
        <w:spacing w:after="0" w:line="240" w:lineRule="auto"/>
        <w:jc w:val="both"/>
      </w:pPr>
    </w:p>
    <w:p w14:paraId="31BCA5AA" w14:textId="68A3C0CF" w:rsidR="0099589C" w:rsidRPr="00CF2667" w:rsidRDefault="0099589C" w:rsidP="00CA1F6D">
      <w:pPr>
        <w:spacing w:after="0" w:line="240" w:lineRule="auto"/>
        <w:jc w:val="both"/>
      </w:pPr>
      <w:r>
        <w:t>(2) Cuirfear an méid seo a leanas in ionad Roinn 25(6) agus (7) den Fhoraithne Cur Chun Feidhme:</w:t>
      </w:r>
    </w:p>
    <w:p w14:paraId="2D2C3E3B" w14:textId="77777777" w:rsidR="0099589C" w:rsidRPr="00CF2667" w:rsidRDefault="0099589C" w:rsidP="00CA1F6D">
      <w:pPr>
        <w:spacing w:after="0" w:line="240" w:lineRule="auto"/>
        <w:jc w:val="both"/>
      </w:pPr>
    </w:p>
    <w:p w14:paraId="155C1E40" w14:textId="77777777" w:rsidR="00CA1F6D" w:rsidRDefault="0099589C" w:rsidP="00CA1F6D">
      <w:pPr>
        <w:spacing w:after="0" w:line="240" w:lineRule="auto"/>
        <w:jc w:val="both"/>
      </w:pPr>
      <w:r>
        <w:t>‘(6) Le linn na tréimhse fionraí ceadúnais le haghaidh cluiche, aistreoidh an t-oibreoir chuig an imreoir coiteann aon táillí, creidmheasanna a bhaineann le socrú idirbheart cearrbhachais i gcluichí seachas an cluiche lena mbaineann, nach mór a bheith ina chuid den chomhar-iarmhéid, agus déanfaidh sé íocaíochtaí i ndáil leis na hidirbhearta cearrbhachais sin. I gcomhthéacs an chluiche a ndéanann fionraí an cheadúnais difear dó, ní aistreoidh an t-oibreoir ach muirir agus creidmheasanna i leith cluichí roimh dháta na fionraí agus ní fhéadfaidh sé íocaíochtaí a dhéanamh ach amháin maidir le hidirbhearta cearrbhachais a shocrú roimh an dáta fionraí.</w:t>
      </w:r>
    </w:p>
    <w:p w14:paraId="60E69676" w14:textId="77777777" w:rsidR="00BE630A" w:rsidRPr="00CF2667" w:rsidRDefault="00BE630A" w:rsidP="00CA1F6D">
      <w:pPr>
        <w:spacing w:after="0" w:line="240" w:lineRule="auto"/>
        <w:jc w:val="both"/>
      </w:pPr>
    </w:p>
    <w:p w14:paraId="0A01354D" w14:textId="77777777" w:rsidR="00CA1F6D" w:rsidRPr="00CF2667" w:rsidRDefault="00CA1F6D" w:rsidP="00CA1F6D">
      <w:pPr>
        <w:spacing w:after="0" w:line="240" w:lineRule="auto"/>
        <w:jc w:val="both"/>
      </w:pPr>
      <w:r>
        <w:lastRenderedPageBreak/>
        <w:t>(7) Measfar fionraí nó foirceannadh chothromaíocht an imreora choitinn ag an oibreoir mar bheart a dhéanann difear do na cluichí go léir. I gcás toirmeasc faoi Fhoraithne SZTFH maidir leis na rialacha mionsonraithe lena rialaítear eagrú freagrach cluichí, sonróidh an t-oibreoir sa phlean cluiche agus sna rialacha rannpháirtíochta, i gcás sárú tromchúiseach conartha, an scoirfidh cothromaíocht an imreora agus an fhéidearthacht rochtana ar na cluichí de bheith ann do na cluichí go léir lena mbaineann.’</w:t>
      </w:r>
    </w:p>
    <w:p w14:paraId="6B66795A" w14:textId="77777777" w:rsidR="00672BEF" w:rsidRPr="00CF2667" w:rsidRDefault="00672BEF" w:rsidP="00CA1F6D">
      <w:pPr>
        <w:spacing w:after="0" w:line="240" w:lineRule="auto"/>
        <w:jc w:val="both"/>
      </w:pPr>
    </w:p>
    <w:p w14:paraId="554A5C3E" w14:textId="6D28C58D" w:rsidR="00672BEF" w:rsidRPr="00CF2667" w:rsidRDefault="0053730E" w:rsidP="008902D0">
      <w:pPr>
        <w:keepNext/>
        <w:keepLines/>
        <w:spacing w:after="0" w:line="240" w:lineRule="auto"/>
        <w:jc w:val="center"/>
        <w:rPr>
          <w:rFonts w:eastAsia="Calibri"/>
          <w:b/>
        </w:rPr>
      </w:pPr>
      <w:r>
        <w:rPr>
          <w:b/>
        </w:rPr>
        <w:t>Roinn 7</w:t>
      </w:r>
    </w:p>
    <w:p w14:paraId="20C19BC1" w14:textId="77777777" w:rsidR="005A6F45" w:rsidRPr="00CF2667" w:rsidRDefault="005A6F45" w:rsidP="008902D0">
      <w:pPr>
        <w:keepNext/>
        <w:keepLines/>
        <w:spacing w:after="0"/>
        <w:rPr>
          <w:b/>
        </w:rPr>
      </w:pPr>
    </w:p>
    <w:p w14:paraId="3E80FDCD" w14:textId="502FA8D5" w:rsidR="005A6F45" w:rsidRPr="00CF2667" w:rsidRDefault="005A6F45" w:rsidP="00D007AF">
      <w:pPr>
        <w:spacing w:after="0"/>
        <w:jc w:val="both"/>
      </w:pPr>
      <w:r>
        <w:t>Cuirfear an méid seo a leanas in ionad Roinn 26(2)-(3) den Fhoraithne Cur Chun Feidhme:</w:t>
      </w:r>
    </w:p>
    <w:p w14:paraId="75956E45" w14:textId="77777777" w:rsidR="005A6F45" w:rsidRPr="00CF2667" w:rsidRDefault="005A6F45" w:rsidP="005A6F45">
      <w:pPr>
        <w:spacing w:after="0" w:line="240" w:lineRule="auto"/>
        <w:jc w:val="both"/>
      </w:pPr>
    </w:p>
    <w:p w14:paraId="00B4543E" w14:textId="4F6CE1E6" w:rsidR="005A6F45" w:rsidRDefault="005A6F45" w:rsidP="005A6F45">
      <w:pPr>
        <w:spacing w:after="0" w:line="240" w:lineRule="auto"/>
        <w:jc w:val="both"/>
      </w:pPr>
      <w:r>
        <w:t>‘(2) Féadfaidh an t-oibreoir, ar chúiseanna eile a shonraítear sa phlean cluiche agus sna rialacha rannpháirtíochta, go háirithe i gcás ina sárófar na rialacha rannpháirtíochta sa chluiche, cothromaíocht an imreora a bhaineann leis an gcluiche sin a chur ar fionraí nó fiú iarmhéid gach uile imreoir den imreoir.</w:t>
      </w:r>
    </w:p>
    <w:p w14:paraId="09271C4A" w14:textId="77777777" w:rsidR="00BE630A" w:rsidRPr="00CF2667" w:rsidRDefault="00BE630A" w:rsidP="005A6F45">
      <w:pPr>
        <w:spacing w:after="0" w:line="240" w:lineRule="auto"/>
        <w:jc w:val="both"/>
      </w:pPr>
    </w:p>
    <w:p w14:paraId="211075B7" w14:textId="77777777" w:rsidR="005A6F45" w:rsidRPr="00CF2667" w:rsidRDefault="005A6F45" w:rsidP="005A6F45">
      <w:pPr>
        <w:spacing w:after="0" w:line="240" w:lineRule="auto"/>
        <w:jc w:val="both"/>
      </w:pPr>
      <w:r>
        <w:t>(3) Cuirfidh an t-oibreoir an t-imreoir ar an eolas láithreach, tríd an bpost leictreonach, faoin bhfíric, faoin dáta agus faoin gcúis a cuireadh cothromaíocht nó iarmhéideanna an imreora ar fionraí nó go ndearnadh an fhionraí a fhoirceannadh agus an dáta a cuireadh deireadh leis an bhfionraí.’</w:t>
      </w:r>
    </w:p>
    <w:p w14:paraId="0F80A0E3" w14:textId="77777777" w:rsidR="00672BEF" w:rsidRPr="00CF2667" w:rsidRDefault="00672BEF" w:rsidP="00CA1F6D">
      <w:pPr>
        <w:spacing w:after="0" w:line="240" w:lineRule="auto"/>
        <w:jc w:val="both"/>
      </w:pPr>
    </w:p>
    <w:p w14:paraId="54A8D44E" w14:textId="1F230B53" w:rsidR="00CA1F6D" w:rsidRPr="00CF2667" w:rsidRDefault="006A2019" w:rsidP="00883ECB">
      <w:pPr>
        <w:spacing w:after="0" w:line="240" w:lineRule="auto"/>
        <w:jc w:val="center"/>
        <w:rPr>
          <w:rFonts w:eastAsia="Calibri"/>
          <w:b/>
        </w:rPr>
      </w:pPr>
      <w:r>
        <w:rPr>
          <w:b/>
        </w:rPr>
        <w:t>Roinn 8</w:t>
      </w:r>
    </w:p>
    <w:p w14:paraId="6BE5A07E" w14:textId="77777777" w:rsidR="00CA1F6D" w:rsidRPr="00CF2667" w:rsidRDefault="00CA1F6D" w:rsidP="006E7FC5">
      <w:pPr>
        <w:spacing w:after="0" w:line="240" w:lineRule="auto"/>
        <w:jc w:val="both"/>
        <w:rPr>
          <w:rFonts w:eastAsia="Calibri"/>
        </w:rPr>
      </w:pPr>
    </w:p>
    <w:p w14:paraId="634AF65C" w14:textId="77777777" w:rsidR="00883ECB" w:rsidRPr="00CF2667" w:rsidRDefault="00883ECB" w:rsidP="00883ECB">
      <w:pPr>
        <w:spacing w:after="0" w:line="240" w:lineRule="auto"/>
        <w:jc w:val="both"/>
      </w:pPr>
      <w:r>
        <w:t>Cuirfear an méid seo a leanas in ionad Roinn 29(3) den Fhoraithne Cur Chun Feidhme:</w:t>
      </w:r>
    </w:p>
    <w:p w14:paraId="4DDA198A" w14:textId="77777777" w:rsidR="00883ECB" w:rsidRPr="00CF2667" w:rsidRDefault="00883ECB" w:rsidP="00883ECB">
      <w:pPr>
        <w:spacing w:after="0" w:line="240" w:lineRule="auto"/>
        <w:jc w:val="both"/>
      </w:pPr>
    </w:p>
    <w:p w14:paraId="43128F1C" w14:textId="71C5936B" w:rsidR="00883ECB" w:rsidRPr="00CF2667" w:rsidRDefault="00883ECB" w:rsidP="00883ECB">
      <w:pPr>
        <w:spacing w:after="0" w:line="240" w:lineRule="auto"/>
        <w:jc w:val="both"/>
      </w:pPr>
      <w:r>
        <w:t>‘(3) I gcás iarmhéid imreora choitinn, féadfaidh an t-imreoir an bónas bronntanais agus an tairiscint speisialta bónais a úsáid mar gheallta chun críocha cearrbhachais i gcothromaíocht an imreora sin, ar choinníoll go seasann an t-oibreoir dó ar an mbealach céanna mar a shainmhínítear sna pleananna cluiche ceadaithe.’</w:t>
      </w:r>
    </w:p>
    <w:p w14:paraId="3A09060E" w14:textId="77777777" w:rsidR="00883ECB" w:rsidRPr="00CF2667" w:rsidRDefault="00883ECB" w:rsidP="006E7FC5">
      <w:pPr>
        <w:spacing w:after="0" w:line="240" w:lineRule="auto"/>
        <w:jc w:val="both"/>
        <w:rPr>
          <w:rFonts w:eastAsia="Calibri"/>
        </w:rPr>
      </w:pPr>
    </w:p>
    <w:p w14:paraId="073A1B9C" w14:textId="1E762FAB" w:rsidR="00883ECB" w:rsidRPr="00CF2667" w:rsidRDefault="006A2019" w:rsidP="00BE416C">
      <w:pPr>
        <w:spacing w:after="0" w:line="240" w:lineRule="auto"/>
        <w:jc w:val="center"/>
        <w:rPr>
          <w:rFonts w:eastAsia="Calibri"/>
          <w:b/>
        </w:rPr>
      </w:pPr>
      <w:r>
        <w:rPr>
          <w:b/>
        </w:rPr>
        <w:t>Roinn 9</w:t>
      </w:r>
    </w:p>
    <w:p w14:paraId="5B41DEF3" w14:textId="77777777" w:rsidR="00BE416C" w:rsidRPr="00CF2667" w:rsidRDefault="00BE416C" w:rsidP="00BE416C">
      <w:pPr>
        <w:spacing w:after="0" w:line="240" w:lineRule="auto"/>
        <w:jc w:val="both"/>
        <w:rPr>
          <w:rFonts w:eastAsia="Calibri"/>
          <w:b/>
        </w:rPr>
      </w:pPr>
    </w:p>
    <w:p w14:paraId="091301B9" w14:textId="77777777" w:rsidR="00BE416C" w:rsidRPr="00CF2667" w:rsidRDefault="00BE416C" w:rsidP="00BE416C">
      <w:pPr>
        <w:spacing w:after="0" w:line="240" w:lineRule="auto"/>
        <w:jc w:val="both"/>
      </w:pPr>
      <w:r>
        <w:t>Cuirfear an méid seo a leanas in ionad Roinn 32(2) den Fhoraithne Cur Chun Feidhme:</w:t>
      </w:r>
    </w:p>
    <w:p w14:paraId="3935C9D5" w14:textId="77777777" w:rsidR="00BE416C" w:rsidRPr="00CF2667" w:rsidRDefault="00BE416C" w:rsidP="00BE416C">
      <w:pPr>
        <w:spacing w:after="0" w:line="240" w:lineRule="auto"/>
        <w:jc w:val="both"/>
      </w:pPr>
    </w:p>
    <w:p w14:paraId="5F8CCFFC" w14:textId="77777777" w:rsidR="00BE416C" w:rsidRPr="00CF2667" w:rsidRDefault="00BE416C" w:rsidP="00BE416C">
      <w:pPr>
        <w:spacing w:after="0" w:line="240" w:lineRule="auto"/>
        <w:jc w:val="both"/>
      </w:pPr>
      <w:r>
        <w:t>‘(2) I gcás il-iarmhéideanna imreora choitinn a luaitear i Roinn 25(1), soláthrófar na sonraí a léirítear in Iarscríbhinn 3 clásal I</w:t>
      </w:r>
      <w:r>
        <w:rPr>
          <w:i/>
        </w:rPr>
        <w:t>(a)</w:t>
      </w:r>
      <w:r>
        <w:t>-</w:t>
      </w:r>
      <w:r>
        <w:rPr>
          <w:i/>
        </w:rPr>
        <w:t>(d)</w:t>
      </w:r>
      <w:r>
        <w:t xml:space="preserve">, </w:t>
      </w:r>
      <w:r>
        <w:rPr>
          <w:i/>
        </w:rPr>
        <w:t>(i)</w:t>
      </w:r>
      <w:r>
        <w:t>-</w:t>
      </w:r>
      <w:r>
        <w:rPr>
          <w:i/>
        </w:rPr>
        <w:t>(l)</w:t>
      </w:r>
      <w:r>
        <w:t xml:space="preserve"> agus </w:t>
      </w:r>
      <w:r>
        <w:rPr>
          <w:i/>
        </w:rPr>
        <w:t>(n)</w:t>
      </w:r>
      <w:r>
        <w:t xml:space="preserve"> i ndáil leis an gcomhiarmhéid imreora lena mbaineann.’</w:t>
      </w:r>
    </w:p>
    <w:p w14:paraId="3C2DC92C" w14:textId="77777777" w:rsidR="00EF1F0E" w:rsidRPr="00CF2667" w:rsidRDefault="00EF1F0E" w:rsidP="00D831E3">
      <w:pPr>
        <w:spacing w:after="0" w:line="240" w:lineRule="auto"/>
        <w:jc w:val="center"/>
        <w:rPr>
          <w:rFonts w:eastAsia="Calibri"/>
          <w:b/>
        </w:rPr>
      </w:pPr>
    </w:p>
    <w:p w14:paraId="3368B22F" w14:textId="77777777" w:rsidR="00CC2AA8" w:rsidRPr="00CF2667" w:rsidRDefault="00CC2AA8" w:rsidP="009B4363">
      <w:pPr>
        <w:spacing w:after="0"/>
        <w:jc w:val="both"/>
      </w:pPr>
    </w:p>
    <w:p w14:paraId="5288889E" w14:textId="005DDDB9" w:rsidR="00BE416C" w:rsidRPr="00CF2667" w:rsidRDefault="00D831E3" w:rsidP="00BE416C">
      <w:pPr>
        <w:spacing w:after="0" w:line="240" w:lineRule="auto"/>
        <w:jc w:val="center"/>
        <w:rPr>
          <w:rFonts w:eastAsia="Calibri"/>
          <w:b/>
        </w:rPr>
      </w:pPr>
      <w:r>
        <w:rPr>
          <w:b/>
        </w:rPr>
        <w:t>Roinn 10</w:t>
      </w:r>
    </w:p>
    <w:p w14:paraId="5AEE038B" w14:textId="77777777" w:rsidR="00883ECB" w:rsidRPr="00CF2667" w:rsidRDefault="00883ECB" w:rsidP="006E7FC5">
      <w:pPr>
        <w:spacing w:after="0" w:line="240" w:lineRule="auto"/>
        <w:jc w:val="both"/>
        <w:rPr>
          <w:rFonts w:eastAsia="Calibri"/>
        </w:rPr>
      </w:pPr>
    </w:p>
    <w:p w14:paraId="780AC5C8" w14:textId="77777777" w:rsidR="00BE416C" w:rsidRDefault="00BE416C" w:rsidP="00BE416C">
      <w:r>
        <w:t>Cuirfear an méid seo a leanas in ionad Roinn 76(5) den Fhoraithne Cur Chun Feidhme:</w:t>
      </w:r>
    </w:p>
    <w:p w14:paraId="7CCD7B57" w14:textId="4704AFFB" w:rsidR="00D87DB3" w:rsidRPr="00B404C3" w:rsidRDefault="00D87DB3" w:rsidP="00BE416C">
      <w:pPr>
        <w:rPr>
          <w:i/>
        </w:rPr>
      </w:pPr>
      <w:r>
        <w:rPr>
          <w:i/>
        </w:rPr>
        <w:t>Chun críocha an Rialacháin seo:</w:t>
      </w:r>
    </w:p>
    <w:p w14:paraId="50528523" w14:textId="77777777" w:rsidR="00BE416C" w:rsidRPr="00CF2667" w:rsidRDefault="00BE416C" w:rsidP="00BE416C">
      <w:pPr>
        <w:spacing w:after="0" w:line="240" w:lineRule="auto"/>
        <w:jc w:val="both"/>
      </w:pPr>
      <w:r>
        <w:t xml:space="preserve">'5. </w:t>
      </w:r>
      <w:r>
        <w:rPr>
          <w:i/>
        </w:rPr>
        <w:t>comhchothromaíocht imreora:</w:t>
      </w:r>
      <w:r>
        <w:t xml:space="preserve"> cothromaíocht imreora a choinnítear le hoibreoir (atá údaraithe cineálacha éagsúla cluichí seans a eagrú) chun geallta, buachan agus idirbhearta cearrbhachais eile a bhaineann leis na cluichí atá i gceist a chur san áireamh agus a thaifeadadh.'</w:t>
      </w:r>
    </w:p>
    <w:p w14:paraId="08CA76BF" w14:textId="77777777" w:rsidR="006E7FC5" w:rsidRPr="00CF2667" w:rsidRDefault="006E7FC5" w:rsidP="006E7FC5">
      <w:pPr>
        <w:spacing w:after="0" w:line="240" w:lineRule="auto"/>
        <w:jc w:val="both"/>
        <w:rPr>
          <w:rFonts w:eastAsia="Calibri"/>
        </w:rPr>
      </w:pPr>
    </w:p>
    <w:p w14:paraId="1A64D24D" w14:textId="6112EEA4" w:rsidR="004B77C9" w:rsidRPr="00CF2667" w:rsidRDefault="004B77C9" w:rsidP="006E7FC5">
      <w:pPr>
        <w:spacing w:after="0" w:line="240" w:lineRule="auto"/>
        <w:jc w:val="both"/>
        <w:rPr>
          <w:rFonts w:eastAsia="Calibri"/>
        </w:rPr>
      </w:pPr>
    </w:p>
    <w:p w14:paraId="28E48A86" w14:textId="77777777" w:rsidR="00024F51" w:rsidRPr="00CF2667" w:rsidRDefault="00024F51" w:rsidP="00D851ED">
      <w:pPr>
        <w:spacing w:after="0" w:line="240" w:lineRule="auto"/>
        <w:jc w:val="center"/>
        <w:rPr>
          <w:rFonts w:eastAsia="Calibri"/>
          <w:b/>
        </w:rPr>
      </w:pPr>
    </w:p>
    <w:p w14:paraId="62A2F325" w14:textId="299A9708" w:rsidR="00024F51" w:rsidRDefault="00B8585F" w:rsidP="00D851ED">
      <w:pPr>
        <w:spacing w:after="0" w:line="240" w:lineRule="auto"/>
        <w:jc w:val="center"/>
        <w:rPr>
          <w:rFonts w:eastAsia="Calibri"/>
          <w:b/>
        </w:rPr>
      </w:pPr>
      <w:r>
        <w:rPr>
          <w:b/>
        </w:rPr>
        <w:lastRenderedPageBreak/>
        <w:t>Roinn 11</w:t>
      </w:r>
    </w:p>
    <w:p w14:paraId="2AA0E041" w14:textId="77777777" w:rsidR="00B8585F" w:rsidRDefault="00B8585F" w:rsidP="00D851ED">
      <w:pPr>
        <w:spacing w:after="0" w:line="240" w:lineRule="auto"/>
        <w:jc w:val="center"/>
        <w:rPr>
          <w:rFonts w:eastAsia="Calibri"/>
          <w:b/>
        </w:rPr>
      </w:pPr>
    </w:p>
    <w:p w14:paraId="284227C6" w14:textId="77777777" w:rsidR="00B8585F" w:rsidRDefault="00B8585F" w:rsidP="00B8585F">
      <w:pPr>
        <w:spacing w:after="0" w:line="240" w:lineRule="auto"/>
        <w:jc w:val="both"/>
        <w:rPr>
          <w:rFonts w:eastAsia="Calibri"/>
        </w:rPr>
      </w:pPr>
      <w:r>
        <w:t>Cuirtear Roinn 79 nua le Caibidil XI den Fhoraithne Cur Chun Feidhme, a léifear mar a leanas:</w:t>
      </w:r>
    </w:p>
    <w:p w14:paraId="0CFCA622" w14:textId="77777777" w:rsidR="00B8585F" w:rsidRDefault="00B8585F" w:rsidP="00B8585F">
      <w:pPr>
        <w:spacing w:after="0" w:line="240" w:lineRule="auto"/>
        <w:jc w:val="both"/>
        <w:rPr>
          <w:rFonts w:eastAsia="Calibri"/>
          <w:b/>
        </w:rPr>
      </w:pPr>
    </w:p>
    <w:p w14:paraId="537E199A" w14:textId="5CD65CEE" w:rsidR="00B8585F" w:rsidRPr="003B294C" w:rsidRDefault="00B8585F" w:rsidP="00B8585F">
      <w:pPr>
        <w:spacing w:after="0" w:line="240" w:lineRule="auto"/>
        <w:jc w:val="both"/>
        <w:rPr>
          <w:rFonts w:eastAsia="Calibri"/>
        </w:rPr>
      </w:pPr>
      <w:r>
        <w:t>‘Roinn 79 Na dréachtfhorálacha den rialachán seo a bunaíodh le Foraithne SZTFH Uimh./2023 (.) lena leasaítear Foraithne SZTFH Uimh. 20/2021 29 Deireadh Fómhair 2021 maidir le cur chun feidhme cúraimí a bhaineann le húdarú, bainistiú agus rialú cluichí seansa áirithe, eadhon Roinn 2/A, Roinn 13(3), (10) agus (11), ceannteideal 7/A, Roinn 16/F, Roinn 22(1), Roinn 22(2) agus (4), Roinn 25(1)-(4), (6) agus (7), tugadh fógra roimh ré do Roinn 26(2) agus (3), Roinn 29(3), Roinn 32(2), Roinn 76(5) agus Iarscríbhinn 2 clásal C(1), i gcomhréir le hAirteagal 5 go hAirteagal 7 de Threoir (AE) 2015/1535 ó Pharlaimint na hEorpa agus ón gComhairle 9 Meán Fómhair 2015 lena leagtar síos nós imeachta chun faisnéis a sholáthar i réimse na rialachán teicniúil agus na rialacha maidir le seirbhísí na Sochaí Faisnéise.’</w:t>
      </w:r>
    </w:p>
    <w:p w14:paraId="78C7E8FD" w14:textId="77777777" w:rsidR="00B8585F" w:rsidRPr="00CF2667" w:rsidRDefault="00B8585F" w:rsidP="00D851ED">
      <w:pPr>
        <w:spacing w:after="0" w:line="240" w:lineRule="auto"/>
        <w:jc w:val="center"/>
        <w:rPr>
          <w:rFonts w:eastAsia="Calibri"/>
          <w:b/>
        </w:rPr>
      </w:pPr>
    </w:p>
    <w:p w14:paraId="2056C2B0" w14:textId="77777777" w:rsidR="00024F51" w:rsidRPr="00CF2667" w:rsidRDefault="00024F51" w:rsidP="00D851ED">
      <w:pPr>
        <w:spacing w:after="0" w:line="240" w:lineRule="auto"/>
        <w:jc w:val="center"/>
        <w:rPr>
          <w:rFonts w:eastAsia="Calibri"/>
          <w:b/>
        </w:rPr>
      </w:pPr>
    </w:p>
    <w:p w14:paraId="115BBCEA" w14:textId="2E59E0DF" w:rsidR="00B8585F" w:rsidRPr="00CF2667" w:rsidRDefault="00D831E3" w:rsidP="00B8585F">
      <w:pPr>
        <w:spacing w:after="0" w:line="240" w:lineRule="auto"/>
        <w:jc w:val="center"/>
        <w:rPr>
          <w:rFonts w:eastAsia="Calibri"/>
          <w:b/>
        </w:rPr>
      </w:pPr>
      <w:r>
        <w:rPr>
          <w:b/>
        </w:rPr>
        <w:t>Roinn 12</w:t>
      </w:r>
    </w:p>
    <w:p w14:paraId="7508A6B6" w14:textId="77777777" w:rsidR="006E7FC5" w:rsidRPr="00CF2667" w:rsidRDefault="006E7FC5" w:rsidP="006E7FC5">
      <w:pPr>
        <w:spacing w:after="0" w:line="240" w:lineRule="auto"/>
        <w:jc w:val="both"/>
        <w:rPr>
          <w:rFonts w:eastAsia="Calibri"/>
        </w:rPr>
      </w:pPr>
    </w:p>
    <w:p w14:paraId="67F085A2" w14:textId="718B856E" w:rsidR="00173F50" w:rsidRPr="00CF2667" w:rsidRDefault="00CB7CD2" w:rsidP="006E7FC5">
      <w:pPr>
        <w:spacing w:after="0" w:line="240" w:lineRule="auto"/>
        <w:jc w:val="both"/>
        <w:rPr>
          <w:rFonts w:eastAsia="Calibri"/>
        </w:rPr>
      </w:pPr>
      <w:r>
        <w:t xml:space="preserve">San Fhoraithne Cur Chun Feidhme, </w:t>
      </w:r>
    </w:p>
    <w:p w14:paraId="1AD1CF86" w14:textId="6E94142C" w:rsidR="00A52272" w:rsidRPr="00CF2667" w:rsidRDefault="00F63205" w:rsidP="006E7FC5">
      <w:pPr>
        <w:spacing w:after="0" w:line="240" w:lineRule="auto"/>
        <w:jc w:val="both"/>
        <w:rPr>
          <w:rFonts w:eastAsia="Calibri"/>
        </w:rPr>
      </w:pPr>
      <w:r>
        <w:rPr>
          <w:i/>
        </w:rPr>
        <w:t>(a)</w:t>
      </w:r>
      <w:r>
        <w:t xml:space="preserve"> i Roinn 22(1), cuirtear na focail ‘gach iarmhéid imreora’ in ionad na bhfocal ‘iarmhéid an imreora’,</w:t>
      </w:r>
    </w:p>
    <w:p w14:paraId="0E38F8A0" w14:textId="10A0D320" w:rsidR="00F63205" w:rsidRPr="008D4778" w:rsidRDefault="00F63205" w:rsidP="00F63205">
      <w:pPr>
        <w:spacing w:after="0" w:line="240" w:lineRule="auto"/>
        <w:jc w:val="both"/>
        <w:rPr>
          <w:rFonts w:eastAsia="Calibri"/>
        </w:rPr>
      </w:pPr>
      <w:r>
        <w:rPr>
          <w:i/>
        </w:rPr>
        <w:t>(b)</w:t>
      </w:r>
      <w:r>
        <w:t xml:space="preserve"> in Iarscríbhinn 2, clásal C(1), cuirtear na focail ‘i gcás chothromaíocht an imreora choitinn lena mbaineann’ in ionad na bhfocal ‘i gcás iarmhéid an imreora choitinn’.</w:t>
      </w:r>
    </w:p>
    <w:p w14:paraId="3DF148E3" w14:textId="77777777" w:rsidR="00BF5C0C" w:rsidRPr="00CF2667" w:rsidRDefault="00BF5C0C" w:rsidP="006E7FC5">
      <w:pPr>
        <w:spacing w:after="0" w:line="240" w:lineRule="auto"/>
        <w:jc w:val="both"/>
        <w:rPr>
          <w:rFonts w:eastAsia="Calibri"/>
        </w:rPr>
      </w:pPr>
    </w:p>
    <w:p w14:paraId="264E9D44" w14:textId="77777777" w:rsidR="00CC2AA8" w:rsidRPr="00CF2667" w:rsidRDefault="00CC2AA8" w:rsidP="006E7FC5">
      <w:pPr>
        <w:spacing w:after="0" w:line="240" w:lineRule="auto"/>
        <w:jc w:val="both"/>
        <w:rPr>
          <w:rFonts w:eastAsia="Calibri"/>
        </w:rPr>
      </w:pPr>
    </w:p>
    <w:p w14:paraId="1B62B26B" w14:textId="77777777" w:rsidR="00A52272" w:rsidRPr="00CF2667" w:rsidRDefault="00A52272" w:rsidP="006E7FC5">
      <w:pPr>
        <w:spacing w:after="0" w:line="240" w:lineRule="auto"/>
        <w:jc w:val="both"/>
        <w:rPr>
          <w:rFonts w:eastAsia="Calibri"/>
        </w:rPr>
      </w:pPr>
    </w:p>
    <w:p w14:paraId="34636380" w14:textId="61602DFD" w:rsidR="00421C27" w:rsidRPr="00CF2667" w:rsidRDefault="00D831E3" w:rsidP="00421C27">
      <w:pPr>
        <w:spacing w:after="0" w:line="240" w:lineRule="auto"/>
        <w:jc w:val="center"/>
        <w:rPr>
          <w:rFonts w:eastAsia="Calibri"/>
          <w:b/>
        </w:rPr>
      </w:pPr>
      <w:r>
        <w:rPr>
          <w:b/>
        </w:rPr>
        <w:t>Roinn 13</w:t>
      </w:r>
    </w:p>
    <w:p w14:paraId="63ECFAEB" w14:textId="45A2EF41" w:rsidR="00BF5C0C" w:rsidRPr="00CF2667" w:rsidRDefault="00BF5C0C" w:rsidP="006E7FC5">
      <w:pPr>
        <w:spacing w:after="0" w:line="240" w:lineRule="auto"/>
        <w:jc w:val="both"/>
        <w:rPr>
          <w:rFonts w:eastAsia="Calibri"/>
        </w:rPr>
      </w:pPr>
    </w:p>
    <w:p w14:paraId="1562E5E9" w14:textId="77777777" w:rsidR="00C9669B" w:rsidRPr="00CF2667" w:rsidRDefault="00D851ED" w:rsidP="006E7FC5">
      <w:pPr>
        <w:spacing w:after="0" w:line="240" w:lineRule="auto"/>
        <w:jc w:val="both"/>
        <w:rPr>
          <w:rFonts w:eastAsia="Calibri"/>
        </w:rPr>
      </w:pPr>
      <w:r>
        <w:t>Aisghairtear na forálacha seo a leanas den Fhoraithne Cur Chun Feidhme:</w:t>
      </w:r>
    </w:p>
    <w:p w14:paraId="0E1ADBA3" w14:textId="77777777" w:rsidR="00BF5C0C" w:rsidRPr="00CF2667" w:rsidRDefault="00BF5C0C" w:rsidP="006E7FC5">
      <w:pPr>
        <w:spacing w:after="0" w:line="240" w:lineRule="auto"/>
        <w:jc w:val="both"/>
        <w:rPr>
          <w:rFonts w:eastAsia="Calibri"/>
        </w:rPr>
      </w:pPr>
    </w:p>
    <w:p w14:paraId="3768B456" w14:textId="77777777" w:rsidR="00C9669B" w:rsidRPr="00CF2667" w:rsidRDefault="00C9669B" w:rsidP="006E7FC5">
      <w:pPr>
        <w:spacing w:after="0" w:line="240" w:lineRule="auto"/>
        <w:jc w:val="both"/>
        <w:rPr>
          <w:rFonts w:eastAsia="Calibri"/>
        </w:rPr>
      </w:pPr>
      <w:r>
        <w:rPr>
          <w:i/>
        </w:rPr>
        <w:t>(a)</w:t>
      </w:r>
      <w:r>
        <w:t xml:space="preserve"> Roinn 11(2),</w:t>
      </w:r>
    </w:p>
    <w:p w14:paraId="46DB22F4" w14:textId="77777777" w:rsidR="00D851ED" w:rsidRPr="00CF2667" w:rsidRDefault="00C9669B" w:rsidP="006E7FC5">
      <w:pPr>
        <w:spacing w:after="0" w:line="240" w:lineRule="auto"/>
        <w:jc w:val="both"/>
        <w:rPr>
          <w:rFonts w:eastAsia="Calibri"/>
        </w:rPr>
      </w:pPr>
      <w:r>
        <w:rPr>
          <w:i/>
        </w:rPr>
        <w:t>(b)</w:t>
      </w:r>
      <w:r>
        <w:t xml:space="preserve"> Roinn 76 (1),</w:t>
      </w:r>
    </w:p>
    <w:p w14:paraId="5FD8D111" w14:textId="77777777" w:rsidR="006D702B" w:rsidRPr="00CF2667" w:rsidRDefault="006D702B" w:rsidP="006E7FC5">
      <w:pPr>
        <w:spacing w:after="0" w:line="240" w:lineRule="auto"/>
        <w:jc w:val="both"/>
        <w:rPr>
          <w:rFonts w:eastAsia="Calibri"/>
        </w:rPr>
      </w:pPr>
    </w:p>
    <w:p w14:paraId="1BD95EA2" w14:textId="41D12212" w:rsidR="00BF5C0C" w:rsidRPr="00CF2667" w:rsidRDefault="00BF5C0C" w:rsidP="00CF2667">
      <w:pPr>
        <w:spacing w:after="0" w:line="240" w:lineRule="auto"/>
        <w:jc w:val="center"/>
        <w:rPr>
          <w:rFonts w:eastAsia="Calibri"/>
          <w:b/>
        </w:rPr>
      </w:pPr>
      <w:r>
        <w:rPr>
          <w:b/>
        </w:rPr>
        <w:t>Roinn 14</w:t>
      </w:r>
    </w:p>
    <w:p w14:paraId="7D101E13" w14:textId="173FDD3E" w:rsidR="00BF5C0C" w:rsidRPr="00CF2667" w:rsidRDefault="00BF5C0C" w:rsidP="006E7FC5">
      <w:pPr>
        <w:spacing w:after="0" w:line="240" w:lineRule="auto"/>
        <w:jc w:val="both"/>
        <w:rPr>
          <w:rFonts w:eastAsia="Calibri"/>
        </w:rPr>
      </w:pPr>
    </w:p>
    <w:p w14:paraId="6E5ECC11" w14:textId="5341D3FB" w:rsidR="006D702B" w:rsidRPr="00CF2667" w:rsidRDefault="006D702B" w:rsidP="006E7FC5">
      <w:pPr>
        <w:spacing w:after="0" w:line="240" w:lineRule="auto"/>
        <w:jc w:val="both"/>
        <w:rPr>
          <w:rFonts w:eastAsia="Calibri"/>
        </w:rPr>
      </w:pPr>
      <w:r>
        <w:t>Tagann an Foraithne seo i bhfeidhm an</w:t>
      </w:r>
      <w:r w:rsidR="00944CE1" w:rsidRPr="00CF2667">
        <w:rPr>
          <w:rFonts w:eastAsia="Calibri"/>
        </w:rPr>
        <w:t>…….</w:t>
      </w:r>
      <w:r>
        <w:t>. 2023.</w:t>
      </w:r>
    </w:p>
    <w:p w14:paraId="45C78A1B" w14:textId="77777777" w:rsidR="006D702B" w:rsidRPr="00CF2667" w:rsidRDefault="006D702B" w:rsidP="006E7FC5">
      <w:pPr>
        <w:spacing w:after="0" w:line="240" w:lineRule="auto"/>
        <w:jc w:val="center"/>
        <w:rPr>
          <w:rFonts w:eastAsia="Calibri"/>
          <w:b/>
        </w:rPr>
      </w:pPr>
    </w:p>
    <w:p w14:paraId="130A173C" w14:textId="0F14DA3E" w:rsidR="006E7FC5" w:rsidRPr="00CF2667" w:rsidRDefault="00BF5C0C" w:rsidP="006E7FC5">
      <w:pPr>
        <w:jc w:val="center"/>
        <w:rPr>
          <w:rFonts w:eastAsia="Calibri"/>
          <w:b/>
        </w:rPr>
      </w:pPr>
      <w:r>
        <w:rPr>
          <w:b/>
        </w:rPr>
        <w:t>Roinn 15</w:t>
      </w:r>
    </w:p>
    <w:p w14:paraId="052A2215" w14:textId="79C4090E" w:rsidR="006E7FC5" w:rsidRPr="00CF2667" w:rsidRDefault="00D669AC" w:rsidP="006E7FC5">
      <w:pPr>
        <w:jc w:val="both"/>
        <w:rPr>
          <w:rFonts w:eastAsia="Calibri"/>
        </w:rPr>
      </w:pPr>
      <w:r>
        <w:t>Comhlíonadh an ceanglas maidir le réamhfhógra a thabhairt maidir leis an dréachtfhoraithne sin, mar a leagtar síos in Airteagal 5-7 de Threoir (AE) 2015/1535 ó Pharlaimint na hEorpa agus ón gComhairle 9 Meán Fómhair 2015 lena leagtar síos nós imeachta chun faisnéis a sholáthar i réimse na rialachán teicniúil agus na rialacha maidir le seirbhísí na Sochaí Faisnéise.</w:t>
      </w:r>
    </w:p>
    <w:p w14:paraId="3C6A2578" w14:textId="77777777" w:rsidR="007F34EE" w:rsidRPr="00CF2667" w:rsidRDefault="006E7FC5" w:rsidP="007F34EE">
      <w:pPr>
        <w:jc w:val="center"/>
        <w:rPr>
          <w:rFonts w:eastAsia="Calibri"/>
        </w:rPr>
      </w:pPr>
      <w:r>
        <w:t xml:space="preserve">   </w:t>
      </w:r>
    </w:p>
    <w:p w14:paraId="7E631094" w14:textId="5CD1C4E6" w:rsidR="006E7FC5" w:rsidRPr="00F135C5" w:rsidRDefault="006E7FC5" w:rsidP="00F135C5">
      <w:pPr>
        <w:rPr>
          <w:rFonts w:eastAsia="Calibri"/>
          <w:b/>
          <w:bCs/>
        </w:rPr>
      </w:pPr>
    </w:p>
    <w:sectPr w:rsidR="006E7FC5" w:rsidRPr="00F135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2167"/>
    <w:multiLevelType w:val="hybridMultilevel"/>
    <w:tmpl w:val="0078767E"/>
    <w:lvl w:ilvl="0" w:tplc="A63243D0">
      <w:start w:val="8"/>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747456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C5"/>
    <w:rsid w:val="0001079C"/>
    <w:rsid w:val="00012DCD"/>
    <w:rsid w:val="00024F51"/>
    <w:rsid w:val="00041F7B"/>
    <w:rsid w:val="0009293C"/>
    <w:rsid w:val="000A7196"/>
    <w:rsid w:val="000B3671"/>
    <w:rsid w:val="000E02F3"/>
    <w:rsid w:val="000F2AD6"/>
    <w:rsid w:val="001052C1"/>
    <w:rsid w:val="00127FAE"/>
    <w:rsid w:val="0015599C"/>
    <w:rsid w:val="0016206A"/>
    <w:rsid w:val="00173F50"/>
    <w:rsid w:val="00181F7A"/>
    <w:rsid w:val="0018214B"/>
    <w:rsid w:val="00193CE0"/>
    <w:rsid w:val="0020391A"/>
    <w:rsid w:val="00203C3F"/>
    <w:rsid w:val="00206AC5"/>
    <w:rsid w:val="0021203C"/>
    <w:rsid w:val="00212B64"/>
    <w:rsid w:val="0023017A"/>
    <w:rsid w:val="00234A70"/>
    <w:rsid w:val="002572BC"/>
    <w:rsid w:val="002662A1"/>
    <w:rsid w:val="002A7C40"/>
    <w:rsid w:val="00334106"/>
    <w:rsid w:val="003A5B78"/>
    <w:rsid w:val="003A78F0"/>
    <w:rsid w:val="003D5B7A"/>
    <w:rsid w:val="00421C27"/>
    <w:rsid w:val="00431B0E"/>
    <w:rsid w:val="00444CCE"/>
    <w:rsid w:val="00447FE9"/>
    <w:rsid w:val="00460640"/>
    <w:rsid w:val="0047373B"/>
    <w:rsid w:val="00482857"/>
    <w:rsid w:val="00497BD3"/>
    <w:rsid w:val="004B777D"/>
    <w:rsid w:val="004B77C9"/>
    <w:rsid w:val="005034BC"/>
    <w:rsid w:val="00517308"/>
    <w:rsid w:val="00521538"/>
    <w:rsid w:val="00526197"/>
    <w:rsid w:val="0053730E"/>
    <w:rsid w:val="00591010"/>
    <w:rsid w:val="005A5938"/>
    <w:rsid w:val="005A6F45"/>
    <w:rsid w:val="005C402F"/>
    <w:rsid w:val="005D223D"/>
    <w:rsid w:val="005E07CA"/>
    <w:rsid w:val="005F0267"/>
    <w:rsid w:val="005F0F64"/>
    <w:rsid w:val="005F30D0"/>
    <w:rsid w:val="005F7926"/>
    <w:rsid w:val="00605AC6"/>
    <w:rsid w:val="00632E1B"/>
    <w:rsid w:val="00634997"/>
    <w:rsid w:val="00655C54"/>
    <w:rsid w:val="00667115"/>
    <w:rsid w:val="00672BEF"/>
    <w:rsid w:val="006A0AD9"/>
    <w:rsid w:val="006A2019"/>
    <w:rsid w:val="006D702B"/>
    <w:rsid w:val="006E7FC5"/>
    <w:rsid w:val="0070150D"/>
    <w:rsid w:val="007176D9"/>
    <w:rsid w:val="00723037"/>
    <w:rsid w:val="00743DA6"/>
    <w:rsid w:val="0076793D"/>
    <w:rsid w:val="00774591"/>
    <w:rsid w:val="00782E0A"/>
    <w:rsid w:val="00785E70"/>
    <w:rsid w:val="007919A4"/>
    <w:rsid w:val="007B051F"/>
    <w:rsid w:val="007F34EE"/>
    <w:rsid w:val="00803C4C"/>
    <w:rsid w:val="00806F38"/>
    <w:rsid w:val="008120A6"/>
    <w:rsid w:val="008126DB"/>
    <w:rsid w:val="00815C73"/>
    <w:rsid w:val="00816C55"/>
    <w:rsid w:val="00836DF7"/>
    <w:rsid w:val="0084156F"/>
    <w:rsid w:val="00846670"/>
    <w:rsid w:val="00883ECB"/>
    <w:rsid w:val="008902D0"/>
    <w:rsid w:val="008A5958"/>
    <w:rsid w:val="008C4599"/>
    <w:rsid w:val="008F4AEA"/>
    <w:rsid w:val="0094265F"/>
    <w:rsid w:val="00944CE1"/>
    <w:rsid w:val="00965042"/>
    <w:rsid w:val="009817D0"/>
    <w:rsid w:val="00991F71"/>
    <w:rsid w:val="0099589C"/>
    <w:rsid w:val="009B4363"/>
    <w:rsid w:val="009C02BE"/>
    <w:rsid w:val="009C35BE"/>
    <w:rsid w:val="009E31C9"/>
    <w:rsid w:val="009E5ECF"/>
    <w:rsid w:val="009F37D4"/>
    <w:rsid w:val="00A23564"/>
    <w:rsid w:val="00A52272"/>
    <w:rsid w:val="00A654AB"/>
    <w:rsid w:val="00A93213"/>
    <w:rsid w:val="00B12456"/>
    <w:rsid w:val="00B162E1"/>
    <w:rsid w:val="00B2554E"/>
    <w:rsid w:val="00B2666F"/>
    <w:rsid w:val="00B404C3"/>
    <w:rsid w:val="00B47621"/>
    <w:rsid w:val="00B60400"/>
    <w:rsid w:val="00B82D5A"/>
    <w:rsid w:val="00B8585F"/>
    <w:rsid w:val="00BB0F1A"/>
    <w:rsid w:val="00BC68A9"/>
    <w:rsid w:val="00BE416C"/>
    <w:rsid w:val="00BE630A"/>
    <w:rsid w:val="00BF5A71"/>
    <w:rsid w:val="00BF5C0C"/>
    <w:rsid w:val="00C012D4"/>
    <w:rsid w:val="00C350BD"/>
    <w:rsid w:val="00C50A71"/>
    <w:rsid w:val="00C536ED"/>
    <w:rsid w:val="00C63619"/>
    <w:rsid w:val="00C84F9C"/>
    <w:rsid w:val="00C9669B"/>
    <w:rsid w:val="00CA1F6D"/>
    <w:rsid w:val="00CB1E4B"/>
    <w:rsid w:val="00CB7CD2"/>
    <w:rsid w:val="00CC134D"/>
    <w:rsid w:val="00CC2AA8"/>
    <w:rsid w:val="00CE4959"/>
    <w:rsid w:val="00CF2667"/>
    <w:rsid w:val="00D007AF"/>
    <w:rsid w:val="00D32BE4"/>
    <w:rsid w:val="00D42C8A"/>
    <w:rsid w:val="00D65715"/>
    <w:rsid w:val="00D669AC"/>
    <w:rsid w:val="00D67727"/>
    <w:rsid w:val="00D831E3"/>
    <w:rsid w:val="00D851ED"/>
    <w:rsid w:val="00D87DB3"/>
    <w:rsid w:val="00DD6AA8"/>
    <w:rsid w:val="00E25CE6"/>
    <w:rsid w:val="00E261AE"/>
    <w:rsid w:val="00E35F25"/>
    <w:rsid w:val="00E64453"/>
    <w:rsid w:val="00EA2A22"/>
    <w:rsid w:val="00ED1E39"/>
    <w:rsid w:val="00EF1F0E"/>
    <w:rsid w:val="00F135C5"/>
    <w:rsid w:val="00F34A5B"/>
    <w:rsid w:val="00F42DAC"/>
    <w:rsid w:val="00F6320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2C289"/>
  <w15:docId w15:val="{689E1621-4457-4042-BDCB-0C05FD9E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FC5"/>
    <w:rPr>
      <w:rFonts w:ascii="Times New Roman" w:eastAsia="Times New Roman" w:hAnsi="Times New Roman" w:cs="Times New Roman"/>
      <w:sz w:val="24"/>
      <w:szCs w:val="24"/>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91010"/>
    <w:rPr>
      <w:sz w:val="16"/>
      <w:szCs w:val="16"/>
    </w:rPr>
  </w:style>
  <w:style w:type="paragraph" w:styleId="CommentText">
    <w:name w:val="annotation text"/>
    <w:basedOn w:val="Normal"/>
    <w:link w:val="CommentTextChar"/>
    <w:uiPriority w:val="99"/>
    <w:unhideWhenUsed/>
    <w:rsid w:val="00591010"/>
    <w:pPr>
      <w:spacing w:after="200" w:line="240" w:lineRule="auto"/>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591010"/>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591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010"/>
    <w:rPr>
      <w:rFonts w:ascii="Tahoma" w:eastAsia="Times New Roman" w:hAnsi="Tahoma" w:cs="Tahoma"/>
      <w:sz w:val="16"/>
      <w:szCs w:val="16"/>
      <w:lang w:eastAsia="hu-HU"/>
    </w:rPr>
  </w:style>
  <w:style w:type="paragraph" w:styleId="NormalWeb">
    <w:name w:val="Normal (Web)"/>
    <w:basedOn w:val="Normal"/>
    <w:uiPriority w:val="99"/>
    <w:semiHidden/>
    <w:unhideWhenUsed/>
    <w:rsid w:val="00EF1F0E"/>
    <w:pPr>
      <w:spacing w:before="100" w:beforeAutospacing="1" w:after="100" w:afterAutospacing="1" w:line="240" w:lineRule="auto"/>
    </w:pPr>
    <w:rPr>
      <w:rFonts w:eastAsiaTheme="minorHAnsi"/>
    </w:rPr>
  </w:style>
  <w:style w:type="paragraph" w:styleId="CommentSubject">
    <w:name w:val="annotation subject"/>
    <w:basedOn w:val="CommentText"/>
    <w:next w:val="CommentText"/>
    <w:link w:val="CommentSubjectChar"/>
    <w:uiPriority w:val="99"/>
    <w:semiHidden/>
    <w:unhideWhenUsed/>
    <w:rsid w:val="00EF1F0E"/>
    <w:pPr>
      <w:spacing w:after="160"/>
    </w:pPr>
    <w:rPr>
      <w:rFonts w:ascii="Times New Roman" w:eastAsia="Times New Roman" w:hAnsi="Times New Roman"/>
      <w:b/>
      <w:bCs/>
      <w:lang w:eastAsia="hu-HU"/>
    </w:rPr>
  </w:style>
  <w:style w:type="character" w:customStyle="1" w:styleId="CommentSubjectChar">
    <w:name w:val="Comment Subject Char"/>
    <w:basedOn w:val="CommentTextChar"/>
    <w:link w:val="CommentSubject"/>
    <w:uiPriority w:val="99"/>
    <w:semiHidden/>
    <w:rsid w:val="00EF1F0E"/>
    <w:rPr>
      <w:rFonts w:ascii="Times New Roman" w:eastAsia="Times New Roman" w:hAnsi="Times New Roman" w:cs="Times New Roman"/>
      <w:b/>
      <w:bCs/>
      <w:sz w:val="20"/>
      <w:szCs w:val="20"/>
      <w:lang w:eastAsia="hu-HU"/>
    </w:rPr>
  </w:style>
  <w:style w:type="paragraph" w:styleId="ListParagraph">
    <w:name w:val="List Paragraph"/>
    <w:basedOn w:val="Normal"/>
    <w:uiPriority w:val="34"/>
    <w:qFormat/>
    <w:rsid w:val="00173F50"/>
    <w:pPr>
      <w:ind w:left="720"/>
      <w:contextualSpacing/>
    </w:pPr>
  </w:style>
  <w:style w:type="paragraph" w:styleId="Revision">
    <w:name w:val="Revision"/>
    <w:hidden/>
    <w:uiPriority w:val="99"/>
    <w:semiHidden/>
    <w:rsid w:val="00806F38"/>
    <w:pPr>
      <w:spacing w:after="0"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80427">
      <w:bodyDiv w:val="1"/>
      <w:marLeft w:val="0"/>
      <w:marRight w:val="0"/>
      <w:marTop w:val="0"/>
      <w:marBottom w:val="0"/>
      <w:divBdr>
        <w:top w:val="none" w:sz="0" w:space="0" w:color="auto"/>
        <w:left w:val="none" w:sz="0" w:space="0" w:color="auto"/>
        <w:bottom w:val="none" w:sz="0" w:space="0" w:color="auto"/>
        <w:right w:val="none" w:sz="0" w:space="0" w:color="auto"/>
      </w:divBdr>
    </w:div>
    <w:div w:id="145586802">
      <w:bodyDiv w:val="1"/>
      <w:marLeft w:val="0"/>
      <w:marRight w:val="0"/>
      <w:marTop w:val="0"/>
      <w:marBottom w:val="0"/>
      <w:divBdr>
        <w:top w:val="none" w:sz="0" w:space="0" w:color="auto"/>
        <w:left w:val="none" w:sz="0" w:space="0" w:color="auto"/>
        <w:bottom w:val="none" w:sz="0" w:space="0" w:color="auto"/>
        <w:right w:val="none" w:sz="0" w:space="0" w:color="auto"/>
      </w:divBdr>
    </w:div>
    <w:div w:id="164908087">
      <w:bodyDiv w:val="1"/>
      <w:marLeft w:val="0"/>
      <w:marRight w:val="0"/>
      <w:marTop w:val="0"/>
      <w:marBottom w:val="0"/>
      <w:divBdr>
        <w:top w:val="none" w:sz="0" w:space="0" w:color="auto"/>
        <w:left w:val="none" w:sz="0" w:space="0" w:color="auto"/>
        <w:bottom w:val="none" w:sz="0" w:space="0" w:color="auto"/>
        <w:right w:val="none" w:sz="0" w:space="0" w:color="auto"/>
      </w:divBdr>
    </w:div>
    <w:div w:id="429547432">
      <w:bodyDiv w:val="1"/>
      <w:marLeft w:val="0"/>
      <w:marRight w:val="0"/>
      <w:marTop w:val="0"/>
      <w:marBottom w:val="0"/>
      <w:divBdr>
        <w:top w:val="none" w:sz="0" w:space="0" w:color="auto"/>
        <w:left w:val="none" w:sz="0" w:space="0" w:color="auto"/>
        <w:bottom w:val="none" w:sz="0" w:space="0" w:color="auto"/>
        <w:right w:val="none" w:sz="0" w:space="0" w:color="auto"/>
      </w:divBdr>
    </w:div>
    <w:div w:id="52922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53259-9B7A-46FB-A08F-3149266FA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1795</Words>
  <Characters>10237</Characters>
  <Application>Microsoft Office Word</Application>
  <DocSecurity>0</DocSecurity>
  <Lines>85</Lines>
  <Paragraphs>24</Paragraphs>
  <ScaleCrop>false</ScaleCrop>
  <HeadingPairs>
    <vt:vector size="2" baseType="variant">
      <vt:variant>
        <vt:lpstr>Cím</vt:lpstr>
      </vt:variant>
      <vt:variant>
        <vt:i4>1</vt:i4>
      </vt:variant>
    </vt:vector>
  </HeadingPairs>
  <TitlesOfParts>
    <vt:vector size="1" baseType="lpstr">
      <vt:lpstr/>
    </vt:vector>
  </TitlesOfParts>
  <Company>Egységes InfraStruktúra</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Juhász Krisztina dr.</dc:creator>
  <cp:lastModifiedBy>Anastasia Stavroulaki</cp:lastModifiedBy>
  <cp:revision>4</cp:revision>
  <cp:lastPrinted>2023-03-21T08:45:00Z</cp:lastPrinted>
  <dcterms:created xsi:type="dcterms:W3CDTF">2023-03-22T13:23:00Z</dcterms:created>
  <dcterms:modified xsi:type="dcterms:W3CDTF">2023-03-29T15:05:00Z</dcterms:modified>
</cp:coreProperties>
</file>