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443F" w14:textId="77777777" w:rsidR="006E7FC5" w:rsidRPr="00CF2667" w:rsidRDefault="006E7FC5" w:rsidP="006E7FC5">
      <w:pPr>
        <w:spacing w:after="0" w:line="240" w:lineRule="auto"/>
        <w:jc w:val="center"/>
        <w:rPr>
          <w:rFonts w:eastAsia="Calibri"/>
          <w:b/>
        </w:rPr>
      </w:pPr>
      <w:r>
        <w:rPr>
          <w:b/>
        </w:rPr>
        <w:t>Decretul SZTFH nr.</w:t>
      </w:r>
    </w:p>
    <w:p w14:paraId="78A2EE9D" w14:textId="77777777" w:rsidR="006E7FC5" w:rsidRPr="00CF2667" w:rsidRDefault="006E7FC5" w:rsidP="006E7FC5">
      <w:pPr>
        <w:spacing w:after="0" w:line="240" w:lineRule="auto"/>
        <w:jc w:val="center"/>
        <w:rPr>
          <w:rFonts w:eastAsia="Calibri"/>
          <w:b/>
        </w:rPr>
      </w:pPr>
    </w:p>
    <w:p w14:paraId="1DA8F30D" w14:textId="77777777" w:rsidR="006E7FC5" w:rsidRPr="00CF2667" w:rsidRDefault="006E7FC5" w:rsidP="006E7FC5">
      <w:pPr>
        <w:spacing w:after="0" w:line="240" w:lineRule="auto"/>
        <w:jc w:val="center"/>
        <w:rPr>
          <w:rFonts w:eastAsia="Calibri"/>
          <w:b/>
        </w:rPr>
      </w:pPr>
      <w:r>
        <w:rPr>
          <w:b/>
        </w:rPr>
        <w:t>.../2023 (...) al președintelui Autorității de supraveghere a activității de reglementare</w:t>
      </w:r>
    </w:p>
    <w:p w14:paraId="7580F07E" w14:textId="77777777" w:rsidR="006E7FC5" w:rsidRPr="00CF2667" w:rsidRDefault="006E7FC5" w:rsidP="006E7FC5">
      <w:pPr>
        <w:spacing w:after="0" w:line="240" w:lineRule="auto"/>
        <w:jc w:val="center"/>
        <w:rPr>
          <w:rFonts w:eastAsia="Calibri"/>
          <w:b/>
        </w:rPr>
      </w:pPr>
    </w:p>
    <w:p w14:paraId="6E970982" w14:textId="77777777" w:rsidR="006E7FC5" w:rsidRPr="00CF2667" w:rsidRDefault="006E7FC5" w:rsidP="006E7FC5">
      <w:pPr>
        <w:spacing w:after="0" w:line="240" w:lineRule="auto"/>
        <w:jc w:val="center"/>
        <w:rPr>
          <w:rFonts w:eastAsia="Calibri"/>
          <w:b/>
        </w:rPr>
      </w:pPr>
      <w:r>
        <w:rPr>
          <w:b/>
        </w:rPr>
        <w:t>de modificare a Decretului SZTFH nr. 20/2021 din 29 octombrie 2021 privind punerea în aplicare a sarcinilor legate de autorizarea, gestionarea și controlul anumitor jocuri de noroc</w:t>
      </w:r>
    </w:p>
    <w:p w14:paraId="3354A442" w14:textId="77777777" w:rsidR="006E7FC5" w:rsidRPr="00CF2667" w:rsidRDefault="006E7FC5" w:rsidP="006E7FC5">
      <w:pPr>
        <w:spacing w:after="0" w:line="240" w:lineRule="auto"/>
        <w:jc w:val="center"/>
        <w:rPr>
          <w:rFonts w:eastAsia="Calibri"/>
          <w:b/>
        </w:rPr>
      </w:pPr>
    </w:p>
    <w:p w14:paraId="27B80967" w14:textId="77777777" w:rsidR="00BE630A" w:rsidRDefault="00BE630A" w:rsidP="00BE630A">
      <w:pPr>
        <w:spacing w:after="0" w:line="240" w:lineRule="auto"/>
        <w:jc w:val="both"/>
        <w:rPr>
          <w:rFonts w:eastAsia="Calibri"/>
        </w:rPr>
      </w:pPr>
    </w:p>
    <w:p w14:paraId="5A4D706F" w14:textId="77777777" w:rsidR="00BE630A" w:rsidRDefault="00BE630A" w:rsidP="00BE630A">
      <w:pPr>
        <w:spacing w:after="0" w:line="240" w:lineRule="auto"/>
        <w:jc w:val="both"/>
        <w:rPr>
          <w:rFonts w:eastAsia="Calibri"/>
        </w:rPr>
      </w:pPr>
      <w:r>
        <w:t xml:space="preserve">Pe baza autorizației acordate la articolul 38 alineatul (2) literele </w:t>
      </w:r>
      <w:r>
        <w:rPr>
          <w:i/>
        </w:rPr>
        <w:t>(a)</w:t>
      </w:r>
      <w:r>
        <w:t xml:space="preserve"> și </w:t>
      </w:r>
      <w:r>
        <w:rPr>
          <w:i/>
        </w:rPr>
        <w:t>(b)</w:t>
      </w:r>
      <w:r>
        <w:t xml:space="preserve"> din Legea XXXIV din 1991 privind operațiunile de jocuri de noroc, </w:t>
      </w:r>
    </w:p>
    <w:p w14:paraId="67DF3F1E" w14:textId="258A6756" w:rsidR="00BE630A" w:rsidRDefault="00BE630A" w:rsidP="00BE630A">
      <w:pPr>
        <w:spacing w:after="0" w:line="240" w:lineRule="auto"/>
        <w:jc w:val="both"/>
        <w:rPr>
          <w:rFonts w:eastAsia="Calibri"/>
        </w:rPr>
      </w:pPr>
      <w:r>
        <w:t xml:space="preserve">în ceea ce privește articolele 2 și 3, precum și articolul 13 litera (b), pe baza autorizației acordate în temeiul articolului 38 alineatul (2) și al articolului 38 alineatul (2) litera </w:t>
      </w:r>
      <w:r>
        <w:rPr>
          <w:i/>
        </w:rPr>
        <w:t>(d)</w:t>
      </w:r>
      <w:r>
        <w:t xml:space="preserve"> din Legea XXXIV din 1991 privind operațiunile de jocuri de noroc,</w:t>
      </w:r>
    </w:p>
    <w:p w14:paraId="7A855835" w14:textId="77777777" w:rsidR="00BE630A" w:rsidRDefault="00BE630A" w:rsidP="00BE630A">
      <w:pPr>
        <w:spacing w:after="0" w:line="240" w:lineRule="auto"/>
        <w:jc w:val="both"/>
        <w:rPr>
          <w:rFonts w:eastAsia="Calibri"/>
        </w:rPr>
      </w:pPr>
      <w:r>
        <w:t xml:space="preserve">în ceea ce privește articolele 4-10 și articolul 12 pe baza autorizației acordate în temeiul articolului 38 alineatul (2) litera </w:t>
      </w:r>
      <w:r>
        <w:rPr>
          <w:i/>
        </w:rPr>
        <w:t>(g)</w:t>
      </w:r>
      <w:r>
        <w:t xml:space="preserve"> din Legea XXXIV din 1991 privind operațiunile de jocuri de noroc,</w:t>
      </w:r>
    </w:p>
    <w:p w14:paraId="6895E230" w14:textId="77777777" w:rsidR="00BE630A" w:rsidRDefault="00BE630A" w:rsidP="00BE630A">
      <w:pPr>
        <w:spacing w:after="0" w:line="240" w:lineRule="auto"/>
        <w:jc w:val="both"/>
        <w:rPr>
          <w:rFonts w:eastAsia="Calibri"/>
        </w:rPr>
      </w:pPr>
      <w:r>
        <w:t xml:space="preserve">și acționând în cadrul atribuțiilor mele definite la articolul 13 literele </w:t>
      </w:r>
      <w:r>
        <w:rPr>
          <w:i/>
        </w:rPr>
        <w:t>(i)</w:t>
      </w:r>
      <w:r>
        <w:t xml:space="preserve"> și </w:t>
      </w:r>
      <w:r>
        <w:rPr>
          <w:i/>
        </w:rPr>
        <w:t>(n)</w:t>
      </w:r>
      <w:r>
        <w:t xml:space="preserve"> din Legea XXXII din 2021 privind Autoritatea de supraveghere a activităților de reglementare,</w:t>
      </w:r>
    </w:p>
    <w:p w14:paraId="59132BDE" w14:textId="77777777" w:rsidR="00BE630A" w:rsidRDefault="00BE630A" w:rsidP="00BE630A">
      <w:pPr>
        <w:spacing w:after="0" w:line="240" w:lineRule="auto"/>
        <w:jc w:val="both"/>
        <w:rPr>
          <w:rFonts w:eastAsia="Calibri"/>
        </w:rPr>
      </w:pPr>
      <w:r>
        <w:t>prin prezenta dispun următoarele:</w:t>
      </w:r>
    </w:p>
    <w:p w14:paraId="0EB70FA2" w14:textId="77777777" w:rsidR="00BE630A" w:rsidRPr="00CF2667" w:rsidRDefault="00BE630A" w:rsidP="006E7FC5">
      <w:pPr>
        <w:spacing w:after="0" w:line="240" w:lineRule="auto"/>
        <w:jc w:val="both"/>
        <w:rPr>
          <w:rFonts w:eastAsia="Calibri"/>
        </w:rPr>
      </w:pPr>
    </w:p>
    <w:p w14:paraId="66058B66" w14:textId="77777777" w:rsidR="006E7FC5" w:rsidRPr="00CF2667" w:rsidRDefault="006E7FC5" w:rsidP="006E7FC5">
      <w:pPr>
        <w:spacing w:after="0" w:line="240" w:lineRule="auto"/>
        <w:jc w:val="center"/>
        <w:rPr>
          <w:rFonts w:eastAsia="Calibri"/>
          <w:b/>
        </w:rPr>
      </w:pPr>
      <w:r>
        <w:rPr>
          <w:b/>
        </w:rPr>
        <w:t>Articolul 1</w:t>
      </w:r>
    </w:p>
    <w:p w14:paraId="7DC1A809" w14:textId="77777777" w:rsidR="00C9669B" w:rsidRPr="00CF2667" w:rsidRDefault="00C9669B" w:rsidP="006E7FC5">
      <w:pPr>
        <w:spacing w:after="0" w:line="240" w:lineRule="auto"/>
        <w:jc w:val="center"/>
        <w:rPr>
          <w:rFonts w:eastAsia="Calibri"/>
          <w:b/>
        </w:rPr>
      </w:pPr>
    </w:p>
    <w:p w14:paraId="09585543" w14:textId="0173393E" w:rsidR="00C9669B" w:rsidRPr="00CF2667" w:rsidRDefault="00C9669B" w:rsidP="00C9669B">
      <w:pPr>
        <w:spacing w:after="0" w:line="240" w:lineRule="auto"/>
        <w:jc w:val="both"/>
        <w:rPr>
          <w:rFonts w:eastAsia="Calibri"/>
        </w:rPr>
      </w:pPr>
      <w:r>
        <w:t>Se adaugă un nou articol 2/A la capitolul I din Decretul SZTFH nr. 20/2021 din 29 octombrie 2021 privind punerea în aplicare a sarcinilor legate de autorizarea, gestionarea și controlul anumitor tipuri de jocuri de noroc (denumit în continuare „Regulamentul de punere în aplicare”), care are următoarea formulare:</w:t>
      </w:r>
    </w:p>
    <w:p w14:paraId="1CCBA5B6" w14:textId="77777777" w:rsidR="00C9669B" w:rsidRPr="00CF2667" w:rsidRDefault="00C9669B" w:rsidP="00C9669B">
      <w:pPr>
        <w:spacing w:after="0" w:line="240" w:lineRule="auto"/>
        <w:jc w:val="both"/>
        <w:rPr>
          <w:rFonts w:eastAsia="Calibri"/>
        </w:rPr>
      </w:pPr>
    </w:p>
    <w:p w14:paraId="4BA0FDB3" w14:textId="42989738" w:rsidR="00C9669B" w:rsidRPr="00CF2667" w:rsidRDefault="00C9669B" w:rsidP="00C9669B">
      <w:pPr>
        <w:spacing w:after="0" w:line="240" w:lineRule="auto"/>
        <w:jc w:val="both"/>
        <w:rPr>
          <w:rFonts w:eastAsia="Calibri"/>
          <w:b/>
        </w:rPr>
      </w:pPr>
      <w:r>
        <w:t>„Articolul 2/A În cazul în care operatorul este autorizat să organizeze mai multe jocuri de noroc în același timp, acesta înregistrează și ține evidența veniturilor și a costurilor reale ale fiecărui joc de noroc într-un mod verificabil și separat, independent de orice altă activitate desfășurată de acesta.”</w:t>
      </w:r>
    </w:p>
    <w:p w14:paraId="7A3199E9" w14:textId="77777777" w:rsidR="00421C27" w:rsidRPr="00CF2667" w:rsidRDefault="00421C27" w:rsidP="006E7FC5">
      <w:pPr>
        <w:spacing w:after="0" w:line="240" w:lineRule="auto"/>
        <w:jc w:val="center"/>
        <w:rPr>
          <w:rFonts w:eastAsia="Calibri"/>
          <w:b/>
        </w:rPr>
      </w:pPr>
    </w:p>
    <w:p w14:paraId="5BEA7056" w14:textId="77777777" w:rsidR="00421C27" w:rsidRPr="00CF2667" w:rsidRDefault="007F34EE" w:rsidP="006E7FC5">
      <w:pPr>
        <w:spacing w:after="0" w:line="240" w:lineRule="auto"/>
        <w:jc w:val="center"/>
        <w:rPr>
          <w:rFonts w:eastAsia="Calibri"/>
          <w:b/>
        </w:rPr>
      </w:pPr>
      <w:r>
        <w:rPr>
          <w:b/>
        </w:rPr>
        <w:t>Articolul 2</w:t>
      </w:r>
    </w:p>
    <w:p w14:paraId="4BE47446" w14:textId="77777777" w:rsidR="006E7FC5" w:rsidRPr="00CF2667" w:rsidRDefault="006E7FC5" w:rsidP="006E7FC5">
      <w:pPr>
        <w:spacing w:after="0" w:line="240" w:lineRule="auto"/>
        <w:jc w:val="both"/>
        <w:rPr>
          <w:rFonts w:eastAsia="Calibri"/>
        </w:rPr>
      </w:pPr>
    </w:p>
    <w:p w14:paraId="164D83E3" w14:textId="6FB86AC7" w:rsidR="00591010" w:rsidRPr="00CF2667" w:rsidRDefault="00591010" w:rsidP="00991F71">
      <w:pPr>
        <w:spacing w:after="0" w:line="240" w:lineRule="auto"/>
        <w:jc w:val="both"/>
      </w:pPr>
      <w:r>
        <w:t>(1) Articolul 13 alineatul (3) din Decretul de punere în aplicare se înlocuiește cu următorul text:</w:t>
      </w:r>
    </w:p>
    <w:p w14:paraId="36C968DE" w14:textId="77777777" w:rsidR="00D67727" w:rsidRPr="00CF2667" w:rsidRDefault="00D67727" w:rsidP="00591010">
      <w:pPr>
        <w:tabs>
          <w:tab w:val="center" w:pos="6096"/>
        </w:tabs>
        <w:spacing w:after="0" w:line="240" w:lineRule="auto"/>
        <w:jc w:val="both"/>
      </w:pPr>
    </w:p>
    <w:p w14:paraId="67C8D879" w14:textId="77777777" w:rsidR="00591010" w:rsidRPr="00CF2667" w:rsidRDefault="005F7926" w:rsidP="00591010">
      <w:pPr>
        <w:tabs>
          <w:tab w:val="center" w:pos="6096"/>
        </w:tabs>
        <w:spacing w:after="0" w:line="240" w:lineRule="auto"/>
        <w:jc w:val="both"/>
      </w:pPr>
      <w:r>
        <w:t>„(3) Biletele de loterie pot fi produse numai folosind o tehnologie închisă controlată de computer, care asigură</w:t>
      </w:r>
    </w:p>
    <w:p w14:paraId="1F259345" w14:textId="77777777" w:rsidR="00173F50" w:rsidRPr="00CF2667" w:rsidRDefault="00173F50" w:rsidP="00591010">
      <w:pPr>
        <w:tabs>
          <w:tab w:val="center" w:pos="6096"/>
        </w:tabs>
        <w:spacing w:after="0" w:line="240" w:lineRule="auto"/>
        <w:jc w:val="both"/>
      </w:pPr>
    </w:p>
    <w:p w14:paraId="7F8F7476" w14:textId="77777777" w:rsidR="00591010" w:rsidRPr="00CF2667" w:rsidRDefault="00591010" w:rsidP="00591010">
      <w:pPr>
        <w:tabs>
          <w:tab w:val="center" w:pos="6096"/>
        </w:tabs>
        <w:spacing w:after="0" w:line="240" w:lineRule="auto"/>
        <w:jc w:val="both"/>
      </w:pPr>
      <w:r>
        <w:rPr>
          <w:i/>
        </w:rPr>
        <w:t>(a)</w:t>
      </w:r>
      <w:r>
        <w:t xml:space="preserve"> valoarea câștigurilor specificate în Legea privind jocurile de noroc;</w:t>
      </w:r>
    </w:p>
    <w:p w14:paraId="3D73CE20" w14:textId="77777777" w:rsidR="00591010" w:rsidRPr="00CF2667" w:rsidRDefault="00591010" w:rsidP="00591010">
      <w:pPr>
        <w:tabs>
          <w:tab w:val="center" w:pos="6096"/>
        </w:tabs>
        <w:spacing w:after="0" w:line="240" w:lineRule="auto"/>
        <w:jc w:val="both"/>
      </w:pPr>
      <w:r>
        <w:rPr>
          <w:i/>
        </w:rPr>
        <w:t>(b)</w:t>
      </w:r>
      <w:r>
        <w:t xml:space="preserve"> distribuția uniformă a biletelor de loterie câștigătoare per clasă câștigătoare în cantitatea sau seria autorizată conform planului de joc; și</w:t>
      </w:r>
    </w:p>
    <w:p w14:paraId="1EB773D3" w14:textId="77777777" w:rsidR="00591010" w:rsidRPr="00CF2667" w:rsidRDefault="00591010" w:rsidP="00591010">
      <w:pPr>
        <w:tabs>
          <w:tab w:val="center" w:pos="6096"/>
        </w:tabs>
        <w:spacing w:after="0" w:line="240" w:lineRule="auto"/>
        <w:jc w:val="both"/>
      </w:pPr>
      <w:r>
        <w:rPr>
          <w:i/>
        </w:rPr>
        <w:t>(c)</w:t>
      </w:r>
      <w:r>
        <w:t xml:space="preserve"> că o serie completă de bilete de loterie este produsă într-un proces de producție închis care permite identificarea biletelor de loterie câștigătoare numai după ce acoperirea virtuală sau fizică a fost eliminată.”</w:t>
      </w:r>
    </w:p>
    <w:p w14:paraId="7EE32317" w14:textId="77777777" w:rsidR="00C012D4" w:rsidRPr="00CF2667" w:rsidRDefault="00C012D4" w:rsidP="00591010">
      <w:pPr>
        <w:tabs>
          <w:tab w:val="center" w:pos="6096"/>
        </w:tabs>
        <w:spacing w:after="0" w:line="240" w:lineRule="auto"/>
        <w:jc w:val="both"/>
        <w:rPr>
          <w:u w:val="single"/>
        </w:rPr>
      </w:pPr>
    </w:p>
    <w:p w14:paraId="6AC62775" w14:textId="10E53AA6" w:rsidR="00C012D4" w:rsidRPr="00CF2667" w:rsidRDefault="00C012D4" w:rsidP="00C012D4">
      <w:pPr>
        <w:spacing w:after="0"/>
        <w:jc w:val="both"/>
      </w:pPr>
      <w:r>
        <w:t>(2) La articolul 13 din decretul de punere în aplicare se adaugă următoarele alineate (10) și (11):</w:t>
      </w:r>
    </w:p>
    <w:p w14:paraId="4EE4A851" w14:textId="77777777" w:rsidR="00B82D5A" w:rsidRPr="00CF2667" w:rsidRDefault="00B82D5A" w:rsidP="00C012D4">
      <w:pPr>
        <w:spacing w:after="0"/>
        <w:jc w:val="both"/>
      </w:pPr>
    </w:p>
    <w:p w14:paraId="351A0C29" w14:textId="5227B30D" w:rsidR="00C012D4" w:rsidRPr="00CF2667" w:rsidRDefault="00C012D4" w:rsidP="00C012D4">
      <w:pPr>
        <w:tabs>
          <w:tab w:val="center" w:pos="6096"/>
        </w:tabs>
        <w:spacing w:after="0" w:line="240" w:lineRule="auto"/>
        <w:jc w:val="both"/>
      </w:pPr>
      <w:r>
        <w:lastRenderedPageBreak/>
        <w:t xml:space="preserve">„(10) Alineatele (2)-(4) și alineatul (5) literele </w:t>
      </w:r>
      <w:r>
        <w:rPr>
          <w:i/>
        </w:rPr>
        <w:t>(a)</w:t>
      </w:r>
      <w:r>
        <w:t xml:space="preserve"> și </w:t>
      </w:r>
      <w:r>
        <w:rPr>
          <w:i/>
        </w:rPr>
        <w:t>(b)</w:t>
      </w:r>
      <w:r>
        <w:t xml:space="preserve"> se aplică </w:t>
      </w:r>
      <w:r>
        <w:rPr>
          <w:i/>
          <w:iCs/>
        </w:rPr>
        <w:t>mutatis mutandis</w:t>
      </w:r>
      <w:r>
        <w:t xml:space="preserve"> lozurilor de răzuit vândute prin intermediul dispozitivelor și sistemelor de comunicații, loteriile fiind stocate și introduse pe piață prin intermediul dispozitivelor și sistemelor de comunicații, iar documentele menționate la alineatul (5) litera </w:t>
      </w:r>
      <w:r>
        <w:rPr>
          <w:i/>
        </w:rPr>
        <w:t>(a)</w:t>
      </w:r>
      <w:r>
        <w:t xml:space="preserve"> se prezintă autorității de jocuri de noroc în timpul procedurii de autorizare. </w:t>
      </w:r>
    </w:p>
    <w:p w14:paraId="386CFFD5" w14:textId="77777777" w:rsidR="00BE630A" w:rsidRDefault="00BE630A" w:rsidP="00203C3F">
      <w:pPr>
        <w:tabs>
          <w:tab w:val="center" w:pos="6096"/>
        </w:tabs>
        <w:spacing w:after="0" w:line="240" w:lineRule="auto"/>
        <w:jc w:val="both"/>
      </w:pPr>
    </w:p>
    <w:p w14:paraId="4351477A" w14:textId="1A3C832B" w:rsidR="006E7FC5" w:rsidRPr="00CF2667" w:rsidRDefault="00C012D4" w:rsidP="00203C3F">
      <w:pPr>
        <w:tabs>
          <w:tab w:val="center" w:pos="6096"/>
        </w:tabs>
        <w:spacing w:after="0" w:line="240" w:lineRule="auto"/>
        <w:jc w:val="both"/>
      </w:pPr>
      <w:r>
        <w:t>(11) Dintre dispozițiile prezentului regulament privind auditul jocurilor de noroc la distanță și al jocurilor de cazino online, articolul 15 alineatele (2) și (3), anexa 2, clauza I din anexa 3 și clauza II partea A și clauza III litera (c), anexa 4 clauza II punctul 1 literele (f) și (h) și clauza 2 literele (a)-(c) se aplică lozurilor de răzuit vândute prin intermediul dispozitivelor și sistemelor de comunicații.”</w:t>
      </w:r>
    </w:p>
    <w:p w14:paraId="202FF135" w14:textId="77777777" w:rsidR="00431B0E" w:rsidRPr="00CF2667" w:rsidRDefault="00431B0E" w:rsidP="00203C3F">
      <w:pPr>
        <w:tabs>
          <w:tab w:val="center" w:pos="6096"/>
        </w:tabs>
        <w:spacing w:after="0" w:line="240" w:lineRule="auto"/>
        <w:jc w:val="both"/>
        <w:rPr>
          <w:rFonts w:eastAsia="Calibri"/>
        </w:rPr>
      </w:pPr>
    </w:p>
    <w:p w14:paraId="6A454895" w14:textId="77777777" w:rsidR="006E7FC5" w:rsidRPr="00CF2667" w:rsidRDefault="00C9669B" w:rsidP="006E7FC5">
      <w:pPr>
        <w:spacing w:after="0" w:line="240" w:lineRule="auto"/>
        <w:jc w:val="center"/>
        <w:rPr>
          <w:rFonts w:eastAsia="Calibri"/>
          <w:b/>
        </w:rPr>
      </w:pPr>
      <w:r>
        <w:rPr>
          <w:b/>
        </w:rPr>
        <w:t>Articolul 3</w:t>
      </w:r>
    </w:p>
    <w:p w14:paraId="7EFE5D28" w14:textId="77777777" w:rsidR="006E7FC5" w:rsidRPr="00CF2667" w:rsidRDefault="006E7FC5" w:rsidP="006E7FC5">
      <w:pPr>
        <w:spacing w:after="0" w:line="240" w:lineRule="auto"/>
        <w:jc w:val="both"/>
        <w:rPr>
          <w:rFonts w:eastAsia="Calibri"/>
        </w:rPr>
      </w:pPr>
    </w:p>
    <w:p w14:paraId="7F48D059" w14:textId="580CD7E8" w:rsidR="006E7FC5" w:rsidRPr="00CF2667" w:rsidRDefault="00B82D5A" w:rsidP="006E7FC5">
      <w:pPr>
        <w:spacing w:after="0" w:line="240" w:lineRule="auto"/>
        <w:jc w:val="both"/>
        <w:rPr>
          <w:rFonts w:eastAsia="Calibri"/>
        </w:rPr>
      </w:pPr>
      <w:r>
        <w:t>La capitolul III din decretul de punere în aplicare se adaugă următorul articol 7/A:</w:t>
      </w:r>
    </w:p>
    <w:p w14:paraId="276DDA3F" w14:textId="77777777" w:rsidR="006E7FC5" w:rsidRPr="00CF2667" w:rsidRDefault="006E7FC5" w:rsidP="006E7FC5">
      <w:pPr>
        <w:spacing w:after="0" w:line="240" w:lineRule="auto"/>
        <w:jc w:val="both"/>
        <w:rPr>
          <w:rFonts w:eastAsia="Calibri"/>
        </w:rPr>
      </w:pPr>
    </w:p>
    <w:p w14:paraId="3C5A7CBA" w14:textId="4E8E5C4B" w:rsidR="00B82D5A" w:rsidRPr="00CF2667" w:rsidRDefault="00B82D5A" w:rsidP="00B82D5A">
      <w:pPr>
        <w:spacing w:after="0" w:line="240" w:lineRule="auto"/>
        <w:jc w:val="center"/>
        <w:rPr>
          <w:bCs/>
        </w:rPr>
      </w:pPr>
      <w:r>
        <w:t>„Articolul 7/A Norme speciale pentru jocurile de loterie vândute exclusiv prin dispozitive și sisteme de comunicații</w:t>
      </w:r>
    </w:p>
    <w:p w14:paraId="766FBD3D" w14:textId="77777777" w:rsidR="00B82D5A" w:rsidRPr="00CF2667" w:rsidRDefault="00B82D5A" w:rsidP="00B82D5A">
      <w:pPr>
        <w:spacing w:after="0" w:line="240" w:lineRule="auto"/>
        <w:jc w:val="both"/>
        <w:rPr>
          <w:bCs/>
        </w:rPr>
      </w:pPr>
    </w:p>
    <w:p w14:paraId="37BBCCEA" w14:textId="111517D0" w:rsidR="00B82D5A" w:rsidRPr="00CF2667" w:rsidRDefault="008126DB" w:rsidP="00B82D5A">
      <w:pPr>
        <w:spacing w:after="0" w:line="240" w:lineRule="auto"/>
        <w:jc w:val="both"/>
        <w:rPr>
          <w:bCs/>
        </w:rPr>
      </w:pPr>
      <w:r>
        <w:t xml:space="preserve">Articolul 13/A Pentru jocurile de loterie vândute exclusiv prin intermediul dispozitivelor și sistemelor de comunicații, se aplică dispozițiile articolului 15 alineatul (2) litera </w:t>
      </w:r>
      <w:r>
        <w:rPr>
          <w:i/>
        </w:rPr>
        <w:t>(a)</w:t>
      </w:r>
      <w:r>
        <w:t xml:space="preserve">, anexa 2, anexa 3 clauza I și clauza II(A) și clauza III litera </w:t>
      </w:r>
      <w:r>
        <w:rPr>
          <w:i/>
        </w:rPr>
        <w:t>(c)</w:t>
      </w:r>
      <w:r>
        <w:t>, anexa 4 clauza II punctul I literele</w:t>
      </w:r>
      <w:r>
        <w:rPr>
          <w:i/>
        </w:rPr>
        <w:t>(f)</w:t>
      </w:r>
      <w:r>
        <w:t xml:space="preserve"> și </w:t>
      </w:r>
      <w:r>
        <w:rPr>
          <w:i/>
        </w:rPr>
        <w:t>(h)</w:t>
      </w:r>
      <w:r>
        <w:t xml:space="preserve"> și clauza (2) literele </w:t>
      </w:r>
      <w:r>
        <w:rPr>
          <w:i/>
        </w:rPr>
        <w:t>(a)</w:t>
      </w:r>
      <w:r>
        <w:t>-</w:t>
      </w:r>
      <w:r>
        <w:rPr>
          <w:i/>
        </w:rPr>
        <w:t>(c)</w:t>
      </w:r>
      <w:r>
        <w:t>.”</w:t>
      </w:r>
    </w:p>
    <w:p w14:paraId="3AB0FB4F" w14:textId="77777777" w:rsidR="006E7FC5" w:rsidRPr="00CF2667" w:rsidRDefault="006E7FC5" w:rsidP="006E7FC5">
      <w:pPr>
        <w:spacing w:after="0" w:line="240" w:lineRule="auto"/>
        <w:jc w:val="both"/>
        <w:rPr>
          <w:rFonts w:eastAsia="Calibri"/>
        </w:rPr>
      </w:pPr>
    </w:p>
    <w:p w14:paraId="32A5D86C" w14:textId="77777777" w:rsidR="006E7FC5" w:rsidRPr="00CF2667" w:rsidRDefault="00C9669B" w:rsidP="006E7FC5">
      <w:pPr>
        <w:spacing w:after="0" w:line="240" w:lineRule="auto"/>
        <w:jc w:val="center"/>
        <w:rPr>
          <w:rFonts w:eastAsia="Calibri"/>
          <w:b/>
        </w:rPr>
      </w:pPr>
      <w:r>
        <w:rPr>
          <w:b/>
        </w:rPr>
        <w:t>Articolul 4</w:t>
      </w:r>
    </w:p>
    <w:p w14:paraId="1F6C6F18" w14:textId="77777777" w:rsidR="00447FE9" w:rsidRPr="00CF2667" w:rsidRDefault="00447FE9" w:rsidP="00447FE9">
      <w:pPr>
        <w:spacing w:after="0" w:line="240" w:lineRule="auto"/>
        <w:jc w:val="both"/>
        <w:rPr>
          <w:rFonts w:eastAsia="Calibri"/>
          <w:b/>
        </w:rPr>
      </w:pPr>
    </w:p>
    <w:p w14:paraId="1DEEA69D" w14:textId="147BF699" w:rsidR="00447FE9" w:rsidRPr="00CF2667" w:rsidRDefault="00447FE9" w:rsidP="00447FE9">
      <w:pPr>
        <w:jc w:val="both"/>
      </w:pPr>
      <w:r>
        <w:t>La articolul 9/C din Decretul de punere în aplicare se adaugă un nou articol 16/F, care are următoarea formulare:</w:t>
      </w:r>
    </w:p>
    <w:p w14:paraId="677AA608" w14:textId="7DEB23EE" w:rsidR="00447FE9" w:rsidRPr="00CF2667" w:rsidRDefault="00447FE9" w:rsidP="00447FE9">
      <w:pPr>
        <w:jc w:val="both"/>
      </w:pPr>
      <w:r>
        <w:t>„Articolul 16/F În cazul plății anticipate, atunci când promovează această funcție, operatorul de jocuri de noroc are obligația să atragă în mod expres atenția jucătorului asupra faptului că utilizarea acestei funcții implică un risc crescut de practicare excesivă a jocurilor de noroc și de dependență de jocurile de noroc, iar această informație trebuie să apară în textul de promovare cu aceeași mărime a fontului ca a textului. Operatorul de jocuri de noroc pune, de asemenea, la dispoziția jucătorului pe site-ul internet al jocurilor de noroc informația potrivit căreia utilizarea acestei funcții implică un risc crescut de practicare excesivă a jocurilor de noroc și de dependență de jocurile de noroc.”</w:t>
      </w:r>
    </w:p>
    <w:p w14:paraId="6740684E" w14:textId="77777777" w:rsidR="0018214B" w:rsidRPr="00CF2667" w:rsidRDefault="00C9669B" w:rsidP="0018214B">
      <w:pPr>
        <w:spacing w:after="0" w:line="240" w:lineRule="auto"/>
        <w:jc w:val="center"/>
        <w:rPr>
          <w:rFonts w:eastAsia="Calibri"/>
          <w:b/>
        </w:rPr>
      </w:pPr>
      <w:r>
        <w:rPr>
          <w:b/>
        </w:rPr>
        <w:t>Articolul 5</w:t>
      </w:r>
    </w:p>
    <w:p w14:paraId="2CEE6BA7" w14:textId="77777777" w:rsidR="00447FE9" w:rsidRPr="00CF2667" w:rsidRDefault="00447FE9" w:rsidP="00447FE9">
      <w:pPr>
        <w:spacing w:after="0" w:line="240" w:lineRule="auto"/>
        <w:jc w:val="both"/>
        <w:rPr>
          <w:rFonts w:eastAsia="Calibri"/>
          <w:b/>
        </w:rPr>
      </w:pPr>
    </w:p>
    <w:p w14:paraId="51A4AE0C" w14:textId="77777777" w:rsidR="0018214B" w:rsidRPr="00CF2667" w:rsidRDefault="0018214B" w:rsidP="0018214B">
      <w:pPr>
        <w:spacing w:after="0"/>
        <w:jc w:val="both"/>
      </w:pPr>
      <w:r>
        <w:t xml:space="preserve">(1) Articolul 22 alineatul (1) litera </w:t>
      </w:r>
      <w:r>
        <w:rPr>
          <w:i/>
        </w:rPr>
        <w:t>(c)</w:t>
      </w:r>
      <w:r>
        <w:t xml:space="preserve"> din Decretul de punere în aplicare se înlocuiește cu următorul text:</w:t>
      </w:r>
    </w:p>
    <w:p w14:paraId="35B5EE08" w14:textId="77777777" w:rsidR="0018214B" w:rsidRPr="00CF2667" w:rsidRDefault="0018214B" w:rsidP="00447FE9">
      <w:pPr>
        <w:spacing w:after="0" w:line="240" w:lineRule="auto"/>
        <w:jc w:val="both"/>
        <w:rPr>
          <w:rFonts w:eastAsia="Calibri"/>
          <w:b/>
        </w:rPr>
      </w:pPr>
    </w:p>
    <w:p w14:paraId="1F79836C" w14:textId="77777777" w:rsidR="0018214B" w:rsidRPr="00CF2667" w:rsidRDefault="003A5B78" w:rsidP="0018214B">
      <w:pPr>
        <w:spacing w:after="0" w:line="240" w:lineRule="auto"/>
        <w:jc w:val="both"/>
        <w:rPr>
          <w:i/>
        </w:rPr>
      </w:pPr>
      <w:r>
        <w:rPr>
          <w:i/>
        </w:rPr>
        <w:t>(În cazul în care operatorul descoperă, după înregistrare, că conținutul datelor din registru indică nereguli deoarece)</w:t>
      </w:r>
    </w:p>
    <w:p w14:paraId="13B389E6" w14:textId="77777777" w:rsidR="00173F50" w:rsidRPr="00CF2667" w:rsidRDefault="00173F50" w:rsidP="0018214B">
      <w:pPr>
        <w:spacing w:after="0" w:line="240" w:lineRule="auto"/>
        <w:jc w:val="both"/>
      </w:pPr>
    </w:p>
    <w:p w14:paraId="69BDF0DA" w14:textId="77777777" w:rsidR="0018214B" w:rsidRPr="00CF2667" w:rsidRDefault="003A5B78" w:rsidP="0018214B">
      <w:pPr>
        <w:spacing w:after="0" w:line="240" w:lineRule="auto"/>
        <w:jc w:val="both"/>
      </w:pPr>
      <w:r>
        <w:t>„</w:t>
      </w:r>
      <w:r>
        <w:rPr>
          <w:i/>
        </w:rPr>
        <w:t>(c)</w:t>
      </w:r>
      <w:r>
        <w:t xml:space="preserve"> același jucător este înregistrat de mai multe ori pentru același joc sau pentru același sold al jucătorului;”</w:t>
      </w:r>
    </w:p>
    <w:p w14:paraId="36CDD328" w14:textId="77777777" w:rsidR="00173F50" w:rsidRPr="00CF2667" w:rsidRDefault="00173F50" w:rsidP="0018214B">
      <w:pPr>
        <w:spacing w:after="0" w:line="240" w:lineRule="auto"/>
        <w:jc w:val="both"/>
        <w:rPr>
          <w:i/>
        </w:rPr>
      </w:pPr>
    </w:p>
    <w:p w14:paraId="112A77F5" w14:textId="77777777" w:rsidR="0018214B" w:rsidRPr="00CF2667" w:rsidRDefault="003A5B78" w:rsidP="0018214B">
      <w:pPr>
        <w:spacing w:after="0" w:line="240" w:lineRule="auto"/>
        <w:jc w:val="both"/>
        <w:rPr>
          <w:i/>
        </w:rPr>
      </w:pPr>
      <w:r>
        <w:rPr>
          <w:i/>
        </w:rPr>
        <w:t>(soldul jucătorului va fi suspendat imediat.)</w:t>
      </w:r>
    </w:p>
    <w:p w14:paraId="25489DFD" w14:textId="77777777" w:rsidR="00447FE9" w:rsidRPr="00CF2667" w:rsidRDefault="00447FE9" w:rsidP="0018214B">
      <w:pPr>
        <w:spacing w:after="0" w:line="240" w:lineRule="auto"/>
        <w:jc w:val="both"/>
        <w:rPr>
          <w:rFonts w:eastAsia="Calibri"/>
          <w:b/>
        </w:rPr>
      </w:pPr>
    </w:p>
    <w:p w14:paraId="6DE1BE49" w14:textId="77777777" w:rsidR="0018214B" w:rsidRPr="00CF2667" w:rsidRDefault="0018214B" w:rsidP="0018214B">
      <w:pPr>
        <w:spacing w:after="0" w:line="240" w:lineRule="auto"/>
        <w:jc w:val="both"/>
        <w:rPr>
          <w:rFonts w:eastAsia="Calibri"/>
        </w:rPr>
      </w:pPr>
      <w:r>
        <w:t>(2) Articolul 22 alineatul (2) din Decretul de punere în aplicare se înlocuiește cu următorul text:</w:t>
      </w:r>
    </w:p>
    <w:p w14:paraId="084DEC63" w14:textId="77777777" w:rsidR="0018214B" w:rsidRPr="00CF2667" w:rsidRDefault="0018214B" w:rsidP="0018214B">
      <w:pPr>
        <w:spacing w:after="0" w:line="240" w:lineRule="auto"/>
        <w:jc w:val="both"/>
        <w:rPr>
          <w:rFonts w:eastAsia="Calibri"/>
        </w:rPr>
      </w:pPr>
    </w:p>
    <w:p w14:paraId="30723ACD" w14:textId="77777777" w:rsidR="0018214B" w:rsidRPr="00CF2667" w:rsidRDefault="0018214B" w:rsidP="0018214B">
      <w:pPr>
        <w:spacing w:after="0" w:line="240" w:lineRule="auto"/>
        <w:jc w:val="both"/>
      </w:pPr>
      <w:r>
        <w:t>„(2) În cazul înregistrărilor multiple în conformitate cu alineatul (1) litera</w:t>
      </w:r>
      <w:r>
        <w:rPr>
          <w:i/>
        </w:rPr>
        <w:t>(c)</w:t>
      </w:r>
      <w:r>
        <w:t>, măsurile de închidere definitivă, decontare și excludere a soldului jucătorului din joc se aplică jucătorului și soldului jucătorului afectat, astfel încât să fie disponibil doar un singur sold al jucătorului pentru participarea la un joc.”</w:t>
      </w:r>
    </w:p>
    <w:p w14:paraId="2946A417" w14:textId="77777777" w:rsidR="006E7FC5" w:rsidRPr="00CF2667" w:rsidRDefault="006E7FC5" w:rsidP="006E7FC5">
      <w:pPr>
        <w:spacing w:after="0" w:line="240" w:lineRule="auto"/>
        <w:jc w:val="both"/>
        <w:rPr>
          <w:rFonts w:eastAsia="Calibri"/>
        </w:rPr>
      </w:pPr>
    </w:p>
    <w:p w14:paraId="1611C320" w14:textId="77777777" w:rsidR="005F30D0" w:rsidRPr="00CF2667" w:rsidRDefault="005F30D0" w:rsidP="006E7FC5">
      <w:pPr>
        <w:spacing w:after="0" w:line="240" w:lineRule="auto"/>
        <w:jc w:val="both"/>
        <w:rPr>
          <w:rFonts w:eastAsia="Calibri"/>
        </w:rPr>
      </w:pPr>
      <w:r>
        <w:t>(3) Articolul 22 alineatul (4) din Decretul de punere în aplicare se înlocuiește cu următorul text:</w:t>
      </w:r>
    </w:p>
    <w:p w14:paraId="42776204" w14:textId="77777777" w:rsidR="005F30D0" w:rsidRPr="00CF2667" w:rsidRDefault="005F30D0" w:rsidP="006E7FC5">
      <w:pPr>
        <w:spacing w:after="0" w:line="240" w:lineRule="auto"/>
        <w:jc w:val="both"/>
        <w:rPr>
          <w:rFonts w:eastAsia="Calibri"/>
        </w:rPr>
      </w:pPr>
    </w:p>
    <w:p w14:paraId="78F8008D" w14:textId="431D0808" w:rsidR="00CE4959" w:rsidRPr="00CF2667" w:rsidRDefault="005F30D0" w:rsidP="00CE4959">
      <w:pPr>
        <w:spacing w:after="0" w:line="240" w:lineRule="auto"/>
        <w:jc w:val="both"/>
      </w:pPr>
      <w:r>
        <w:t>„(4) În cazul în care operatorul ia cunoștință de faptul că înregistrarea sau evidența nu este adecvată din alte motive în afara domeniului de aplicare definit la alineatul (1), în special din cauza întârzierii raportării modificărilor datelor, organizatorul ia măsuri pentru a remedia neregulile. Dacă este necesar, operatorul va chema jucătorul să contribuie la eliminarea neregulii și poate suspenda toate soldurile jucătorului afectat până la eliminarea neregulii. În cazul în care neregula nu poate fi eliminată în termen de 30 de zile și, prin urmare, un joc în conformitate cu legea nu poate fi asigurat, operatorul ia măsuri pentru a închide toate soldurile relevante ale jucătorului și pentru a descalifica jucătorul.”</w:t>
      </w:r>
    </w:p>
    <w:p w14:paraId="5D3A1DE7" w14:textId="77777777" w:rsidR="0018214B" w:rsidRPr="00CF2667" w:rsidRDefault="0018214B" w:rsidP="006E7FC5">
      <w:pPr>
        <w:spacing w:after="0" w:line="240" w:lineRule="auto"/>
        <w:jc w:val="both"/>
      </w:pPr>
    </w:p>
    <w:p w14:paraId="199A0A5A" w14:textId="77777777" w:rsidR="009817D0" w:rsidRPr="00CF2667" w:rsidRDefault="009817D0" w:rsidP="009E31C9">
      <w:pPr>
        <w:spacing w:after="0" w:line="240" w:lineRule="auto"/>
        <w:jc w:val="center"/>
        <w:rPr>
          <w:b/>
        </w:rPr>
      </w:pPr>
    </w:p>
    <w:p w14:paraId="53A4CF1C" w14:textId="38586C46" w:rsidR="00CE4959" w:rsidRPr="00CF2667" w:rsidRDefault="00CE4959" w:rsidP="006E7FC5">
      <w:pPr>
        <w:spacing w:after="0" w:line="240" w:lineRule="auto"/>
        <w:jc w:val="both"/>
        <w:rPr>
          <w:rFonts w:eastAsia="Calibri"/>
        </w:rPr>
      </w:pPr>
    </w:p>
    <w:p w14:paraId="74AA5137" w14:textId="333E8DF3" w:rsidR="0018214B" w:rsidRPr="00CF2667" w:rsidRDefault="0053730E" w:rsidP="00CA1F6D">
      <w:pPr>
        <w:spacing w:after="0" w:line="240" w:lineRule="auto"/>
        <w:jc w:val="center"/>
        <w:rPr>
          <w:rFonts w:eastAsia="Calibri"/>
          <w:b/>
        </w:rPr>
      </w:pPr>
      <w:r>
        <w:rPr>
          <w:b/>
        </w:rPr>
        <w:t>Articolul 6</w:t>
      </w:r>
    </w:p>
    <w:p w14:paraId="44FAA856" w14:textId="77777777" w:rsidR="00CA1F6D" w:rsidRPr="00CF2667" w:rsidRDefault="00CA1F6D" w:rsidP="006E7FC5">
      <w:pPr>
        <w:spacing w:after="0" w:line="240" w:lineRule="auto"/>
        <w:jc w:val="both"/>
        <w:rPr>
          <w:rFonts w:eastAsia="Calibri"/>
        </w:rPr>
      </w:pPr>
    </w:p>
    <w:p w14:paraId="5F18C0BC" w14:textId="77777777" w:rsidR="00CA1F6D" w:rsidRPr="00CF2667" w:rsidRDefault="0099589C" w:rsidP="00CA1F6D">
      <w:pPr>
        <w:spacing w:after="0" w:line="240" w:lineRule="auto"/>
        <w:jc w:val="both"/>
      </w:pPr>
      <w:r>
        <w:t>(1) Articolul 25 alineatele (1)-(4) din Decretul de punere în aplicare se înlocuiesc cu următorul text:</w:t>
      </w:r>
    </w:p>
    <w:p w14:paraId="53A6CFCD" w14:textId="77777777" w:rsidR="00CA1F6D" w:rsidRPr="00CF2667" w:rsidRDefault="00CA1F6D" w:rsidP="00CA1F6D">
      <w:pPr>
        <w:spacing w:after="0" w:line="240" w:lineRule="auto"/>
        <w:jc w:val="both"/>
      </w:pPr>
    </w:p>
    <w:p w14:paraId="417ECDB4" w14:textId="77777777" w:rsidR="00CA1F6D" w:rsidRDefault="00CA1F6D" w:rsidP="00CA1F6D">
      <w:pPr>
        <w:spacing w:after="0" w:line="240" w:lineRule="auto"/>
        <w:jc w:val="both"/>
      </w:pPr>
      <w:r>
        <w:t xml:space="preserve">„(1) În cazul în care operatorul este autorizat să organizeze alte jocuri de noroc decât jocurile de noroc la distanță, decontarea și înregistrarea pariurilor, a câștigurilor și a altor tranzacții legate de jocurile de noroc pot fi păstrate pentru jucător pe un singur sold comun sau pe mai multe solduri comune în raport cu toate jocurile afectate de soldul unui anumit jucător. </w:t>
      </w:r>
    </w:p>
    <w:p w14:paraId="489F5722" w14:textId="77777777" w:rsidR="00BE630A" w:rsidRPr="00CF2667" w:rsidRDefault="00BE630A" w:rsidP="00CA1F6D">
      <w:pPr>
        <w:spacing w:after="0" w:line="240" w:lineRule="auto"/>
        <w:jc w:val="both"/>
        <w:rPr>
          <w:strike/>
        </w:rPr>
      </w:pPr>
    </w:p>
    <w:p w14:paraId="38A65140" w14:textId="77777777" w:rsidR="00CA1F6D" w:rsidRDefault="00CA1F6D" w:rsidP="00CA1F6D">
      <w:pPr>
        <w:spacing w:after="0" w:line="240" w:lineRule="auto"/>
        <w:jc w:val="both"/>
      </w:pPr>
      <w:r>
        <w:t>(2) Organizatorul poate stabili soldul comun al jucătorului utilizând soldul jucătorului deja în vigoare la organizator sau separat de acesta.</w:t>
      </w:r>
    </w:p>
    <w:p w14:paraId="23DE9B81" w14:textId="77777777" w:rsidR="00BE630A" w:rsidRPr="00CF2667" w:rsidRDefault="00BE630A" w:rsidP="00CA1F6D">
      <w:pPr>
        <w:spacing w:after="0" w:line="240" w:lineRule="auto"/>
        <w:jc w:val="both"/>
      </w:pPr>
    </w:p>
    <w:p w14:paraId="5F87DC70" w14:textId="01D878ED" w:rsidR="00CA1F6D" w:rsidRDefault="00CA1F6D" w:rsidP="00CA1F6D">
      <w:pPr>
        <w:spacing w:after="0" w:line="240" w:lineRule="auto"/>
        <w:jc w:val="both"/>
      </w:pPr>
      <w:r>
        <w:t>(3) În cazul în care se stabilește un sold comun al jucătorului utilizând soldul existent sau separat de acesta, participarea jucătorului la jocurile de noroc la distanță poate avea loc odată ce au fost respectate dispozițiile privind jocurile de noroc la distanță.</w:t>
      </w:r>
    </w:p>
    <w:p w14:paraId="2E0069C6" w14:textId="77777777" w:rsidR="00BE630A" w:rsidRPr="00CF2667" w:rsidRDefault="00BE630A" w:rsidP="00CA1F6D">
      <w:pPr>
        <w:spacing w:after="0" w:line="240" w:lineRule="auto"/>
        <w:jc w:val="both"/>
      </w:pPr>
    </w:p>
    <w:p w14:paraId="7A20ACDF" w14:textId="77777777" w:rsidR="00CA1F6D" w:rsidRPr="00CF2667" w:rsidRDefault="00CA1F6D" w:rsidP="00CA1F6D">
      <w:pPr>
        <w:spacing w:after="0" w:line="240" w:lineRule="auto"/>
        <w:jc w:val="both"/>
      </w:pPr>
      <w:r>
        <w:t>(4) Marja de plată pentru soldurile comune ale jucătorilor în conformitate cu articolul 29/H alineatul (5) din Legea privind jocurile de noroc trebuie stabilită astfel încât să se asigure plata tuturor jocurilor afectate.”</w:t>
      </w:r>
    </w:p>
    <w:p w14:paraId="5294CE56" w14:textId="77777777" w:rsidR="0099589C" w:rsidRPr="00CF2667" w:rsidRDefault="0099589C" w:rsidP="00CA1F6D">
      <w:pPr>
        <w:spacing w:after="0" w:line="240" w:lineRule="auto"/>
        <w:jc w:val="both"/>
      </w:pPr>
    </w:p>
    <w:p w14:paraId="31BCA5AA" w14:textId="68A3C0CF" w:rsidR="0099589C" w:rsidRPr="00CF2667" w:rsidRDefault="0099589C" w:rsidP="00CA1F6D">
      <w:pPr>
        <w:spacing w:after="0" w:line="240" w:lineRule="auto"/>
        <w:jc w:val="both"/>
      </w:pPr>
      <w:r>
        <w:t>(2) Articolul 25 alineatele (6) și (7) din Decretul de punere în aplicare se înlocuiesc cu următorul text:</w:t>
      </w:r>
    </w:p>
    <w:p w14:paraId="2D2C3E3B" w14:textId="77777777" w:rsidR="0099589C" w:rsidRPr="00CF2667" w:rsidRDefault="0099589C" w:rsidP="00CA1F6D">
      <w:pPr>
        <w:spacing w:after="0" w:line="240" w:lineRule="auto"/>
        <w:jc w:val="both"/>
      </w:pPr>
    </w:p>
    <w:p w14:paraId="155C1E40" w14:textId="77777777" w:rsidR="00CA1F6D" w:rsidRDefault="0099589C" w:rsidP="00CA1F6D">
      <w:pPr>
        <w:spacing w:after="0" w:line="240" w:lineRule="auto"/>
        <w:jc w:val="both"/>
      </w:pPr>
      <w:r>
        <w:t xml:space="preserve">„(6) În perioada de suspendare a licenței pentru un joc, operatorul transferă soldului comun al jucătorului orice taxă, credit legat de decontarea tranzacțiilor de joc în alte jocuri decât jocul afectat, care trebuie să aparțină soldului comun, și efectuează plăți în legătură cu astfel de tranzacții de joc. În contextul jocului care este afectat de suspendarea licenței, operatorul </w:t>
      </w:r>
      <w:r>
        <w:lastRenderedPageBreak/>
        <w:t>transferă numai taxele și creditele pentru jocurile anterioare datei suspendării și poate efectua plăți numai în legătură cu decontarea tranzacțiilor de joc înainte de data suspendării.</w:t>
      </w:r>
    </w:p>
    <w:p w14:paraId="60E69676" w14:textId="77777777" w:rsidR="00BE630A" w:rsidRPr="00CF2667" w:rsidRDefault="00BE630A" w:rsidP="00CA1F6D">
      <w:pPr>
        <w:spacing w:after="0" w:line="240" w:lineRule="auto"/>
        <w:jc w:val="both"/>
      </w:pPr>
    </w:p>
    <w:p w14:paraId="0A01354D" w14:textId="77777777" w:rsidR="00CA1F6D" w:rsidRPr="00CF2667" w:rsidRDefault="00CA1F6D" w:rsidP="00CA1F6D">
      <w:pPr>
        <w:spacing w:after="0" w:line="240" w:lineRule="auto"/>
        <w:jc w:val="both"/>
      </w:pPr>
      <w:r>
        <w:t>(7) Suspendarea sau încetarea soldului comun al jucătorului de către operator este considerată o măsură care afectează toate jocurile. În cazul unei interdicții în temeiul Decretului SZTFH privind modalitățile de organizare a jocurilor responsabile, operatorul precizează în planul de joc și în normele de participare dacă, în cazul unei încălcări grave a contractului, soldul jucătorului și posibilitatea de acces la jocuri încetează să existe pentru toate jocurile în cauză.”</w:t>
      </w:r>
    </w:p>
    <w:p w14:paraId="6B66795A" w14:textId="77777777" w:rsidR="00672BEF" w:rsidRPr="00CF2667" w:rsidRDefault="00672BEF" w:rsidP="00CA1F6D">
      <w:pPr>
        <w:spacing w:after="0" w:line="240" w:lineRule="auto"/>
        <w:jc w:val="both"/>
      </w:pPr>
    </w:p>
    <w:p w14:paraId="554A5C3E" w14:textId="6D28C58D" w:rsidR="00672BEF" w:rsidRPr="00CF2667" w:rsidRDefault="0053730E" w:rsidP="008902D0">
      <w:pPr>
        <w:keepNext/>
        <w:keepLines/>
        <w:spacing w:after="0" w:line="240" w:lineRule="auto"/>
        <w:jc w:val="center"/>
        <w:rPr>
          <w:rFonts w:eastAsia="Calibri"/>
          <w:b/>
        </w:rPr>
      </w:pPr>
      <w:r>
        <w:rPr>
          <w:b/>
        </w:rPr>
        <w:t>Articolul 7</w:t>
      </w:r>
    </w:p>
    <w:p w14:paraId="20C19BC1" w14:textId="77777777" w:rsidR="005A6F45" w:rsidRPr="00CF2667" w:rsidRDefault="005A6F45" w:rsidP="008902D0">
      <w:pPr>
        <w:keepNext/>
        <w:keepLines/>
        <w:spacing w:after="0"/>
        <w:rPr>
          <w:b/>
        </w:rPr>
      </w:pPr>
    </w:p>
    <w:p w14:paraId="3E80FDCD" w14:textId="502FA8D5" w:rsidR="005A6F45" w:rsidRPr="00CF2667" w:rsidRDefault="005A6F45" w:rsidP="00D007AF">
      <w:pPr>
        <w:spacing w:after="0"/>
        <w:jc w:val="both"/>
      </w:pPr>
      <w:r>
        <w:t>Articolul 26 alineatele (2)-(3) din Decretul de punere în aplicare se înlocuiesc cu următorul text:</w:t>
      </w:r>
    </w:p>
    <w:p w14:paraId="75956E45" w14:textId="77777777" w:rsidR="005A6F45" w:rsidRPr="00CF2667" w:rsidRDefault="005A6F45" w:rsidP="005A6F45">
      <w:pPr>
        <w:spacing w:after="0" w:line="240" w:lineRule="auto"/>
        <w:jc w:val="both"/>
      </w:pPr>
    </w:p>
    <w:p w14:paraId="00B4543E" w14:textId="4F6CE1E6" w:rsidR="005A6F45" w:rsidRDefault="005A6F45" w:rsidP="005A6F45">
      <w:pPr>
        <w:spacing w:after="0" w:line="240" w:lineRule="auto"/>
        <w:jc w:val="both"/>
      </w:pPr>
      <w:r>
        <w:t>„(2) Operatorul poate, din alte motive specificate în planul de joc și în regulile de participare, în special în cazul încălcării regulilor de participare la joc, să suspende soldul jucătorului care aparține acelui joc sau chiar fiecare sold de jucător al jucătorului.</w:t>
      </w:r>
    </w:p>
    <w:p w14:paraId="09271C4A" w14:textId="77777777" w:rsidR="00BE630A" w:rsidRPr="00CF2667" w:rsidRDefault="00BE630A" w:rsidP="005A6F45">
      <w:pPr>
        <w:spacing w:after="0" w:line="240" w:lineRule="auto"/>
        <w:jc w:val="both"/>
      </w:pPr>
    </w:p>
    <w:p w14:paraId="211075B7" w14:textId="77777777" w:rsidR="005A6F45" w:rsidRPr="00CF2667" w:rsidRDefault="005A6F45" w:rsidP="005A6F45">
      <w:pPr>
        <w:spacing w:after="0" w:line="240" w:lineRule="auto"/>
        <w:jc w:val="both"/>
      </w:pPr>
      <w:r>
        <w:t>(3) Operatorul informează imediat jucătorul, prin e-mail, cu privire la faptul, data și motivul suspendării soldului sau soldurilor jucătorului sau cu privire la faptul și data încetării suspendării.”</w:t>
      </w:r>
    </w:p>
    <w:p w14:paraId="0F80A0E3" w14:textId="77777777" w:rsidR="00672BEF" w:rsidRPr="00CF2667" w:rsidRDefault="00672BEF" w:rsidP="00CA1F6D">
      <w:pPr>
        <w:spacing w:after="0" w:line="240" w:lineRule="auto"/>
        <w:jc w:val="both"/>
      </w:pPr>
    </w:p>
    <w:p w14:paraId="54A8D44E" w14:textId="1F230B53" w:rsidR="00CA1F6D" w:rsidRPr="00CF2667" w:rsidRDefault="006A2019" w:rsidP="00883ECB">
      <w:pPr>
        <w:spacing w:after="0" w:line="240" w:lineRule="auto"/>
        <w:jc w:val="center"/>
        <w:rPr>
          <w:rFonts w:eastAsia="Calibri"/>
          <w:b/>
        </w:rPr>
      </w:pPr>
      <w:r>
        <w:rPr>
          <w:b/>
        </w:rPr>
        <w:t>Articolul 8</w:t>
      </w:r>
    </w:p>
    <w:p w14:paraId="6BE5A07E" w14:textId="77777777" w:rsidR="00CA1F6D" w:rsidRPr="00CF2667" w:rsidRDefault="00CA1F6D" w:rsidP="006E7FC5">
      <w:pPr>
        <w:spacing w:after="0" w:line="240" w:lineRule="auto"/>
        <w:jc w:val="both"/>
        <w:rPr>
          <w:rFonts w:eastAsia="Calibri"/>
        </w:rPr>
      </w:pPr>
    </w:p>
    <w:p w14:paraId="634AF65C" w14:textId="77777777" w:rsidR="00883ECB" w:rsidRPr="00CF2667" w:rsidRDefault="00883ECB" w:rsidP="00883ECB">
      <w:pPr>
        <w:spacing w:after="0" w:line="240" w:lineRule="auto"/>
        <w:jc w:val="both"/>
      </w:pPr>
      <w:r>
        <w:t>Articolul 29 alineatul (3) din Decretul de punere în aplicare se înlocuiește cu următorul text:</w:t>
      </w:r>
    </w:p>
    <w:p w14:paraId="4DDA198A" w14:textId="77777777" w:rsidR="00883ECB" w:rsidRPr="00CF2667" w:rsidRDefault="00883ECB" w:rsidP="00883ECB">
      <w:pPr>
        <w:spacing w:after="0" w:line="240" w:lineRule="auto"/>
        <w:jc w:val="both"/>
      </w:pPr>
    </w:p>
    <w:p w14:paraId="43128F1C" w14:textId="71C5936B" w:rsidR="00883ECB" w:rsidRPr="00CF2667" w:rsidRDefault="00883ECB" w:rsidP="00883ECB">
      <w:pPr>
        <w:spacing w:after="0" w:line="240" w:lineRule="auto"/>
        <w:jc w:val="both"/>
      </w:pPr>
      <w:r>
        <w:t>„(3) În cazul unui sold comun al jucătorului, bonusul cadou și oferta specială de bonus pot fi utilizate de jucător ca pariuri în scopul jocurilor de noroc în soldul jucătorului respectiv, cu condiția ca operatorul să îl contabilizeze în același mod în care este definit în planurile de joc aprobate.”</w:t>
      </w:r>
    </w:p>
    <w:p w14:paraId="3A09060E" w14:textId="77777777" w:rsidR="00883ECB" w:rsidRPr="00CF2667" w:rsidRDefault="00883ECB" w:rsidP="006E7FC5">
      <w:pPr>
        <w:spacing w:after="0" w:line="240" w:lineRule="auto"/>
        <w:jc w:val="both"/>
        <w:rPr>
          <w:rFonts w:eastAsia="Calibri"/>
        </w:rPr>
      </w:pPr>
    </w:p>
    <w:p w14:paraId="073A1B9C" w14:textId="1E762FAB" w:rsidR="00883ECB" w:rsidRPr="00CF2667" w:rsidRDefault="006A2019" w:rsidP="00BE416C">
      <w:pPr>
        <w:spacing w:after="0" w:line="240" w:lineRule="auto"/>
        <w:jc w:val="center"/>
        <w:rPr>
          <w:rFonts w:eastAsia="Calibri"/>
          <w:b/>
        </w:rPr>
      </w:pPr>
      <w:r>
        <w:rPr>
          <w:b/>
        </w:rPr>
        <w:t>Articolul 9</w:t>
      </w:r>
    </w:p>
    <w:p w14:paraId="5B41DEF3" w14:textId="77777777" w:rsidR="00BE416C" w:rsidRPr="00CF2667" w:rsidRDefault="00BE416C" w:rsidP="00BE416C">
      <w:pPr>
        <w:spacing w:after="0" w:line="240" w:lineRule="auto"/>
        <w:jc w:val="both"/>
        <w:rPr>
          <w:rFonts w:eastAsia="Calibri"/>
          <w:b/>
        </w:rPr>
      </w:pPr>
    </w:p>
    <w:p w14:paraId="091301B9" w14:textId="77777777" w:rsidR="00BE416C" w:rsidRPr="00CF2667" w:rsidRDefault="00BE416C" w:rsidP="00BE416C">
      <w:pPr>
        <w:spacing w:after="0" w:line="240" w:lineRule="auto"/>
        <w:jc w:val="both"/>
      </w:pPr>
      <w:r>
        <w:t>Articolul 32 alineatul (2) din Decretul de punere în aplicare se înlocuiește cu următorul text:</w:t>
      </w:r>
    </w:p>
    <w:p w14:paraId="3935C9D5" w14:textId="77777777" w:rsidR="00BE416C" w:rsidRPr="00CF2667" w:rsidRDefault="00BE416C" w:rsidP="00BE416C">
      <w:pPr>
        <w:spacing w:after="0" w:line="240" w:lineRule="auto"/>
        <w:jc w:val="both"/>
      </w:pPr>
    </w:p>
    <w:p w14:paraId="5F8CCFFC" w14:textId="77777777" w:rsidR="00BE416C" w:rsidRPr="00CF2667" w:rsidRDefault="00BE416C" w:rsidP="00BE416C">
      <w:pPr>
        <w:spacing w:after="0" w:line="240" w:lineRule="auto"/>
        <w:jc w:val="both"/>
      </w:pPr>
      <w:r>
        <w:t xml:space="preserve">„(2) În cazul mai multor solduri comune ale jucătorilor menționate la articolul 25 alineatul (1), datele indicate în anexa 3 clauza I literele </w:t>
      </w:r>
      <w:r>
        <w:rPr>
          <w:i/>
        </w:rPr>
        <w:t>(a)</w:t>
      </w:r>
      <w:r>
        <w:t>-</w:t>
      </w:r>
      <w:r>
        <w:rPr>
          <w:i/>
        </w:rPr>
        <w:t>(d)</w:t>
      </w:r>
      <w:r>
        <w:t xml:space="preserve">, </w:t>
      </w:r>
      <w:r>
        <w:rPr>
          <w:i/>
        </w:rPr>
        <w:t>(i)</w:t>
      </w:r>
      <w:r>
        <w:t>-</w:t>
      </w:r>
      <w:r>
        <w:rPr>
          <w:i/>
        </w:rPr>
        <w:t>(l)</w:t>
      </w:r>
      <w:r>
        <w:t xml:space="preserve"> și </w:t>
      </w:r>
      <w:r>
        <w:rPr>
          <w:i/>
        </w:rPr>
        <w:t>(n)</w:t>
      </w:r>
      <w:r>
        <w:t xml:space="preserve"> se furnizează în legătură cu soldul comun al jucătorilor în cauză.”</w:t>
      </w:r>
    </w:p>
    <w:p w14:paraId="3C2DC92C" w14:textId="77777777" w:rsidR="00EF1F0E" w:rsidRPr="00CF2667" w:rsidRDefault="00EF1F0E" w:rsidP="00D831E3">
      <w:pPr>
        <w:spacing w:after="0" w:line="240" w:lineRule="auto"/>
        <w:jc w:val="center"/>
        <w:rPr>
          <w:rFonts w:eastAsia="Calibri"/>
          <w:b/>
        </w:rPr>
      </w:pPr>
    </w:p>
    <w:p w14:paraId="3368B22F" w14:textId="77777777" w:rsidR="00CC2AA8" w:rsidRPr="00CF2667" w:rsidRDefault="00CC2AA8" w:rsidP="009B4363">
      <w:pPr>
        <w:spacing w:after="0"/>
        <w:jc w:val="both"/>
      </w:pPr>
    </w:p>
    <w:p w14:paraId="5288889E" w14:textId="005DDDB9" w:rsidR="00BE416C" w:rsidRPr="00CF2667" w:rsidRDefault="00D831E3" w:rsidP="00BE416C">
      <w:pPr>
        <w:spacing w:after="0" w:line="240" w:lineRule="auto"/>
        <w:jc w:val="center"/>
        <w:rPr>
          <w:rFonts w:eastAsia="Calibri"/>
          <w:b/>
        </w:rPr>
      </w:pPr>
      <w:r>
        <w:rPr>
          <w:b/>
        </w:rPr>
        <w:t>Articolul 10</w:t>
      </w:r>
    </w:p>
    <w:p w14:paraId="5AEE038B" w14:textId="77777777" w:rsidR="00883ECB" w:rsidRPr="00CF2667" w:rsidRDefault="00883ECB" w:rsidP="006E7FC5">
      <w:pPr>
        <w:spacing w:after="0" w:line="240" w:lineRule="auto"/>
        <w:jc w:val="both"/>
        <w:rPr>
          <w:rFonts w:eastAsia="Calibri"/>
        </w:rPr>
      </w:pPr>
    </w:p>
    <w:p w14:paraId="780AC5C8" w14:textId="77777777" w:rsidR="00BE416C" w:rsidRDefault="00BE416C" w:rsidP="00BE416C">
      <w:r>
        <w:t>Articolul 76 alineatul (5) din Decretul de punere în aplicare se înlocuiește cu următorul text:</w:t>
      </w:r>
    </w:p>
    <w:p w14:paraId="7CCD7B57" w14:textId="4704AFFB" w:rsidR="00D87DB3" w:rsidRPr="00B404C3" w:rsidRDefault="00D87DB3" w:rsidP="00BE416C">
      <w:pPr>
        <w:rPr>
          <w:i/>
        </w:rPr>
      </w:pPr>
      <w:r>
        <w:rPr>
          <w:i/>
        </w:rPr>
        <w:t>(În sensul prezentului regulament)</w:t>
      </w:r>
    </w:p>
    <w:p w14:paraId="50528523" w14:textId="77777777" w:rsidR="00BE416C" w:rsidRPr="00CF2667" w:rsidRDefault="00BE416C" w:rsidP="00BE416C">
      <w:pPr>
        <w:spacing w:after="0" w:line="240" w:lineRule="auto"/>
        <w:jc w:val="both"/>
      </w:pPr>
      <w:r>
        <w:t xml:space="preserve">„(5) </w:t>
      </w:r>
      <w:r>
        <w:rPr>
          <w:i/>
        </w:rPr>
        <w:t>sold comun al jucătorului</w:t>
      </w:r>
      <w:r>
        <w:t xml:space="preserve"> înseamnă un sold al jucătorului deținut de un operator (care este autorizat să organizeze mai multe tipuri de jocuri de noroc) în scopul contabilizării și înregistrării pariurilor, câștigurilor și altor tranzacții de jocuri legate de jocurile în cauză.”</w:t>
      </w:r>
    </w:p>
    <w:p w14:paraId="08CA76BF" w14:textId="77777777" w:rsidR="006E7FC5" w:rsidRPr="00CF2667" w:rsidRDefault="006E7FC5" w:rsidP="006E7FC5">
      <w:pPr>
        <w:spacing w:after="0" w:line="240" w:lineRule="auto"/>
        <w:jc w:val="both"/>
        <w:rPr>
          <w:rFonts w:eastAsia="Calibri"/>
        </w:rPr>
      </w:pPr>
    </w:p>
    <w:p w14:paraId="1A64D24D" w14:textId="6112EEA4" w:rsidR="004B77C9" w:rsidRPr="00CF2667" w:rsidRDefault="004B77C9" w:rsidP="006E7FC5">
      <w:pPr>
        <w:spacing w:after="0" w:line="240" w:lineRule="auto"/>
        <w:jc w:val="both"/>
        <w:rPr>
          <w:rFonts w:eastAsia="Calibri"/>
        </w:rPr>
      </w:pPr>
    </w:p>
    <w:p w14:paraId="28E48A86" w14:textId="77777777" w:rsidR="00024F51" w:rsidRPr="00CF2667" w:rsidRDefault="00024F51" w:rsidP="00D851ED">
      <w:pPr>
        <w:spacing w:after="0" w:line="240" w:lineRule="auto"/>
        <w:jc w:val="center"/>
        <w:rPr>
          <w:rFonts w:eastAsia="Calibri"/>
          <w:b/>
        </w:rPr>
      </w:pPr>
    </w:p>
    <w:p w14:paraId="62A2F325" w14:textId="299A9708" w:rsidR="00024F51" w:rsidRDefault="00B8585F" w:rsidP="00D851ED">
      <w:pPr>
        <w:spacing w:after="0" w:line="240" w:lineRule="auto"/>
        <w:jc w:val="center"/>
        <w:rPr>
          <w:rFonts w:eastAsia="Calibri"/>
          <w:b/>
        </w:rPr>
      </w:pPr>
      <w:r>
        <w:rPr>
          <w:b/>
        </w:rPr>
        <w:lastRenderedPageBreak/>
        <w:t>Articolul 11</w:t>
      </w:r>
    </w:p>
    <w:p w14:paraId="2AA0E041" w14:textId="77777777" w:rsidR="00B8585F" w:rsidRDefault="00B8585F" w:rsidP="00D851ED">
      <w:pPr>
        <w:spacing w:after="0" w:line="240" w:lineRule="auto"/>
        <w:jc w:val="center"/>
        <w:rPr>
          <w:rFonts w:eastAsia="Calibri"/>
          <w:b/>
        </w:rPr>
      </w:pPr>
    </w:p>
    <w:p w14:paraId="284227C6" w14:textId="77777777" w:rsidR="00B8585F" w:rsidRDefault="00B8585F" w:rsidP="00B8585F">
      <w:pPr>
        <w:spacing w:after="0" w:line="240" w:lineRule="auto"/>
        <w:jc w:val="both"/>
        <w:rPr>
          <w:rFonts w:eastAsia="Calibri"/>
        </w:rPr>
      </w:pPr>
      <w:r>
        <w:t>La capitolul XI din decretul de punere în aplicare se adaugă un nou articol 79, care are următoarea formulare:</w:t>
      </w:r>
    </w:p>
    <w:p w14:paraId="0CFCA622" w14:textId="77777777" w:rsidR="00B8585F" w:rsidRDefault="00B8585F" w:rsidP="00B8585F">
      <w:pPr>
        <w:spacing w:after="0" w:line="240" w:lineRule="auto"/>
        <w:jc w:val="both"/>
        <w:rPr>
          <w:rFonts w:eastAsia="Calibri"/>
          <w:b/>
        </w:rPr>
      </w:pPr>
    </w:p>
    <w:p w14:paraId="537E199A" w14:textId="5CD65CEE" w:rsidR="00B8585F" w:rsidRPr="003B294C" w:rsidRDefault="00B8585F" w:rsidP="00B8585F">
      <w:pPr>
        <w:spacing w:after="0" w:line="240" w:lineRule="auto"/>
        <w:jc w:val="both"/>
        <w:rPr>
          <w:rFonts w:eastAsia="Calibri"/>
        </w:rPr>
      </w:pPr>
      <w:r>
        <w:t>„Articolul 79 Proiectele de dispoziții ale prezentului regulament stabilite prin Decretul SZTFH nr..../2023 (......) de modificare a Decretului SZTFH nr. 20/2021 din 29 octombrie 2021 privind punerea în aplicare a sarcinilor legate de autorizarea, gestionarea și controlul anumitor jocuri de noroc, și anume articolul 2/A, articolul 13 alineatele (3), (10) și (11), articolul 7/A, articolul 16/F, articolul 22 alineatul (1), articolul 22 alineatele (2) și (4), articolul 25 alineatele (1)-(4), (6) și (7), articolul 26 alineatele (2) și (3), articolul 29 alineatul (3), articolul 32 alineatul (2), articolul 76 alineatul (5) și anexa 2 clauza C alineatul (1) au fost notificate în prealabil în conformitate cu articolele 5-7 din Directiva (UE) 2015/1535 a Parlamentului European și a Consiliului din 9 septembrie 2015 referitoare la procedura de furnizare de informații în domeniul reglementărilor tehnice și al normelor privind serviciile societății informaționale.”</w:t>
      </w:r>
    </w:p>
    <w:p w14:paraId="78C7E8FD" w14:textId="77777777" w:rsidR="00B8585F" w:rsidRPr="00CF2667" w:rsidRDefault="00B8585F" w:rsidP="00D851ED">
      <w:pPr>
        <w:spacing w:after="0" w:line="240" w:lineRule="auto"/>
        <w:jc w:val="center"/>
        <w:rPr>
          <w:rFonts w:eastAsia="Calibri"/>
          <w:b/>
        </w:rPr>
      </w:pPr>
    </w:p>
    <w:p w14:paraId="2056C2B0" w14:textId="77777777" w:rsidR="00024F51" w:rsidRPr="00CF2667" w:rsidRDefault="00024F51" w:rsidP="00D851ED">
      <w:pPr>
        <w:spacing w:after="0" w:line="240" w:lineRule="auto"/>
        <w:jc w:val="center"/>
        <w:rPr>
          <w:rFonts w:eastAsia="Calibri"/>
          <w:b/>
        </w:rPr>
      </w:pPr>
    </w:p>
    <w:p w14:paraId="115BBCEA" w14:textId="2E59E0DF" w:rsidR="00B8585F" w:rsidRPr="00CF2667" w:rsidRDefault="00D831E3" w:rsidP="00B8585F">
      <w:pPr>
        <w:spacing w:after="0" w:line="240" w:lineRule="auto"/>
        <w:jc w:val="center"/>
        <w:rPr>
          <w:rFonts w:eastAsia="Calibri"/>
          <w:b/>
        </w:rPr>
      </w:pPr>
      <w:r>
        <w:rPr>
          <w:b/>
        </w:rPr>
        <w:t>Articolul 12</w:t>
      </w:r>
    </w:p>
    <w:p w14:paraId="7508A6B6" w14:textId="77777777" w:rsidR="006E7FC5" w:rsidRPr="00CF2667" w:rsidRDefault="006E7FC5" w:rsidP="006E7FC5">
      <w:pPr>
        <w:spacing w:after="0" w:line="240" w:lineRule="auto"/>
        <w:jc w:val="both"/>
        <w:rPr>
          <w:rFonts w:eastAsia="Calibri"/>
        </w:rPr>
      </w:pPr>
    </w:p>
    <w:p w14:paraId="67F085A2" w14:textId="718B856E" w:rsidR="00173F50" w:rsidRPr="00CF2667" w:rsidRDefault="00CB7CD2" w:rsidP="006E7FC5">
      <w:pPr>
        <w:spacing w:after="0" w:line="240" w:lineRule="auto"/>
        <w:jc w:val="both"/>
        <w:rPr>
          <w:rFonts w:eastAsia="Calibri"/>
        </w:rPr>
      </w:pPr>
      <w:r>
        <w:t xml:space="preserve">În decretul de punere în aplicare, </w:t>
      </w:r>
    </w:p>
    <w:p w14:paraId="1AD1CF86" w14:textId="6E94142C" w:rsidR="00A52272" w:rsidRPr="00CF2667" w:rsidRDefault="00F63205" w:rsidP="006E7FC5">
      <w:pPr>
        <w:spacing w:after="0" w:line="240" w:lineRule="auto"/>
        <w:jc w:val="both"/>
        <w:rPr>
          <w:rFonts w:eastAsia="Calibri"/>
        </w:rPr>
      </w:pPr>
      <w:r>
        <w:rPr>
          <w:i/>
        </w:rPr>
        <w:t>(a)</w:t>
      </w:r>
      <w:r>
        <w:t xml:space="preserve"> la articolul 22 alineatul (1), cuvintele „soldul jucătorului” se înlocuiesc cu cuvintele „toate soldurile jucătorului în cauză”;</w:t>
      </w:r>
    </w:p>
    <w:p w14:paraId="0E38F8A0" w14:textId="10A0D320" w:rsidR="00F63205" w:rsidRPr="008D4778" w:rsidRDefault="00F63205" w:rsidP="00F63205">
      <w:pPr>
        <w:spacing w:after="0" w:line="240" w:lineRule="auto"/>
        <w:jc w:val="both"/>
        <w:rPr>
          <w:rFonts w:eastAsia="Calibri"/>
        </w:rPr>
      </w:pPr>
      <w:r>
        <w:rPr>
          <w:i/>
        </w:rPr>
        <w:t>(b)</w:t>
      </w:r>
      <w:r>
        <w:t xml:space="preserve"> în anexa 2 clauza C punctul 1, cuvintele „pentru soldul comun al jucătorului” se înlocuiesc cu cuvintele „pentru soldul comun al jucătorului în cauză”.</w:t>
      </w:r>
    </w:p>
    <w:p w14:paraId="3DF148E3" w14:textId="77777777" w:rsidR="00BF5C0C" w:rsidRPr="00CF2667" w:rsidRDefault="00BF5C0C" w:rsidP="006E7FC5">
      <w:pPr>
        <w:spacing w:after="0" w:line="240" w:lineRule="auto"/>
        <w:jc w:val="both"/>
        <w:rPr>
          <w:rFonts w:eastAsia="Calibri"/>
        </w:rPr>
      </w:pPr>
    </w:p>
    <w:p w14:paraId="264E9D44" w14:textId="77777777" w:rsidR="00CC2AA8" w:rsidRPr="00CF2667" w:rsidRDefault="00CC2AA8" w:rsidP="006E7FC5">
      <w:pPr>
        <w:spacing w:after="0" w:line="240" w:lineRule="auto"/>
        <w:jc w:val="both"/>
        <w:rPr>
          <w:rFonts w:eastAsia="Calibri"/>
        </w:rPr>
      </w:pPr>
    </w:p>
    <w:p w14:paraId="1B62B26B" w14:textId="77777777" w:rsidR="00A52272" w:rsidRPr="00CF2667" w:rsidRDefault="00A52272" w:rsidP="006E7FC5">
      <w:pPr>
        <w:spacing w:after="0" w:line="240" w:lineRule="auto"/>
        <w:jc w:val="both"/>
        <w:rPr>
          <w:rFonts w:eastAsia="Calibri"/>
        </w:rPr>
      </w:pPr>
    </w:p>
    <w:p w14:paraId="34636380" w14:textId="61602DFD" w:rsidR="00421C27" w:rsidRPr="00CF2667" w:rsidRDefault="00D831E3" w:rsidP="00421C27">
      <w:pPr>
        <w:spacing w:after="0" w:line="240" w:lineRule="auto"/>
        <w:jc w:val="center"/>
        <w:rPr>
          <w:rFonts w:eastAsia="Calibri"/>
          <w:b/>
        </w:rPr>
      </w:pPr>
      <w:r>
        <w:rPr>
          <w:b/>
        </w:rPr>
        <w:t>Articolul 13</w:t>
      </w:r>
    </w:p>
    <w:p w14:paraId="63ECFAEB" w14:textId="45A2EF41" w:rsidR="00BF5C0C" w:rsidRPr="00CF2667" w:rsidRDefault="00BF5C0C" w:rsidP="006E7FC5">
      <w:pPr>
        <w:spacing w:after="0" w:line="240" w:lineRule="auto"/>
        <w:jc w:val="both"/>
        <w:rPr>
          <w:rFonts w:eastAsia="Calibri"/>
        </w:rPr>
      </w:pPr>
    </w:p>
    <w:p w14:paraId="1562E5E9" w14:textId="77777777" w:rsidR="00C9669B" w:rsidRPr="00CF2667" w:rsidRDefault="00D851ED" w:rsidP="006E7FC5">
      <w:pPr>
        <w:spacing w:after="0" w:line="240" w:lineRule="auto"/>
        <w:jc w:val="both"/>
        <w:rPr>
          <w:rFonts w:eastAsia="Calibri"/>
        </w:rPr>
      </w:pPr>
      <w:r>
        <w:t>Se abrogă următoarele dispoziții ale decretului de punere în aplicare:</w:t>
      </w:r>
    </w:p>
    <w:p w14:paraId="0E1ADBA3" w14:textId="77777777" w:rsidR="00BF5C0C" w:rsidRPr="00CF2667" w:rsidRDefault="00BF5C0C" w:rsidP="006E7FC5">
      <w:pPr>
        <w:spacing w:after="0" w:line="240" w:lineRule="auto"/>
        <w:jc w:val="both"/>
        <w:rPr>
          <w:rFonts w:eastAsia="Calibri"/>
        </w:rPr>
      </w:pPr>
    </w:p>
    <w:p w14:paraId="3768B456" w14:textId="77777777" w:rsidR="00C9669B" w:rsidRPr="00CF2667" w:rsidRDefault="00C9669B" w:rsidP="006E7FC5">
      <w:pPr>
        <w:spacing w:after="0" w:line="240" w:lineRule="auto"/>
        <w:jc w:val="both"/>
        <w:rPr>
          <w:rFonts w:eastAsia="Calibri"/>
        </w:rPr>
      </w:pPr>
      <w:r>
        <w:rPr>
          <w:i/>
        </w:rPr>
        <w:t>(a)</w:t>
      </w:r>
      <w:r>
        <w:t xml:space="preserve"> articolul 11 alineatul (2);</w:t>
      </w:r>
    </w:p>
    <w:p w14:paraId="46DB22F4" w14:textId="77777777" w:rsidR="00D851ED" w:rsidRPr="00CF2667" w:rsidRDefault="00C9669B" w:rsidP="006E7FC5">
      <w:pPr>
        <w:spacing w:after="0" w:line="240" w:lineRule="auto"/>
        <w:jc w:val="both"/>
        <w:rPr>
          <w:rFonts w:eastAsia="Calibri"/>
        </w:rPr>
      </w:pPr>
      <w:r>
        <w:rPr>
          <w:i/>
        </w:rPr>
        <w:t>(b)</w:t>
      </w:r>
      <w:r>
        <w:t xml:space="preserve"> articolul 76 alineatul (1).</w:t>
      </w:r>
    </w:p>
    <w:p w14:paraId="5FD8D111" w14:textId="77777777" w:rsidR="006D702B" w:rsidRPr="00CF2667" w:rsidRDefault="006D702B" w:rsidP="006E7FC5">
      <w:pPr>
        <w:spacing w:after="0" w:line="240" w:lineRule="auto"/>
        <w:jc w:val="both"/>
        <w:rPr>
          <w:rFonts w:eastAsia="Calibri"/>
        </w:rPr>
      </w:pPr>
    </w:p>
    <w:p w14:paraId="1BD95EA2" w14:textId="41D12212" w:rsidR="00BF5C0C" w:rsidRPr="00CF2667" w:rsidRDefault="00BF5C0C" w:rsidP="00CF2667">
      <w:pPr>
        <w:spacing w:after="0" w:line="240" w:lineRule="auto"/>
        <w:jc w:val="center"/>
        <w:rPr>
          <w:rFonts w:eastAsia="Calibri"/>
          <w:b/>
        </w:rPr>
      </w:pPr>
      <w:r>
        <w:rPr>
          <w:b/>
        </w:rPr>
        <w:t>Articolul 14</w:t>
      </w:r>
    </w:p>
    <w:p w14:paraId="7D101E13" w14:textId="173FDD3E" w:rsidR="00BF5C0C" w:rsidRPr="00CF2667" w:rsidRDefault="00BF5C0C" w:rsidP="006E7FC5">
      <w:pPr>
        <w:spacing w:after="0" w:line="240" w:lineRule="auto"/>
        <w:jc w:val="both"/>
        <w:rPr>
          <w:rFonts w:eastAsia="Calibri"/>
        </w:rPr>
      </w:pPr>
    </w:p>
    <w:p w14:paraId="6E5ECC11" w14:textId="20FC36D6" w:rsidR="006D702B" w:rsidRPr="00CF2667" w:rsidRDefault="006D702B" w:rsidP="006E7FC5">
      <w:pPr>
        <w:spacing w:after="0" w:line="240" w:lineRule="auto"/>
        <w:jc w:val="both"/>
        <w:rPr>
          <w:rFonts w:eastAsia="Calibri"/>
        </w:rPr>
      </w:pPr>
      <w:r>
        <w:t>Prezentul decret intră în vigoare la ......... 2023.</w:t>
      </w:r>
    </w:p>
    <w:p w14:paraId="45C78A1B" w14:textId="77777777" w:rsidR="006D702B" w:rsidRPr="00CF2667" w:rsidRDefault="006D702B" w:rsidP="006E7FC5">
      <w:pPr>
        <w:spacing w:after="0" w:line="240" w:lineRule="auto"/>
        <w:jc w:val="center"/>
        <w:rPr>
          <w:rFonts w:eastAsia="Calibri"/>
          <w:b/>
        </w:rPr>
      </w:pPr>
    </w:p>
    <w:p w14:paraId="130A173C" w14:textId="0F14DA3E" w:rsidR="006E7FC5" w:rsidRPr="00CF2667" w:rsidRDefault="00BF5C0C" w:rsidP="006E7FC5">
      <w:pPr>
        <w:jc w:val="center"/>
        <w:rPr>
          <w:rFonts w:eastAsia="Calibri"/>
          <w:b/>
        </w:rPr>
      </w:pPr>
      <w:r>
        <w:rPr>
          <w:b/>
        </w:rPr>
        <w:t>Articolul 15</w:t>
      </w:r>
    </w:p>
    <w:p w14:paraId="052A2215" w14:textId="79C4090E" w:rsidR="006E7FC5" w:rsidRPr="00CF2667" w:rsidRDefault="00D669AC" w:rsidP="006E7FC5">
      <w:pPr>
        <w:jc w:val="both"/>
        <w:rPr>
          <w:rFonts w:eastAsia="Calibri"/>
        </w:rPr>
      </w:pPr>
      <w:r>
        <w:t>Cerința de notificare prealabilă a prezentului proiect de decret,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 a fost îndeplinită.</w:t>
      </w:r>
    </w:p>
    <w:p w14:paraId="3C6A2578" w14:textId="77777777" w:rsidR="007F34EE" w:rsidRPr="00CF2667" w:rsidRDefault="006E7FC5" w:rsidP="007F34EE">
      <w:pPr>
        <w:jc w:val="center"/>
        <w:rPr>
          <w:rFonts w:eastAsia="Calibri"/>
        </w:rPr>
      </w:pPr>
      <w:r>
        <w:t xml:space="preserve">   </w:t>
      </w:r>
    </w:p>
    <w:p w14:paraId="7E631094" w14:textId="5CD1C4E6" w:rsidR="006E7FC5" w:rsidRPr="00F135C5" w:rsidRDefault="006E7FC5" w:rsidP="00F135C5">
      <w:pPr>
        <w:rPr>
          <w:rFonts w:eastAsia="Calibri"/>
          <w:b/>
          <w:bCs/>
        </w:rPr>
      </w:pPr>
    </w:p>
    <w:sectPr w:rsidR="006E7FC5" w:rsidRPr="00F13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167"/>
    <w:multiLevelType w:val="hybridMultilevel"/>
    <w:tmpl w:val="0078767E"/>
    <w:lvl w:ilvl="0" w:tplc="A63243D0">
      <w:start w:val="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745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C5"/>
    <w:rsid w:val="0001079C"/>
    <w:rsid w:val="00012DCD"/>
    <w:rsid w:val="00024F51"/>
    <w:rsid w:val="00041F7B"/>
    <w:rsid w:val="0009293C"/>
    <w:rsid w:val="000A7196"/>
    <w:rsid w:val="000B3671"/>
    <w:rsid w:val="000E02F3"/>
    <w:rsid w:val="000F2AD6"/>
    <w:rsid w:val="001052C1"/>
    <w:rsid w:val="00127FAE"/>
    <w:rsid w:val="0015599C"/>
    <w:rsid w:val="0016206A"/>
    <w:rsid w:val="00173F50"/>
    <w:rsid w:val="00181F7A"/>
    <w:rsid w:val="0018214B"/>
    <w:rsid w:val="00193CE0"/>
    <w:rsid w:val="0020391A"/>
    <w:rsid w:val="00203C3F"/>
    <w:rsid w:val="00206AC5"/>
    <w:rsid w:val="0021203C"/>
    <w:rsid w:val="00212B64"/>
    <w:rsid w:val="0023017A"/>
    <w:rsid w:val="00234A70"/>
    <w:rsid w:val="002572BC"/>
    <w:rsid w:val="002662A1"/>
    <w:rsid w:val="002A7C40"/>
    <w:rsid w:val="00334106"/>
    <w:rsid w:val="003A5B78"/>
    <w:rsid w:val="003A78F0"/>
    <w:rsid w:val="003D5B7A"/>
    <w:rsid w:val="00421C27"/>
    <w:rsid w:val="00431B0E"/>
    <w:rsid w:val="00444CCE"/>
    <w:rsid w:val="00447FE9"/>
    <w:rsid w:val="00460640"/>
    <w:rsid w:val="0047373B"/>
    <w:rsid w:val="00482857"/>
    <w:rsid w:val="00497BD3"/>
    <w:rsid w:val="004B777D"/>
    <w:rsid w:val="004B77C9"/>
    <w:rsid w:val="005034BC"/>
    <w:rsid w:val="00517308"/>
    <w:rsid w:val="00521538"/>
    <w:rsid w:val="00526197"/>
    <w:rsid w:val="00526776"/>
    <w:rsid w:val="0053730E"/>
    <w:rsid w:val="00591010"/>
    <w:rsid w:val="005A5938"/>
    <w:rsid w:val="005A6F45"/>
    <w:rsid w:val="005C402F"/>
    <w:rsid w:val="005D223D"/>
    <w:rsid w:val="005E07CA"/>
    <w:rsid w:val="005F0267"/>
    <w:rsid w:val="005F0F64"/>
    <w:rsid w:val="005F30D0"/>
    <w:rsid w:val="005F7926"/>
    <w:rsid w:val="00605AC6"/>
    <w:rsid w:val="00632E1B"/>
    <w:rsid w:val="00634997"/>
    <w:rsid w:val="00655C54"/>
    <w:rsid w:val="00667115"/>
    <w:rsid w:val="00672BEF"/>
    <w:rsid w:val="006A0AD9"/>
    <w:rsid w:val="006A2019"/>
    <w:rsid w:val="006D702B"/>
    <w:rsid w:val="006E7FC5"/>
    <w:rsid w:val="0070150D"/>
    <w:rsid w:val="007176D9"/>
    <w:rsid w:val="00723037"/>
    <w:rsid w:val="00743DA6"/>
    <w:rsid w:val="0076793D"/>
    <w:rsid w:val="00774591"/>
    <w:rsid w:val="00782E0A"/>
    <w:rsid w:val="00785E70"/>
    <w:rsid w:val="007919A4"/>
    <w:rsid w:val="007B051F"/>
    <w:rsid w:val="007F34EE"/>
    <w:rsid w:val="00803C4C"/>
    <w:rsid w:val="00806F38"/>
    <w:rsid w:val="008120A6"/>
    <w:rsid w:val="008126DB"/>
    <w:rsid w:val="00815C73"/>
    <w:rsid w:val="00816C55"/>
    <w:rsid w:val="00836DF7"/>
    <w:rsid w:val="0084156F"/>
    <w:rsid w:val="00846670"/>
    <w:rsid w:val="00883ECB"/>
    <w:rsid w:val="008902D0"/>
    <w:rsid w:val="008A5958"/>
    <w:rsid w:val="008C4599"/>
    <w:rsid w:val="008F4AEA"/>
    <w:rsid w:val="0094265F"/>
    <w:rsid w:val="00965042"/>
    <w:rsid w:val="009817D0"/>
    <w:rsid w:val="00991F71"/>
    <w:rsid w:val="0099589C"/>
    <w:rsid w:val="009B4363"/>
    <w:rsid w:val="009C02BE"/>
    <w:rsid w:val="009C35BE"/>
    <w:rsid w:val="009E31C9"/>
    <w:rsid w:val="009E5ECF"/>
    <w:rsid w:val="009F37D4"/>
    <w:rsid w:val="00A23564"/>
    <w:rsid w:val="00A52272"/>
    <w:rsid w:val="00A654AB"/>
    <w:rsid w:val="00A93213"/>
    <w:rsid w:val="00B12456"/>
    <w:rsid w:val="00B162E1"/>
    <w:rsid w:val="00B2554E"/>
    <w:rsid w:val="00B2666F"/>
    <w:rsid w:val="00B404C3"/>
    <w:rsid w:val="00B47621"/>
    <w:rsid w:val="00B60400"/>
    <w:rsid w:val="00B82D5A"/>
    <w:rsid w:val="00B8585F"/>
    <w:rsid w:val="00BB0F1A"/>
    <w:rsid w:val="00BC68A9"/>
    <w:rsid w:val="00BE416C"/>
    <w:rsid w:val="00BE630A"/>
    <w:rsid w:val="00BF5A71"/>
    <w:rsid w:val="00BF5C0C"/>
    <w:rsid w:val="00C012D4"/>
    <w:rsid w:val="00C350BD"/>
    <w:rsid w:val="00C50A71"/>
    <w:rsid w:val="00C536ED"/>
    <w:rsid w:val="00C63619"/>
    <w:rsid w:val="00C84F9C"/>
    <w:rsid w:val="00C9669B"/>
    <w:rsid w:val="00CA1F6D"/>
    <w:rsid w:val="00CB1E4B"/>
    <w:rsid w:val="00CB7CD2"/>
    <w:rsid w:val="00CC134D"/>
    <w:rsid w:val="00CC2AA8"/>
    <w:rsid w:val="00CE4959"/>
    <w:rsid w:val="00CF2667"/>
    <w:rsid w:val="00D007AF"/>
    <w:rsid w:val="00D32BE4"/>
    <w:rsid w:val="00D42C8A"/>
    <w:rsid w:val="00D65715"/>
    <w:rsid w:val="00D669AC"/>
    <w:rsid w:val="00D67727"/>
    <w:rsid w:val="00D831E3"/>
    <w:rsid w:val="00D851ED"/>
    <w:rsid w:val="00D87DB3"/>
    <w:rsid w:val="00DD6AA8"/>
    <w:rsid w:val="00E25CE6"/>
    <w:rsid w:val="00E261AE"/>
    <w:rsid w:val="00E35F25"/>
    <w:rsid w:val="00E64453"/>
    <w:rsid w:val="00E85E95"/>
    <w:rsid w:val="00EA2A22"/>
    <w:rsid w:val="00ED1E39"/>
    <w:rsid w:val="00EF1F0E"/>
    <w:rsid w:val="00F135C5"/>
    <w:rsid w:val="00F34A5B"/>
    <w:rsid w:val="00F42DAC"/>
    <w:rsid w:val="00F632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289"/>
  <w15:docId w15:val="{689E1621-4457-4042-BDCB-0C05FD9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C5"/>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010"/>
    <w:rPr>
      <w:sz w:val="16"/>
      <w:szCs w:val="16"/>
    </w:rPr>
  </w:style>
  <w:style w:type="paragraph" w:styleId="CommentText">
    <w:name w:val="annotation text"/>
    <w:basedOn w:val="Normal"/>
    <w:link w:val="CommentTextChar"/>
    <w:uiPriority w:val="99"/>
    <w:unhideWhenUsed/>
    <w:rsid w:val="00591010"/>
    <w:pPr>
      <w:spacing w:after="20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59101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9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010"/>
    <w:rPr>
      <w:rFonts w:ascii="Tahoma" w:eastAsia="Times New Roman" w:hAnsi="Tahoma" w:cs="Tahoma"/>
      <w:sz w:val="16"/>
      <w:szCs w:val="16"/>
      <w:lang w:eastAsia="hu-HU"/>
    </w:rPr>
  </w:style>
  <w:style w:type="paragraph" w:styleId="NormalWeb">
    <w:name w:val="Normal (Web)"/>
    <w:basedOn w:val="Normal"/>
    <w:uiPriority w:val="99"/>
    <w:semiHidden/>
    <w:unhideWhenUsed/>
    <w:rsid w:val="00EF1F0E"/>
    <w:pPr>
      <w:spacing w:before="100" w:beforeAutospacing="1" w:after="100" w:afterAutospacing="1" w:line="240" w:lineRule="auto"/>
    </w:pPr>
    <w:rPr>
      <w:rFonts w:eastAsiaTheme="minorHAnsi"/>
    </w:rPr>
  </w:style>
  <w:style w:type="paragraph" w:styleId="CommentSubject">
    <w:name w:val="annotation subject"/>
    <w:basedOn w:val="CommentText"/>
    <w:next w:val="CommentText"/>
    <w:link w:val="CommentSubjectChar"/>
    <w:uiPriority w:val="99"/>
    <w:semiHidden/>
    <w:unhideWhenUsed/>
    <w:rsid w:val="00EF1F0E"/>
    <w:pPr>
      <w:spacing w:after="160"/>
    </w:pPr>
    <w:rPr>
      <w:rFonts w:ascii="Times New Roman" w:eastAsia="Times New Roman" w:hAnsi="Times New Roman"/>
      <w:b/>
      <w:bCs/>
      <w:lang w:eastAsia="hu-HU"/>
    </w:rPr>
  </w:style>
  <w:style w:type="character" w:customStyle="1" w:styleId="CommentSubjectChar">
    <w:name w:val="Comment Subject Char"/>
    <w:basedOn w:val="CommentTextChar"/>
    <w:link w:val="CommentSubject"/>
    <w:uiPriority w:val="99"/>
    <w:semiHidden/>
    <w:rsid w:val="00EF1F0E"/>
    <w:rPr>
      <w:rFonts w:ascii="Times New Roman" w:eastAsia="Times New Roman" w:hAnsi="Times New Roman" w:cs="Times New Roman"/>
      <w:b/>
      <w:bCs/>
      <w:sz w:val="20"/>
      <w:szCs w:val="20"/>
      <w:lang w:eastAsia="hu-HU"/>
    </w:rPr>
  </w:style>
  <w:style w:type="paragraph" w:styleId="ListParagraph">
    <w:name w:val="List Paragraph"/>
    <w:basedOn w:val="Normal"/>
    <w:uiPriority w:val="34"/>
    <w:qFormat/>
    <w:rsid w:val="00173F50"/>
    <w:pPr>
      <w:ind w:left="720"/>
      <w:contextualSpacing/>
    </w:pPr>
  </w:style>
  <w:style w:type="paragraph" w:styleId="Revision">
    <w:name w:val="Revision"/>
    <w:hidden/>
    <w:uiPriority w:val="99"/>
    <w:semiHidden/>
    <w:rsid w:val="00806F38"/>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427">
      <w:bodyDiv w:val="1"/>
      <w:marLeft w:val="0"/>
      <w:marRight w:val="0"/>
      <w:marTop w:val="0"/>
      <w:marBottom w:val="0"/>
      <w:divBdr>
        <w:top w:val="none" w:sz="0" w:space="0" w:color="auto"/>
        <w:left w:val="none" w:sz="0" w:space="0" w:color="auto"/>
        <w:bottom w:val="none" w:sz="0" w:space="0" w:color="auto"/>
        <w:right w:val="none" w:sz="0" w:space="0" w:color="auto"/>
      </w:divBdr>
    </w:div>
    <w:div w:id="145586802">
      <w:bodyDiv w:val="1"/>
      <w:marLeft w:val="0"/>
      <w:marRight w:val="0"/>
      <w:marTop w:val="0"/>
      <w:marBottom w:val="0"/>
      <w:divBdr>
        <w:top w:val="none" w:sz="0" w:space="0" w:color="auto"/>
        <w:left w:val="none" w:sz="0" w:space="0" w:color="auto"/>
        <w:bottom w:val="none" w:sz="0" w:space="0" w:color="auto"/>
        <w:right w:val="none" w:sz="0" w:space="0" w:color="auto"/>
      </w:divBdr>
    </w:div>
    <w:div w:id="164908087">
      <w:bodyDiv w:val="1"/>
      <w:marLeft w:val="0"/>
      <w:marRight w:val="0"/>
      <w:marTop w:val="0"/>
      <w:marBottom w:val="0"/>
      <w:divBdr>
        <w:top w:val="none" w:sz="0" w:space="0" w:color="auto"/>
        <w:left w:val="none" w:sz="0" w:space="0" w:color="auto"/>
        <w:bottom w:val="none" w:sz="0" w:space="0" w:color="auto"/>
        <w:right w:val="none" w:sz="0" w:space="0" w:color="auto"/>
      </w:divBdr>
    </w:div>
    <w:div w:id="429547432">
      <w:bodyDiv w:val="1"/>
      <w:marLeft w:val="0"/>
      <w:marRight w:val="0"/>
      <w:marTop w:val="0"/>
      <w:marBottom w:val="0"/>
      <w:divBdr>
        <w:top w:val="none" w:sz="0" w:space="0" w:color="auto"/>
        <w:left w:val="none" w:sz="0" w:space="0" w:color="auto"/>
        <w:bottom w:val="none" w:sz="0" w:space="0" w:color="auto"/>
        <w:right w:val="none" w:sz="0" w:space="0" w:color="auto"/>
      </w:divBdr>
    </w:div>
    <w:div w:id="5292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3259-9B7A-46FB-A08F-3149266F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10664</Characters>
  <Application>Microsoft Office Word</Application>
  <DocSecurity>0</DocSecurity>
  <Lines>88</Lines>
  <Paragraphs>25</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Krisztina dr.</dc:creator>
  <cp:lastModifiedBy>Anastasia Stavroulaki</cp:lastModifiedBy>
  <cp:revision>5</cp:revision>
  <cp:lastPrinted>2023-03-21T08:45:00Z</cp:lastPrinted>
  <dcterms:created xsi:type="dcterms:W3CDTF">2023-03-22T13:23:00Z</dcterms:created>
  <dcterms:modified xsi:type="dcterms:W3CDTF">2023-03-29T15:15:00Z</dcterms:modified>
</cp:coreProperties>
</file>