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5DE245A" w14:textId="29B3D357" w:rsidR="00BD0987" w:rsidRPr="00361792" w:rsidRDefault="00BD0987" w:rsidP="00BD0987">
      <w:pPr>
        <w:jc w:val="center"/>
        <w:rPr>
          <w:rFonts w:ascii="Courier New" w:hAnsi="Courier New"/>
          <w:sz w:val="20"/>
        </w:rPr>
      </w:pPr>
      <w:r>
        <w:rPr>
          <w:rFonts w:ascii="Courier New" w:hAnsi="Courier New"/>
          <w:sz w:val="20"/>
        </w:rPr>
        <w:t>1. ------IND- 2020 0790 F-- SL- ------ 20201228 --- --- PROJET</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216F67" w:rsidRPr="00AC2428" w14:paraId="0B513256" w14:textId="77777777">
        <w:trPr>
          <w:cantSplit/>
        </w:trPr>
        <w:tc>
          <w:tcPr>
            <w:tcW w:w="3982" w:type="dxa"/>
            <w:gridSpan w:val="3"/>
            <w:shd w:val="clear" w:color="auto" w:fill="auto"/>
          </w:tcPr>
          <w:p w14:paraId="5E62B1F0" w14:textId="77777777" w:rsidR="00216F67" w:rsidRPr="00AC2428" w:rsidRDefault="002633B9" w:rsidP="00775F70">
            <w:pPr>
              <w:pStyle w:val="SNREPUBLIQUE"/>
            </w:pPr>
            <w:r>
              <w:t>FRANCOSKA REPUBLIKA</w:t>
            </w:r>
          </w:p>
        </w:tc>
      </w:tr>
      <w:tr w:rsidR="00924DC4" w:rsidRPr="00AC2428" w14:paraId="2B5129B6" w14:textId="77777777" w:rsidTr="00AC2428">
        <w:trPr>
          <w:cantSplit/>
          <w:trHeight w:hRule="exact" w:val="113"/>
        </w:trPr>
        <w:tc>
          <w:tcPr>
            <w:tcW w:w="1527" w:type="dxa"/>
            <w:shd w:val="clear" w:color="auto" w:fill="auto"/>
          </w:tcPr>
          <w:p w14:paraId="4504C12B" w14:textId="77777777" w:rsidR="00216F67" w:rsidRPr="00AC2428" w:rsidRDefault="00216F67" w:rsidP="00775F70">
            <w:pPr>
              <w:snapToGrid w:val="0"/>
              <w:rPr>
                <w:rFonts w:cs="Tahoma"/>
              </w:rPr>
            </w:pPr>
          </w:p>
        </w:tc>
        <w:tc>
          <w:tcPr>
            <w:tcW w:w="968" w:type="dxa"/>
            <w:tcBorders>
              <w:bottom w:val="single" w:sz="4" w:space="0" w:color="auto"/>
            </w:tcBorders>
            <w:shd w:val="clear" w:color="auto" w:fill="auto"/>
          </w:tcPr>
          <w:p w14:paraId="627363BD" w14:textId="77777777" w:rsidR="00216F67" w:rsidRPr="00AC2428" w:rsidRDefault="00216F67" w:rsidP="00775F70">
            <w:pPr>
              <w:snapToGrid w:val="0"/>
              <w:rPr>
                <w:rFonts w:cs="Tahoma"/>
              </w:rPr>
            </w:pPr>
          </w:p>
        </w:tc>
        <w:tc>
          <w:tcPr>
            <w:tcW w:w="1487" w:type="dxa"/>
            <w:shd w:val="clear" w:color="auto" w:fill="auto"/>
          </w:tcPr>
          <w:p w14:paraId="7FC630AF" w14:textId="77777777" w:rsidR="00216F67" w:rsidRPr="00AC2428" w:rsidRDefault="00216F67" w:rsidP="00775F70">
            <w:pPr>
              <w:snapToGrid w:val="0"/>
              <w:rPr>
                <w:rFonts w:cs="Tahoma"/>
              </w:rPr>
            </w:pPr>
          </w:p>
        </w:tc>
      </w:tr>
      <w:tr w:rsidR="00216F67" w:rsidRPr="00AC2428" w14:paraId="27C4D09B" w14:textId="77777777">
        <w:trPr>
          <w:cantSplit/>
        </w:trPr>
        <w:tc>
          <w:tcPr>
            <w:tcW w:w="3982" w:type="dxa"/>
            <w:gridSpan w:val="3"/>
            <w:shd w:val="clear" w:color="auto" w:fill="auto"/>
          </w:tcPr>
          <w:p w14:paraId="226DC996" w14:textId="77777777" w:rsidR="00216F67" w:rsidRPr="00AC2428" w:rsidRDefault="002633B9" w:rsidP="00775F70">
            <w:pPr>
              <w:pStyle w:val="SNTimbre"/>
            </w:pPr>
            <w:r>
              <w:t>Ministrstvo za ekološko preoblikovanje</w:t>
            </w:r>
          </w:p>
          <w:p w14:paraId="3D84B948" w14:textId="004B8F71" w:rsidR="00472A5D" w:rsidRPr="00AC2428" w:rsidRDefault="00472A5D" w:rsidP="00775F70">
            <w:pPr>
              <w:pStyle w:val="SNTimbre"/>
            </w:pPr>
            <w:r>
              <w:t>Stanovanjska vprašanja</w:t>
            </w:r>
          </w:p>
        </w:tc>
      </w:tr>
      <w:tr w:rsidR="00924DC4" w:rsidRPr="00AC2428" w14:paraId="7179E6E4" w14:textId="77777777" w:rsidTr="00AC2428">
        <w:trPr>
          <w:cantSplit/>
          <w:trHeight w:hRule="exact" w:val="227"/>
        </w:trPr>
        <w:tc>
          <w:tcPr>
            <w:tcW w:w="1527" w:type="dxa"/>
            <w:shd w:val="clear" w:color="auto" w:fill="auto"/>
          </w:tcPr>
          <w:p w14:paraId="44838ECB" w14:textId="77777777" w:rsidR="00216F67" w:rsidRPr="00AC2428" w:rsidRDefault="00216F67" w:rsidP="00775F70">
            <w:pPr>
              <w:snapToGrid w:val="0"/>
            </w:pPr>
          </w:p>
        </w:tc>
        <w:tc>
          <w:tcPr>
            <w:tcW w:w="968" w:type="dxa"/>
            <w:tcBorders>
              <w:bottom w:val="single" w:sz="4" w:space="0" w:color="auto"/>
            </w:tcBorders>
            <w:shd w:val="clear" w:color="auto" w:fill="auto"/>
          </w:tcPr>
          <w:p w14:paraId="0609DC57" w14:textId="77777777" w:rsidR="00216F67" w:rsidRPr="00AC2428" w:rsidRDefault="00216F67" w:rsidP="00775F70">
            <w:pPr>
              <w:snapToGrid w:val="0"/>
            </w:pPr>
          </w:p>
        </w:tc>
        <w:tc>
          <w:tcPr>
            <w:tcW w:w="1487" w:type="dxa"/>
            <w:shd w:val="clear" w:color="auto" w:fill="auto"/>
          </w:tcPr>
          <w:p w14:paraId="435699DF" w14:textId="77777777" w:rsidR="00216F67" w:rsidRPr="00AC2428" w:rsidRDefault="00216F67" w:rsidP="00775F70">
            <w:pPr>
              <w:snapToGrid w:val="0"/>
            </w:pPr>
          </w:p>
        </w:tc>
      </w:tr>
      <w:tr w:rsidR="00216F67" w:rsidRPr="00AC2428" w14:paraId="0D7DAF39" w14:textId="77777777">
        <w:trPr>
          <w:cantSplit/>
          <w:trHeight w:hRule="exact" w:val="227"/>
        </w:trPr>
        <w:tc>
          <w:tcPr>
            <w:tcW w:w="1527" w:type="dxa"/>
            <w:shd w:val="clear" w:color="auto" w:fill="auto"/>
          </w:tcPr>
          <w:p w14:paraId="4D88D78F" w14:textId="77777777" w:rsidR="00216F67" w:rsidRPr="00AC2428" w:rsidRDefault="00216F67" w:rsidP="00775F70">
            <w:pPr>
              <w:snapToGrid w:val="0"/>
            </w:pPr>
          </w:p>
        </w:tc>
        <w:tc>
          <w:tcPr>
            <w:tcW w:w="968" w:type="dxa"/>
            <w:shd w:val="clear" w:color="auto" w:fill="auto"/>
          </w:tcPr>
          <w:p w14:paraId="15C25800" w14:textId="77777777" w:rsidR="00216F67" w:rsidRPr="00AC2428" w:rsidRDefault="00216F67" w:rsidP="00775F70">
            <w:pPr>
              <w:snapToGrid w:val="0"/>
            </w:pPr>
          </w:p>
        </w:tc>
        <w:tc>
          <w:tcPr>
            <w:tcW w:w="1487" w:type="dxa"/>
            <w:shd w:val="clear" w:color="auto" w:fill="auto"/>
          </w:tcPr>
          <w:p w14:paraId="5BB6C3AD" w14:textId="77777777" w:rsidR="00216F67" w:rsidRPr="00AC2428" w:rsidRDefault="00216F67" w:rsidP="00775F70">
            <w:pPr>
              <w:snapToGrid w:val="0"/>
            </w:pPr>
          </w:p>
        </w:tc>
      </w:tr>
    </w:tbl>
    <w:p w14:paraId="29B7DC59" w14:textId="790B10F4" w:rsidR="00216F67" w:rsidRPr="00AC2428" w:rsidRDefault="002633B9" w:rsidP="00775F70">
      <w:pPr>
        <w:pStyle w:val="SNNature"/>
      </w:pPr>
      <w:r>
        <w:t>Uredba št.                          z dne</w:t>
      </w:r>
    </w:p>
    <w:p w14:paraId="38966963" w14:textId="4F413CBC" w:rsidR="00876BAE" w:rsidRPr="00AC2428" w:rsidRDefault="00876BAE" w:rsidP="00775F70">
      <w:pPr>
        <w:pStyle w:val="SNtitre"/>
      </w:pPr>
      <w:r>
        <w:t>o zahtevah glede energetske in okoljske učinkovitosti stanovanjskih in poslovnih stavb ter osnovnih oziroma srednjih šol v matični Franciji</w:t>
      </w:r>
    </w:p>
    <w:p w14:paraId="7B3F7245" w14:textId="77777777" w:rsidR="00F15206" w:rsidRPr="00AC2428" w:rsidRDefault="00F15206" w:rsidP="00775F70">
      <w:pPr>
        <w:pStyle w:val="SNNORCentr"/>
      </w:pPr>
    </w:p>
    <w:p w14:paraId="78A41F7B" w14:textId="6CCC78B4" w:rsidR="00216F67" w:rsidRPr="00AC2428" w:rsidRDefault="002633B9" w:rsidP="00A51EA0">
      <w:pPr>
        <w:pStyle w:val="SNNORCentr"/>
      </w:pPr>
      <w:r>
        <w:t xml:space="preserve">NOR: </w:t>
      </w:r>
    </w:p>
    <w:p w14:paraId="1D193384" w14:textId="77777777" w:rsidR="00D808AA" w:rsidRPr="00AC2428" w:rsidRDefault="00D808AA" w:rsidP="00A51EA0">
      <w:pPr>
        <w:jc w:val="both"/>
        <w:rPr>
          <w:i/>
        </w:rPr>
      </w:pPr>
    </w:p>
    <w:p w14:paraId="4A7EF1E8" w14:textId="77777777" w:rsidR="00D808AA" w:rsidRPr="00AC2428" w:rsidRDefault="00D808AA" w:rsidP="00A51EA0">
      <w:pPr>
        <w:jc w:val="both"/>
        <w:rPr>
          <w:b/>
          <w:i/>
        </w:rPr>
      </w:pPr>
    </w:p>
    <w:p w14:paraId="34EE94A3" w14:textId="068D3EB3" w:rsidR="00D808AA" w:rsidRPr="00AC2428" w:rsidRDefault="002633B9" w:rsidP="00A51EA0">
      <w:pPr>
        <w:ind w:left="709" w:hanging="1"/>
        <w:jc w:val="both"/>
        <w:rPr>
          <w:i/>
        </w:rPr>
      </w:pPr>
      <w:r>
        <w:rPr>
          <w:b/>
          <w:i/>
        </w:rPr>
        <w:t>Ciljna javnost</w:t>
      </w:r>
      <w:r>
        <w:rPr>
          <w:i/>
        </w:rPr>
        <w:t>: nosilci projektov, glavni izvajalci, gradbeni konstruktorji in promotorji, arhitekti, prostori za študije toplotne obdelave, gospodarstveniki stavbe, tehnični kontrolorji, gradbena podjetja, industrijske družbe za gradbene materiale in tehnične stavbne sisteme, dobavitelji energije v matični Franciji.</w:t>
      </w:r>
    </w:p>
    <w:p w14:paraId="74483404" w14:textId="77777777" w:rsidR="00D808AA" w:rsidRPr="00AC2428" w:rsidRDefault="00D808AA" w:rsidP="00A51EA0">
      <w:pPr>
        <w:jc w:val="both"/>
        <w:rPr>
          <w:b/>
        </w:rPr>
      </w:pPr>
    </w:p>
    <w:p w14:paraId="5AF586F2" w14:textId="77777777" w:rsidR="00D808AA" w:rsidRPr="00AC2428" w:rsidRDefault="00D808AA" w:rsidP="00A51EA0">
      <w:pPr>
        <w:jc w:val="both"/>
        <w:rPr>
          <w:b/>
        </w:rPr>
      </w:pPr>
    </w:p>
    <w:p w14:paraId="73B6DE6C" w14:textId="62C18A53" w:rsidR="00D808AA" w:rsidRPr="00AC2428" w:rsidRDefault="002633B9" w:rsidP="00A51EA0">
      <w:pPr>
        <w:ind w:left="709" w:hanging="1"/>
        <w:jc w:val="both"/>
        <w:rPr>
          <w:b/>
          <w:i/>
        </w:rPr>
      </w:pPr>
      <w:r>
        <w:rPr>
          <w:b/>
          <w:i/>
        </w:rPr>
        <w:t xml:space="preserve">Predmet: </w:t>
      </w:r>
      <w:r>
        <w:rPr>
          <w:i/>
        </w:rPr>
        <w:t>določitev zahtev za energetske in okoljske značilnosti ter energetsko in okoljsko učinkovitost novih stavb ter podaljškov stavb v matični Franciji.</w:t>
      </w:r>
    </w:p>
    <w:p w14:paraId="258D5920" w14:textId="55ECE693" w:rsidR="00216F67" w:rsidRDefault="00216F67" w:rsidP="00A51EA0">
      <w:pPr>
        <w:pStyle w:val="SNAutorit"/>
        <w:spacing w:before="0" w:after="0"/>
        <w:ind w:left="708" w:firstLine="0"/>
        <w:jc w:val="both"/>
        <w:rPr>
          <w:i/>
        </w:rPr>
      </w:pPr>
    </w:p>
    <w:p w14:paraId="7C566712" w14:textId="77777777" w:rsidR="00A51EA0" w:rsidRPr="00AC2428" w:rsidRDefault="00A51EA0" w:rsidP="00A51EA0">
      <w:pPr>
        <w:pStyle w:val="SNAutorit"/>
        <w:spacing w:before="0" w:after="0"/>
        <w:ind w:left="708" w:firstLine="0"/>
        <w:jc w:val="both"/>
        <w:rPr>
          <w:i/>
        </w:rPr>
      </w:pPr>
    </w:p>
    <w:p w14:paraId="136AFB1F" w14:textId="4DD6141E" w:rsidR="002B2352" w:rsidRPr="00AC2428" w:rsidRDefault="002633B9" w:rsidP="00A51EA0">
      <w:pPr>
        <w:pStyle w:val="SNAutorit"/>
        <w:spacing w:before="0" w:after="0"/>
        <w:ind w:left="708" w:firstLine="12"/>
        <w:jc w:val="both"/>
        <w:rPr>
          <w:b w:val="0"/>
          <w:i/>
        </w:rPr>
      </w:pPr>
      <w:r>
        <w:rPr>
          <w:i/>
        </w:rPr>
        <w:t xml:space="preserve">Začetek veljavnosti: </w:t>
      </w:r>
      <w:r>
        <w:rPr>
          <w:b w:val="0"/>
          <w:i/>
        </w:rPr>
        <w:t>te zahteve se uporabljajo od 1. julija 2021 za gradnjo stavb ali delov stanovanjskih stavb, pisarn ali osnovnih oziroma srednjih šol, kot tudi za začasne objekte in podaljške glede na njihovo površino, namenjeni za enako uporabo; uporabljajo se tudi za tiste, ki zahtevajo gradbeno dovoljenje ali predhodno prijavo. Zakonska nalepka o energetski in okoljski učinkovitosti se uvede z začetkom veljavnosti, določenim v odredbi, najpozneje 30. junija 022.</w:t>
      </w:r>
    </w:p>
    <w:p w14:paraId="5C6BE3FB" w14:textId="19BD1D4B" w:rsidR="002B2352" w:rsidRDefault="002B2352" w:rsidP="00A51EA0">
      <w:pPr>
        <w:pStyle w:val="SNAutorit"/>
        <w:spacing w:before="0" w:after="0"/>
        <w:ind w:left="708" w:firstLine="0"/>
        <w:jc w:val="both"/>
        <w:rPr>
          <w:b w:val="0"/>
          <w:i/>
        </w:rPr>
      </w:pPr>
    </w:p>
    <w:p w14:paraId="0719948D" w14:textId="77777777" w:rsidR="00A51EA0" w:rsidRPr="00AC2428" w:rsidRDefault="00A51EA0" w:rsidP="00A51EA0">
      <w:pPr>
        <w:pStyle w:val="SNAutorit"/>
        <w:spacing w:before="0" w:after="0"/>
        <w:ind w:left="708" w:firstLine="0"/>
        <w:jc w:val="both"/>
        <w:rPr>
          <w:b w:val="0"/>
          <w:i/>
        </w:rPr>
      </w:pPr>
    </w:p>
    <w:p w14:paraId="41BFD89B" w14:textId="686562F2" w:rsidR="002B2352" w:rsidRPr="00AC2428" w:rsidRDefault="002633B9" w:rsidP="00A51EA0">
      <w:pPr>
        <w:ind w:left="709"/>
        <w:jc w:val="both"/>
        <w:rPr>
          <w:i/>
        </w:rPr>
      </w:pPr>
      <w:r>
        <w:rPr>
          <w:b/>
          <w:i/>
        </w:rPr>
        <w:t>Obvestilo</w:t>
      </w:r>
      <w:r>
        <w:rPr>
          <w:i/>
        </w:rPr>
        <w:t>:</w:t>
      </w:r>
      <w:r>
        <w:t xml:space="preserve"> </w:t>
      </w:r>
      <w:r>
        <w:rPr>
          <w:i/>
        </w:rPr>
        <w:t>uredba določa zahteve za okoljsko in energetsko učinkovitost, ki jo morajo upoštevati zgoraj navedene stavbe v matični Franciji, zlasti naslednjih pet zahtev rezultata: (1) optimizacija energetske zasnove stavb ne glede na vzpostavljene energetske sisteme; (2) omejitev porabe primarne energije, (3) omejitev vpliva na klimatske spremembe, povezave s temi porabami; (4) omejitev vpliva sestavnih delov stavbe na klimatske spremembe; (5) omejitev neugodnih razmer v stavbi v poletnem času.</w:t>
      </w:r>
    </w:p>
    <w:p w14:paraId="3AA0F273" w14:textId="7B649194" w:rsidR="00216F67" w:rsidRDefault="00216F67" w:rsidP="00A51EA0">
      <w:pPr>
        <w:pStyle w:val="SNAutorit"/>
        <w:spacing w:before="0" w:after="0"/>
        <w:jc w:val="both"/>
        <w:rPr>
          <w:b w:val="0"/>
          <w:i/>
        </w:rPr>
      </w:pPr>
    </w:p>
    <w:p w14:paraId="5C31C8FC" w14:textId="77777777" w:rsidR="00A51EA0" w:rsidRPr="00AC2428" w:rsidRDefault="00A51EA0" w:rsidP="00A51EA0">
      <w:pPr>
        <w:pStyle w:val="SNAutorit"/>
        <w:spacing w:before="0" w:after="0"/>
        <w:jc w:val="both"/>
        <w:rPr>
          <w:b w:val="0"/>
          <w:i/>
        </w:rPr>
      </w:pPr>
    </w:p>
    <w:p w14:paraId="4B81E6BD" w14:textId="6287301D" w:rsidR="00216F67" w:rsidRPr="00AC2428" w:rsidRDefault="002633B9" w:rsidP="00A51EA0">
      <w:pPr>
        <w:pStyle w:val="SNAutorit"/>
        <w:spacing w:before="0" w:after="0"/>
        <w:ind w:left="737" w:firstLine="0"/>
        <w:jc w:val="both"/>
        <w:rPr>
          <w:b w:val="0"/>
          <w:i/>
        </w:rPr>
      </w:pPr>
      <w:r>
        <w:rPr>
          <w:i/>
        </w:rPr>
        <w:t xml:space="preserve">Referenčno besedilo: </w:t>
      </w:r>
      <w:r>
        <w:rPr>
          <w:b w:val="0"/>
          <w:i/>
        </w:rPr>
        <w:t>besedila, ki jih spreminja ta uredba, so na voljo v različici, ki izhaja iz te spremembe, na spletnem mestu Légifrance (</w:t>
      </w:r>
      <w:hyperlink r:id="rId8" w:history="1">
        <w:r>
          <w:rPr>
            <w:rStyle w:val="Hyperlink"/>
            <w:b w:val="0"/>
            <w:i/>
          </w:rPr>
          <w:t>http://www.legifrance.gouv.fr</w:t>
        </w:r>
      </w:hyperlink>
      <w:r>
        <w:rPr>
          <w:b w:val="0"/>
          <w:i/>
        </w:rPr>
        <w:t>).</w:t>
      </w:r>
    </w:p>
    <w:p w14:paraId="18C55CAE" w14:textId="7CF84CE0" w:rsidR="00FB13BE" w:rsidRDefault="00FB13BE" w:rsidP="00A51EA0">
      <w:pPr>
        <w:pStyle w:val="SNAutorit"/>
        <w:spacing w:before="0" w:after="0"/>
        <w:ind w:left="737" w:firstLine="0"/>
        <w:jc w:val="both"/>
      </w:pPr>
    </w:p>
    <w:p w14:paraId="5CAA2BB4" w14:textId="075B7BD3" w:rsidR="00A51EA0" w:rsidRDefault="00A51EA0" w:rsidP="00A51EA0">
      <w:pPr>
        <w:pStyle w:val="SNAutorit"/>
        <w:spacing w:before="0" w:after="0"/>
        <w:ind w:left="737" w:firstLine="0"/>
        <w:jc w:val="both"/>
      </w:pPr>
    </w:p>
    <w:p w14:paraId="5BAA028D" w14:textId="2430BE34" w:rsidR="00A51EA0" w:rsidRDefault="00A51EA0" w:rsidP="00A51EA0">
      <w:pPr>
        <w:pStyle w:val="SNAutorit"/>
        <w:spacing w:before="0" w:after="0"/>
        <w:ind w:left="737" w:firstLine="0"/>
        <w:jc w:val="both"/>
      </w:pPr>
    </w:p>
    <w:p w14:paraId="7CFDA8B4" w14:textId="77777777" w:rsidR="00A51EA0" w:rsidRPr="00AC2428" w:rsidRDefault="00A51EA0" w:rsidP="00A51EA0">
      <w:pPr>
        <w:pStyle w:val="SNAutorit"/>
        <w:spacing w:before="0" w:after="0"/>
        <w:ind w:left="737" w:firstLine="0"/>
        <w:jc w:val="both"/>
      </w:pPr>
    </w:p>
    <w:p w14:paraId="517DCD01" w14:textId="2A3DFD19" w:rsidR="00216F67" w:rsidRDefault="002633B9" w:rsidP="00A51EA0">
      <w:pPr>
        <w:pStyle w:val="SNAutorit"/>
        <w:spacing w:before="0" w:after="0"/>
      </w:pPr>
      <w:r>
        <w:lastRenderedPageBreak/>
        <w:t>Predsednik vlade –</w:t>
      </w:r>
    </w:p>
    <w:p w14:paraId="27237DBA" w14:textId="77777777" w:rsidR="00A51EA0" w:rsidRPr="00AC2428" w:rsidRDefault="00A51EA0" w:rsidP="00A51EA0">
      <w:pPr>
        <w:pStyle w:val="SNAutorit"/>
        <w:spacing w:before="0" w:after="0"/>
      </w:pPr>
    </w:p>
    <w:p w14:paraId="622E923A" w14:textId="179B13A7" w:rsidR="00216F67" w:rsidRDefault="002633B9" w:rsidP="00A51EA0">
      <w:pPr>
        <w:pStyle w:val="SNRapport"/>
        <w:spacing w:before="0" w:after="0"/>
        <w:jc w:val="both"/>
      </w:pPr>
      <w:r>
        <w:t>na podlagi poročila ministrice za ekološko preoblikovanje;</w:t>
      </w:r>
    </w:p>
    <w:p w14:paraId="334DA14B" w14:textId="77777777" w:rsidR="00A51EA0" w:rsidRPr="00AC2428" w:rsidRDefault="00A51EA0" w:rsidP="00A51EA0">
      <w:pPr>
        <w:pStyle w:val="SNRapport"/>
        <w:spacing w:before="0" w:after="0"/>
        <w:jc w:val="both"/>
      </w:pPr>
    </w:p>
    <w:p w14:paraId="7851F6F4" w14:textId="2ED37733" w:rsidR="009918F3" w:rsidRPr="00AC2428" w:rsidRDefault="00661F52" w:rsidP="00A51EA0">
      <w:pPr>
        <w:ind w:left="708"/>
        <w:jc w:val="both"/>
      </w:pPr>
      <w:r>
        <w:t>ob upoštevanju Direktive (EU) 2015/1535 Evropskega parlamenta in Sveta z dne 9. septembra 2015 o določitvi postopka za zbiranje informacij na področju tehničnih predpisov in pravil za storitve informacijske družbe (kodificirano besedilo), zlasti uradnega obvestila št. </w:t>
      </w:r>
      <w:r>
        <w:rPr>
          <w:highlight w:val="yellow"/>
        </w:rPr>
        <w:t>leto/XXX/F;</w:t>
      </w:r>
    </w:p>
    <w:p w14:paraId="0DA7C3A9" w14:textId="77777777" w:rsidR="00661F52" w:rsidRPr="00AC2428" w:rsidRDefault="00661F52" w:rsidP="00A51EA0">
      <w:pPr>
        <w:ind w:left="708"/>
        <w:jc w:val="both"/>
      </w:pPr>
    </w:p>
    <w:p w14:paraId="28DF2178" w14:textId="10F0CA1E" w:rsidR="009918F3" w:rsidRPr="00AC2428" w:rsidRDefault="009918F3" w:rsidP="00A51EA0">
      <w:pPr>
        <w:ind w:left="708"/>
        <w:jc w:val="both"/>
      </w:pPr>
      <w:r>
        <w:t>ob upoštevanju Direktive 2010/31/EU Evropskega parlamenta in Sveta z dne 19. maja 2010 o energetski učinkovitosti stavb, kakor je bila spremenjena z Direktivo (EU) 2018/844 Evropskega parlamenta in Sveta z dne 30. maja 2018, zlasti členov 3, 4 in 6;</w:t>
      </w:r>
    </w:p>
    <w:p w14:paraId="00869AD2" w14:textId="77777777" w:rsidR="00651481" w:rsidRPr="00AC2428" w:rsidRDefault="00651481" w:rsidP="00A51EA0">
      <w:pPr>
        <w:ind w:left="708"/>
        <w:jc w:val="both"/>
      </w:pPr>
    </w:p>
    <w:p w14:paraId="11B75A25" w14:textId="637C1E60" w:rsidR="00651481" w:rsidRPr="00AC2428" w:rsidRDefault="00651481" w:rsidP="00A51EA0">
      <w:pPr>
        <w:ind w:left="708"/>
        <w:jc w:val="both"/>
      </w:pPr>
      <w:r>
        <w:t>ob upoštevanju Direktive 2018/2001/EU Evropskega parlamenta in Sveta z dne 11. decembra 2018 o spodbujanju uporabe energije iz obnovljivih virov, zlasti člena 15;</w:t>
      </w:r>
    </w:p>
    <w:p w14:paraId="693E5C9E" w14:textId="77777777" w:rsidR="009918F3" w:rsidRPr="00AC2428" w:rsidRDefault="009918F3" w:rsidP="00A51EA0">
      <w:pPr>
        <w:jc w:val="both"/>
      </w:pPr>
    </w:p>
    <w:p w14:paraId="0F09512B" w14:textId="72A5ABF9" w:rsidR="009918F3" w:rsidRPr="00AC2428" w:rsidRDefault="009918F3" w:rsidP="00A51EA0">
      <w:pPr>
        <w:ind w:left="708"/>
        <w:jc w:val="both"/>
      </w:pPr>
      <w:r>
        <w:t xml:space="preserve">ob upoštevanju Zakonika o gradnji in stanovanjih, zlasti členov </w:t>
      </w:r>
      <w:r>
        <w:rPr>
          <w:highlight w:val="yellow"/>
        </w:rPr>
        <w:t>L. 111-9, L. 134-2 in L. 151-1</w:t>
      </w:r>
      <w:r>
        <w:t>;</w:t>
      </w:r>
    </w:p>
    <w:p w14:paraId="58C36325" w14:textId="5ABF6DAA" w:rsidR="00784211" w:rsidRPr="00AC2428" w:rsidRDefault="00784211" w:rsidP="00A51EA0">
      <w:pPr>
        <w:ind w:left="708"/>
        <w:jc w:val="both"/>
      </w:pPr>
    </w:p>
    <w:p w14:paraId="7CDEE9D2" w14:textId="2299951B" w:rsidR="00784211" w:rsidRPr="00AC2428" w:rsidRDefault="00784211" w:rsidP="00A51EA0">
      <w:pPr>
        <w:ind w:left="708"/>
        <w:jc w:val="both"/>
      </w:pPr>
      <w:r>
        <w:t xml:space="preserve">ob upoštevanju Urbanističnega zakonika, zlasti člena </w:t>
      </w:r>
      <w:r>
        <w:rPr>
          <w:highlight w:val="yellow"/>
        </w:rPr>
        <w:t>L. 462-1</w:t>
      </w:r>
      <w:r>
        <w:t xml:space="preserve">, </w:t>
      </w:r>
      <w:r>
        <w:rPr>
          <w:highlight w:val="yellow"/>
        </w:rPr>
        <w:t>R*. 421-2</w:t>
      </w:r>
      <w:r>
        <w:t xml:space="preserve"> in </w:t>
      </w:r>
      <w:r>
        <w:rPr>
          <w:highlight w:val="yellow"/>
        </w:rPr>
        <w:t>R*. 421-5</w:t>
      </w:r>
      <w:r>
        <w:t>;</w:t>
      </w:r>
    </w:p>
    <w:p w14:paraId="1469C78E" w14:textId="77777777" w:rsidR="009918F3" w:rsidRPr="00AC2428" w:rsidRDefault="009918F3" w:rsidP="00A51EA0">
      <w:pPr>
        <w:jc w:val="both"/>
      </w:pPr>
    </w:p>
    <w:p w14:paraId="38CD7D34" w14:textId="2A28C820" w:rsidR="009918F3" w:rsidRPr="00AC2428" w:rsidRDefault="009918F3" w:rsidP="00A51EA0">
      <w:pPr>
        <w:ind w:left="708"/>
        <w:jc w:val="both"/>
      </w:pPr>
      <w:r>
        <w:t xml:space="preserve">ob upoštevanju pripomb, podanih med javnim posvetovanjem, ki je potekalo od </w:t>
      </w:r>
      <w:r>
        <w:rPr>
          <w:highlight w:val="yellow"/>
        </w:rPr>
        <w:t xml:space="preserve">XXX </w:t>
      </w:r>
      <w:r>
        <w:t xml:space="preserve">do </w:t>
      </w:r>
      <w:r>
        <w:rPr>
          <w:highlight w:val="yellow"/>
        </w:rPr>
        <w:t>XXX</w:t>
      </w:r>
      <w:r>
        <w:t xml:space="preserve"> na podlagi člena L. 120-1 Okoljskega zakonika;</w:t>
      </w:r>
    </w:p>
    <w:p w14:paraId="51FC04E1" w14:textId="77777777" w:rsidR="009918F3" w:rsidRPr="00AC2428" w:rsidRDefault="009918F3" w:rsidP="00A51EA0">
      <w:pPr>
        <w:jc w:val="both"/>
      </w:pPr>
    </w:p>
    <w:p w14:paraId="49234A94" w14:textId="57F44B5D" w:rsidR="009918F3" w:rsidRPr="00AC2428" w:rsidRDefault="009918F3" w:rsidP="00A51EA0">
      <w:pPr>
        <w:ind w:firstLine="708"/>
        <w:jc w:val="both"/>
      </w:pPr>
      <w:r>
        <w:t xml:space="preserve">ob upoštevanju mnenja </w:t>
      </w:r>
      <w:r>
        <w:rPr>
          <w:highlight w:val="yellow"/>
        </w:rPr>
        <w:t>nacionalnega sveta za oceno standardov</w:t>
      </w:r>
      <w:r>
        <w:t xml:space="preserve"> z dne </w:t>
      </w:r>
      <w:r>
        <w:rPr>
          <w:highlight w:val="yellow"/>
        </w:rPr>
        <w:t>XXX</w:t>
      </w:r>
      <w:r>
        <w:t>;</w:t>
      </w:r>
    </w:p>
    <w:p w14:paraId="4CB4C3F7" w14:textId="77777777" w:rsidR="009918F3" w:rsidRPr="00AC2428" w:rsidRDefault="009918F3" w:rsidP="00A51EA0">
      <w:pPr>
        <w:ind w:firstLine="708"/>
        <w:jc w:val="both"/>
      </w:pPr>
    </w:p>
    <w:p w14:paraId="69F0DA51" w14:textId="4C53FA43" w:rsidR="009918F3" w:rsidRPr="00AC2428" w:rsidRDefault="009918F3" w:rsidP="00A51EA0">
      <w:pPr>
        <w:ind w:firstLine="708"/>
        <w:jc w:val="both"/>
      </w:pPr>
      <w:r>
        <w:t xml:space="preserve">ob upoštevanju mnenja </w:t>
      </w:r>
      <w:r>
        <w:rPr>
          <w:highlight w:val="yellow"/>
        </w:rPr>
        <w:t>vrhovnega sveta za energijo</w:t>
      </w:r>
      <w:r>
        <w:t xml:space="preserve"> z dne </w:t>
      </w:r>
      <w:r>
        <w:rPr>
          <w:highlight w:val="yellow"/>
        </w:rPr>
        <w:t>XXX</w:t>
      </w:r>
      <w:r>
        <w:t>;</w:t>
      </w:r>
    </w:p>
    <w:p w14:paraId="65845825" w14:textId="77777777" w:rsidR="009918F3" w:rsidRPr="00AC2428" w:rsidRDefault="009918F3" w:rsidP="00A51EA0">
      <w:pPr>
        <w:jc w:val="both"/>
      </w:pPr>
    </w:p>
    <w:p w14:paraId="0F25A8E0" w14:textId="57D55C13" w:rsidR="009918F3" w:rsidRPr="00AC2428" w:rsidRDefault="009918F3" w:rsidP="00A51EA0">
      <w:pPr>
        <w:ind w:left="708"/>
        <w:jc w:val="both"/>
      </w:pPr>
      <w:r>
        <w:t xml:space="preserve">ob upoštevanju mnenja vrhovnega sveta za gradbeništvo in energetsko učinkovitost z dne </w:t>
      </w:r>
      <w:r>
        <w:rPr>
          <w:highlight w:val="yellow"/>
        </w:rPr>
        <w:t>XXX</w:t>
      </w:r>
      <w:r>
        <w:t>;</w:t>
      </w:r>
    </w:p>
    <w:p w14:paraId="2F3A2556" w14:textId="64B72550" w:rsidR="00114953" w:rsidRPr="00AC2428" w:rsidRDefault="00114953" w:rsidP="00A51EA0">
      <w:pPr>
        <w:ind w:left="708"/>
        <w:jc w:val="both"/>
      </w:pPr>
    </w:p>
    <w:p w14:paraId="6AFE0FE6" w14:textId="4FB26864" w:rsidR="00114953" w:rsidRPr="00AC2428" w:rsidRDefault="00114953" w:rsidP="00A51EA0">
      <w:pPr>
        <w:ind w:left="708"/>
        <w:jc w:val="both"/>
      </w:pPr>
      <w:r>
        <w:t>ob upoštevanju zaprosila skupščine v Gvajani z dne </w:t>
      </w:r>
      <w:r>
        <w:rPr>
          <w:highlight w:val="yellow"/>
        </w:rPr>
        <w:t>XXX</w:t>
      </w:r>
      <w:r>
        <w:t>;</w:t>
      </w:r>
    </w:p>
    <w:p w14:paraId="0A5B982D" w14:textId="77777777" w:rsidR="00114953" w:rsidRPr="00AC2428" w:rsidRDefault="00114953" w:rsidP="00A51EA0">
      <w:pPr>
        <w:ind w:left="708"/>
        <w:jc w:val="both"/>
      </w:pPr>
    </w:p>
    <w:p w14:paraId="2FB4ECEE" w14:textId="76E9B3A3" w:rsidR="00114953" w:rsidRPr="00AC2428" w:rsidRDefault="00114953" w:rsidP="00A51EA0">
      <w:pPr>
        <w:ind w:left="708"/>
        <w:jc w:val="both"/>
      </w:pPr>
      <w:r>
        <w:t>ob upoštevanju zaprosila skupščine v Martiniku z dne </w:t>
      </w:r>
      <w:r>
        <w:rPr>
          <w:highlight w:val="yellow"/>
        </w:rPr>
        <w:t>XXX</w:t>
      </w:r>
      <w:r>
        <w:t>;</w:t>
      </w:r>
    </w:p>
    <w:p w14:paraId="7E9D6461" w14:textId="77777777" w:rsidR="00114953" w:rsidRPr="00AC2428" w:rsidRDefault="00114953" w:rsidP="00A51EA0">
      <w:pPr>
        <w:ind w:left="708"/>
        <w:jc w:val="both"/>
      </w:pPr>
    </w:p>
    <w:p w14:paraId="4AF24266" w14:textId="7720DA4A" w:rsidR="00114953" w:rsidRPr="00AC2428" w:rsidRDefault="00114953" w:rsidP="00A51EA0">
      <w:pPr>
        <w:ind w:left="708"/>
        <w:jc w:val="both"/>
      </w:pPr>
      <w:r>
        <w:t>ob upoštevanju zaprosila departmajskega sveta v Gvadelupu z dne </w:t>
      </w:r>
      <w:r>
        <w:rPr>
          <w:highlight w:val="yellow"/>
        </w:rPr>
        <w:t>XXX</w:t>
      </w:r>
      <w:r>
        <w:t>;</w:t>
      </w:r>
    </w:p>
    <w:p w14:paraId="42634F3B" w14:textId="77777777" w:rsidR="00114953" w:rsidRPr="00AC2428" w:rsidRDefault="00114953" w:rsidP="00A51EA0">
      <w:pPr>
        <w:ind w:left="708"/>
        <w:jc w:val="both"/>
      </w:pPr>
    </w:p>
    <w:p w14:paraId="4AEA1806" w14:textId="093DBBCB" w:rsidR="00114953" w:rsidRPr="00AC2428" w:rsidRDefault="00114953" w:rsidP="00A51EA0">
      <w:pPr>
        <w:ind w:left="708"/>
        <w:jc w:val="both"/>
      </w:pPr>
      <w:r>
        <w:t>ob upoštevanju zaprosila departmajskega sveta v skupnosti Réunion z dne </w:t>
      </w:r>
      <w:r>
        <w:rPr>
          <w:highlight w:val="yellow"/>
        </w:rPr>
        <w:t>XXX</w:t>
      </w:r>
      <w:r>
        <w:t>;</w:t>
      </w:r>
    </w:p>
    <w:p w14:paraId="0AB8F80E" w14:textId="77777777" w:rsidR="00114953" w:rsidRPr="00AC2428" w:rsidRDefault="00114953" w:rsidP="00A51EA0">
      <w:pPr>
        <w:ind w:left="708"/>
        <w:jc w:val="both"/>
      </w:pPr>
    </w:p>
    <w:p w14:paraId="11A87746" w14:textId="7510F38B" w:rsidR="00114953" w:rsidRPr="00AC2428" w:rsidRDefault="00114953" w:rsidP="00A51EA0">
      <w:pPr>
        <w:ind w:left="708"/>
        <w:jc w:val="both"/>
      </w:pPr>
      <w:r>
        <w:t>ob upoštevanju zaprosila regionalnega sveta v Gvadelupu z dne </w:t>
      </w:r>
      <w:r>
        <w:rPr>
          <w:highlight w:val="yellow"/>
        </w:rPr>
        <w:t>XXX</w:t>
      </w:r>
      <w:r>
        <w:t>;</w:t>
      </w:r>
    </w:p>
    <w:p w14:paraId="265C201F" w14:textId="77777777" w:rsidR="00114953" w:rsidRPr="00AC2428" w:rsidRDefault="00114953" w:rsidP="00A51EA0">
      <w:pPr>
        <w:ind w:left="708"/>
        <w:jc w:val="both"/>
      </w:pPr>
    </w:p>
    <w:p w14:paraId="06F46AC9" w14:textId="37490C38" w:rsidR="00114953" w:rsidRPr="00AC2428" w:rsidRDefault="00114953" w:rsidP="00A51EA0">
      <w:pPr>
        <w:ind w:left="708"/>
        <w:jc w:val="both"/>
      </w:pPr>
      <w:r>
        <w:t>ob upoštevanju zaprosila regionalnega sveta v skupnosti Réunion z dne </w:t>
      </w:r>
      <w:r>
        <w:rPr>
          <w:highlight w:val="yellow"/>
        </w:rPr>
        <w:t>XXX</w:t>
      </w:r>
      <w:r>
        <w:t>;</w:t>
      </w:r>
    </w:p>
    <w:p w14:paraId="08669AB6" w14:textId="77777777" w:rsidR="00114953" w:rsidRPr="00AC2428" w:rsidRDefault="00114953" w:rsidP="00A51EA0">
      <w:pPr>
        <w:ind w:left="708"/>
        <w:jc w:val="both"/>
      </w:pPr>
    </w:p>
    <w:p w14:paraId="69B156E4" w14:textId="3F24F286" w:rsidR="00114953" w:rsidRPr="00AC2428" w:rsidRDefault="00114953" w:rsidP="00A51EA0">
      <w:pPr>
        <w:ind w:left="708"/>
        <w:jc w:val="both"/>
      </w:pPr>
      <w:r>
        <w:t>ob upoštevanju zaprosila departmajskega sveta v skupnosti Mayotte z dne </w:t>
      </w:r>
      <w:r>
        <w:rPr>
          <w:highlight w:val="yellow"/>
        </w:rPr>
        <w:t>XXX</w:t>
      </w:r>
      <w:r>
        <w:t>;</w:t>
      </w:r>
    </w:p>
    <w:p w14:paraId="26363403" w14:textId="77777777" w:rsidR="00114953" w:rsidRPr="00AC2428" w:rsidRDefault="00114953" w:rsidP="00A51EA0">
      <w:pPr>
        <w:ind w:left="708"/>
        <w:jc w:val="both"/>
      </w:pPr>
    </w:p>
    <w:p w14:paraId="424E4F28" w14:textId="513F9B08" w:rsidR="009918F3" w:rsidRPr="00AC2428" w:rsidRDefault="009918F3" w:rsidP="00A51EA0">
      <w:pPr>
        <w:ind w:firstLine="708"/>
        <w:jc w:val="both"/>
      </w:pPr>
      <w:bookmarkStart w:id="0" w:name="_GoBack"/>
      <w:bookmarkEnd w:id="0"/>
      <w:r>
        <w:t>ob upoštevanju mnenja Državnega sveta (oddelek za javna dela) –</w:t>
      </w:r>
    </w:p>
    <w:p w14:paraId="3DE837B5" w14:textId="77777777" w:rsidR="00A51EA0" w:rsidRDefault="00A51EA0" w:rsidP="00A51EA0">
      <w:pPr>
        <w:pStyle w:val="SNActe"/>
        <w:spacing w:before="0" w:after="0"/>
      </w:pPr>
    </w:p>
    <w:p w14:paraId="7AEC6FA4" w14:textId="77777777" w:rsidR="00A51EA0" w:rsidRDefault="00A51EA0" w:rsidP="00A51EA0">
      <w:pPr>
        <w:pStyle w:val="SNActe"/>
        <w:spacing w:before="0" w:after="0"/>
      </w:pPr>
    </w:p>
    <w:p w14:paraId="1B9AC711" w14:textId="10ADE9BB" w:rsidR="00216F67" w:rsidRPr="00AC2428" w:rsidRDefault="002633B9" w:rsidP="00A51EA0">
      <w:pPr>
        <w:pStyle w:val="SNActe"/>
        <w:spacing w:before="0" w:after="0"/>
      </w:pPr>
      <w:r>
        <w:t>odreja:</w:t>
      </w:r>
    </w:p>
    <w:p w14:paraId="6BB8552A" w14:textId="77777777" w:rsidR="00A51EA0" w:rsidRDefault="00A51EA0" w:rsidP="00A51EA0">
      <w:pPr>
        <w:pStyle w:val="SNArticle"/>
        <w:spacing w:before="0" w:after="0"/>
      </w:pPr>
    </w:p>
    <w:p w14:paraId="636B2070" w14:textId="77777777" w:rsidR="00A51EA0" w:rsidRDefault="00A51EA0" w:rsidP="00A51EA0">
      <w:pPr>
        <w:pStyle w:val="SNArticle"/>
        <w:spacing w:before="0" w:after="0"/>
      </w:pPr>
    </w:p>
    <w:p w14:paraId="1BD38E7A" w14:textId="1FC85470" w:rsidR="00216F67" w:rsidRDefault="002633B9" w:rsidP="00A51EA0">
      <w:pPr>
        <w:pStyle w:val="SNArticle"/>
        <w:spacing w:before="0" w:after="0"/>
        <w:rPr>
          <w:vertAlign w:val="superscript"/>
        </w:rPr>
      </w:pPr>
      <w:r>
        <w:lastRenderedPageBreak/>
        <w:t>Člen 1</w:t>
      </w:r>
    </w:p>
    <w:p w14:paraId="635C07CE" w14:textId="77777777" w:rsidR="00A51EA0" w:rsidRPr="00A51EA0" w:rsidRDefault="00A51EA0" w:rsidP="00A51EA0">
      <w:pPr>
        <w:pStyle w:val="BodyText"/>
      </w:pPr>
    </w:p>
    <w:p w14:paraId="31F32375" w14:textId="15825574" w:rsidR="009918F3" w:rsidRPr="00AC2428" w:rsidRDefault="009918F3" w:rsidP="00A51EA0">
      <w:pPr>
        <w:jc w:val="both"/>
      </w:pPr>
      <w:r>
        <w:t xml:space="preserve">Pododdelki </w:t>
      </w:r>
      <w:r>
        <w:rPr>
          <w:highlight w:val="yellow"/>
        </w:rPr>
        <w:t>1 do 4</w:t>
      </w:r>
      <w:r>
        <w:t xml:space="preserve"> oddelka 4 poglavja I naslova I knjige I Zakonika o gradnji in stanovanjih se nadomestijo z naslednjimi pododdelki od </w:t>
      </w:r>
      <w:r>
        <w:rPr>
          <w:highlight w:val="yellow"/>
        </w:rPr>
        <w:t xml:space="preserve">1 do </w:t>
      </w:r>
      <w:r>
        <w:t>5</w:t>
      </w:r>
      <w:r>
        <w:rPr>
          <w:rStyle w:val="print-title-summary"/>
        </w:rPr>
        <w:t xml:space="preserve">. </w:t>
      </w:r>
    </w:p>
    <w:p w14:paraId="30BE8CD0" w14:textId="77777777" w:rsidR="009918F3" w:rsidRPr="00AC2428" w:rsidRDefault="009918F3" w:rsidP="00A51EA0">
      <w:pPr>
        <w:jc w:val="both"/>
      </w:pPr>
    </w:p>
    <w:p w14:paraId="57A3FB4C" w14:textId="23FA9FD2" w:rsidR="009918F3" w:rsidRPr="00AC2428" w:rsidRDefault="000E3CDC" w:rsidP="00A51EA0">
      <w:pPr>
        <w:jc w:val="both"/>
        <w:rPr>
          <w:i/>
        </w:rPr>
      </w:pPr>
      <w:r>
        <w:rPr>
          <w:i/>
        </w:rPr>
        <w:t>„Pododdelek 1: Zahteve za energetsko in okoljsko učinkovitost, ki se uporabljajo za gradnjo stavb ali delov stanovanjskih stavb, pisarn ali osnovnih oziroma srednjih šol</w:t>
      </w:r>
    </w:p>
    <w:p w14:paraId="2C853DFE" w14:textId="0EA803E8" w:rsidR="009918F3" w:rsidRPr="00AC2428" w:rsidRDefault="009918F3" w:rsidP="00A51EA0">
      <w:pPr>
        <w:jc w:val="both"/>
      </w:pPr>
    </w:p>
    <w:p w14:paraId="6188769E" w14:textId="7561FCE2" w:rsidR="0053536C" w:rsidRPr="00AC2428" w:rsidRDefault="000E3CDC" w:rsidP="00A51EA0">
      <w:pPr>
        <w:jc w:val="both"/>
      </w:pPr>
      <w:r>
        <w:rPr>
          <w:i/>
        </w:rPr>
        <w:t xml:space="preserve">„Člen R. 111-20 - </w:t>
      </w:r>
      <w:r>
        <w:t xml:space="preserve">I. – Določbe iz tega pododdelka se v smislu člena </w:t>
      </w:r>
      <w:r>
        <w:rPr>
          <w:highlight w:val="yellow"/>
        </w:rPr>
        <w:t>L. 111-1</w:t>
      </w:r>
      <w:r>
        <w:t xml:space="preserve"> uporabljajo za gradnjo stavb ali delov stavb, pisarn ali osnovnih oziroma srednjih šol, ki morajo biti predmet vloge za gradbeno dovoljenje ali predhodne prijave, vložene po </w:t>
      </w:r>
      <w:r>
        <w:rPr>
          <w:highlight w:val="yellow"/>
        </w:rPr>
        <w:t>1. juliju 2021</w:t>
      </w:r>
      <w:r>
        <w:t>. Uporabljajo se tudi za gradnjo parkirišč, povezanih s temi stavbami.</w:t>
      </w:r>
    </w:p>
    <w:p w14:paraId="40725D2C" w14:textId="77777777" w:rsidR="003B7761" w:rsidRPr="00AC2428" w:rsidRDefault="003B7761" w:rsidP="00A51EA0">
      <w:pPr>
        <w:jc w:val="both"/>
        <w:rPr>
          <w:rFonts w:eastAsia="Calibri"/>
          <w:lang w:eastAsia="fr-FR"/>
        </w:rPr>
      </w:pPr>
    </w:p>
    <w:p w14:paraId="31391E4A" w14:textId="4ECBE85E" w:rsidR="0053536C" w:rsidRPr="00AC2428" w:rsidRDefault="000E3CDC" w:rsidP="00A51EA0">
      <w:pPr>
        <w:jc w:val="both"/>
      </w:pPr>
      <w:r>
        <w:t>„Za turistične objekte, ki imajo spalnico, kuhinjo in sanitarije, veljajo pravila, ki se uporabljajo za stanovanjske stavbe, določene v tem pododdelku.</w:t>
      </w:r>
    </w:p>
    <w:p w14:paraId="660ACE30" w14:textId="77777777" w:rsidR="003B7761" w:rsidRPr="00AC2428" w:rsidRDefault="003B7761" w:rsidP="00A51EA0">
      <w:pPr>
        <w:jc w:val="both"/>
      </w:pPr>
    </w:p>
    <w:p w14:paraId="658EE355" w14:textId="5CA44FBD" w:rsidR="0053536C" w:rsidRDefault="000E3CDC" w:rsidP="00A51EA0">
      <w:pPr>
        <w:pStyle w:val="ListParagraph"/>
        <w:spacing w:after="0" w:line="240" w:lineRule="auto"/>
        <w:ind w:left="0"/>
        <w:jc w:val="both"/>
        <w:rPr>
          <w:rFonts w:ascii="Times New Roman" w:hAnsi="Times New Roman" w:cs="Times New Roman"/>
          <w:sz w:val="24"/>
          <w:szCs w:val="24"/>
        </w:rPr>
      </w:pPr>
      <w:r>
        <w:rPr>
          <w:rFonts w:ascii="Times New Roman" w:hAnsi="Times New Roman"/>
          <w:sz w:val="24"/>
          <w:szCs w:val="24"/>
        </w:rPr>
        <w:t xml:space="preserve">„II. – Določbe tega pododdelka se uporabljajo za stanovanjske stavbe, pisarne ali osnovne oziroma srednje šole, za katere nista potrebna vloga za gradbeno dovoljenje in predhodna prijava v okviru manjših počitniških stanovanj v smislu </w:t>
      </w:r>
      <w:r>
        <w:rPr>
          <w:rFonts w:ascii="Times New Roman" w:hAnsi="Times New Roman"/>
          <w:sz w:val="24"/>
          <w:szCs w:val="24"/>
          <w:highlight w:val="yellow"/>
        </w:rPr>
        <w:t xml:space="preserve">b) člena R*. 421-2 </w:t>
      </w:r>
      <w:r>
        <w:rPr>
          <w:rFonts w:ascii="Times New Roman" w:hAnsi="Times New Roman"/>
          <w:sz w:val="24"/>
          <w:szCs w:val="24"/>
        </w:rPr>
        <w:t xml:space="preserve">in začasnih objektov v smislu člena </w:t>
      </w:r>
      <w:r>
        <w:rPr>
          <w:rFonts w:ascii="Times New Roman" w:hAnsi="Times New Roman"/>
          <w:sz w:val="24"/>
          <w:szCs w:val="24"/>
          <w:highlight w:val="yellow"/>
        </w:rPr>
        <w:t>R*. 421-5</w:t>
      </w:r>
      <w:r>
        <w:rPr>
          <w:rFonts w:ascii="Times New Roman" w:hAnsi="Times New Roman"/>
          <w:sz w:val="24"/>
          <w:szCs w:val="24"/>
        </w:rPr>
        <w:t xml:space="preserve"> Urbanističnega zakonika.</w:t>
      </w:r>
    </w:p>
    <w:p w14:paraId="2693E0B3" w14:textId="77777777" w:rsidR="00A51EA0" w:rsidRPr="00AC2428" w:rsidRDefault="00A51EA0" w:rsidP="00A51EA0">
      <w:pPr>
        <w:pStyle w:val="ListParagraph"/>
        <w:spacing w:after="0" w:line="240" w:lineRule="auto"/>
        <w:ind w:left="0"/>
        <w:jc w:val="both"/>
        <w:rPr>
          <w:rFonts w:ascii="Times New Roman" w:hAnsi="Times New Roman" w:cs="Times New Roman"/>
          <w:sz w:val="24"/>
          <w:szCs w:val="24"/>
        </w:rPr>
      </w:pPr>
    </w:p>
    <w:p w14:paraId="7A863FAF" w14:textId="2BAA1FF1" w:rsidR="00EC037D" w:rsidRPr="00AC2428" w:rsidRDefault="000E3CDC" w:rsidP="00A51EA0">
      <w:pPr>
        <w:jc w:val="both"/>
      </w:pPr>
      <w:r>
        <w:t>„III. – Razen stavb, katerih dela so bila dovršena pred 31. decembrom 2020, stavbe, ki so predmet prijave o dokazilu dovršenih del po 31. decembru 2025, izpolnjujejo določbe iz tega člena in sicer ne glede na datum vloge za izdajo gradbenoegadovoljenja ali predhodne prijave del.</w:t>
      </w:r>
    </w:p>
    <w:p w14:paraId="1BB990D1" w14:textId="77777777" w:rsidR="00EC037D" w:rsidRPr="00AC2428" w:rsidRDefault="00EC037D" w:rsidP="00A51EA0">
      <w:pPr>
        <w:jc w:val="both"/>
      </w:pPr>
    </w:p>
    <w:p w14:paraId="6ACB6F89" w14:textId="7823B146" w:rsidR="001E5E7E" w:rsidRPr="00AC2428" w:rsidRDefault="000E3CDC" w:rsidP="00A51EA0">
      <w:pPr>
        <w:jc w:val="both"/>
      </w:pPr>
      <w:r>
        <w:t>„IV. –</w:t>
      </w:r>
      <w:r>
        <w:rPr>
          <w:rFonts w:ascii="Calibri" w:hAnsi="Calibri"/>
          <w:sz w:val="22"/>
          <w:szCs w:val="22"/>
        </w:rPr>
        <w:t xml:space="preserve"> </w:t>
      </w:r>
      <w:r>
        <w:t>Ta pododdelek se ne uporablja v Guadeloupu, Gvajani, Martiniku, skupnosti Réunion in Mayotte.</w:t>
      </w:r>
    </w:p>
    <w:p w14:paraId="1A1886C5" w14:textId="39F6F4C1" w:rsidR="009E3368" w:rsidRPr="00AC2428" w:rsidRDefault="009E3368" w:rsidP="00A51EA0">
      <w:pPr>
        <w:pStyle w:val="ListParagraph"/>
        <w:spacing w:after="0" w:line="240" w:lineRule="auto"/>
        <w:ind w:left="0"/>
        <w:jc w:val="both"/>
        <w:rPr>
          <w:rFonts w:ascii="Times New Roman" w:hAnsi="Times New Roman" w:cs="Times New Roman"/>
          <w:sz w:val="24"/>
          <w:szCs w:val="24"/>
        </w:rPr>
      </w:pPr>
    </w:p>
    <w:p w14:paraId="266F5561" w14:textId="3A64A079" w:rsidR="009E3368" w:rsidRPr="00AC2428" w:rsidRDefault="000E3CDC" w:rsidP="00A51EA0">
      <w:pPr>
        <w:jc w:val="both"/>
        <w:rPr>
          <w:color w:val="000000" w:themeColor="text1"/>
        </w:rPr>
      </w:pPr>
      <w:r>
        <w:rPr>
          <w:i/>
          <w:color w:val="000000" w:themeColor="text1"/>
        </w:rPr>
        <w:t>„Člen R. 111-20-1</w:t>
      </w:r>
      <w:r>
        <w:rPr>
          <w:color w:val="000000" w:themeColor="text1"/>
        </w:rPr>
        <w:t xml:space="preserve">. – Za začasne objekte v smislu člena </w:t>
      </w:r>
      <w:r>
        <w:rPr>
          <w:color w:val="000000" w:themeColor="text1"/>
          <w:highlight w:val="yellow"/>
        </w:rPr>
        <w:t>R*. 421-5</w:t>
      </w:r>
      <w:r>
        <w:rPr>
          <w:color w:val="000000" w:themeColor="text1"/>
        </w:rPr>
        <w:t xml:space="preserve"> Urbanističnega zakonika, predvidene za čas uporabe manj kot 2 leti, se lahko uporabljajo alternativne zahteve, določene v odredbi za doseganje določenih minimalnih rezultatov, določenih v tem pododdelku. To odredbo sprejmeta minister, odgovoren za energijo, in minister, odgovoren za gradnjo.</w:t>
      </w:r>
    </w:p>
    <w:p w14:paraId="182B3B63" w14:textId="2DD7A559" w:rsidR="009E3368" w:rsidRPr="00AC2428" w:rsidRDefault="009E3368" w:rsidP="00A51EA0">
      <w:pPr>
        <w:jc w:val="both"/>
        <w:rPr>
          <w:color w:val="000000" w:themeColor="text1"/>
        </w:rPr>
      </w:pPr>
    </w:p>
    <w:p w14:paraId="2A1CD879" w14:textId="12238F09" w:rsidR="009E3368" w:rsidRPr="00AC2428" w:rsidRDefault="000E3CDC" w:rsidP="00A51EA0">
      <w:pPr>
        <w:jc w:val="both"/>
        <w:rPr>
          <w:color w:val="000000" w:themeColor="text1"/>
        </w:rPr>
      </w:pPr>
      <w:r>
        <w:rPr>
          <w:color w:val="000000" w:themeColor="text1"/>
        </w:rPr>
        <w:t>„</w:t>
      </w:r>
      <w:r>
        <w:rPr>
          <w:i/>
          <w:color w:val="000000" w:themeColor="text1"/>
        </w:rPr>
        <w:t>Člen. R. 111-20-2.</w:t>
      </w:r>
      <w:r>
        <w:rPr>
          <w:color w:val="000000" w:themeColor="text1"/>
        </w:rPr>
        <w:t xml:space="preserve"> – Za gradnje stavb s površino, manjšo od 50 m</w:t>
      </w:r>
      <w:r>
        <w:rPr>
          <w:color w:val="000000" w:themeColor="text1"/>
          <w:vertAlign w:val="superscript"/>
        </w:rPr>
        <w:t>2</w:t>
      </w:r>
      <w:r>
        <w:rPr>
          <w:color w:val="000000" w:themeColor="text1"/>
        </w:rPr>
        <w:t>, in za podaljške stavb glede na njihove značilnosti se lahko uporabljajo alternativne zahteve, določene v odredbi za doseganje določenih minimalnih rezultatov, določenih v tem pododdelku. To odredbo sprejmeta minister, odgovoren za energijo, in minister, odgovoren za gradnjo.</w:t>
      </w:r>
    </w:p>
    <w:p w14:paraId="3F7A9601" w14:textId="77777777" w:rsidR="009E3368" w:rsidRPr="00AC2428" w:rsidRDefault="009E3368" w:rsidP="00A51EA0">
      <w:pPr>
        <w:jc w:val="both"/>
      </w:pPr>
    </w:p>
    <w:p w14:paraId="3859DC48" w14:textId="093D36C5" w:rsidR="009E3368" w:rsidRPr="00AC2428" w:rsidRDefault="000E3CDC" w:rsidP="00A51EA0">
      <w:pPr>
        <w:jc w:val="both"/>
      </w:pPr>
      <w:r>
        <w:t>„</w:t>
      </w:r>
      <w:r>
        <w:rPr>
          <w:i/>
        </w:rPr>
        <w:t>Člen. R. 111-20-3.</w:t>
      </w:r>
      <w:r>
        <w:t xml:space="preserve"> – Za upoštevanje splošnih ciljev, določenih v členu </w:t>
      </w:r>
      <w:r>
        <w:rPr>
          <w:highlight w:val="yellow"/>
        </w:rPr>
        <w:t>L. 111-9</w:t>
      </w:r>
      <w:r>
        <w:t xml:space="preserve"> [prihodnji L. 171-1 in L. 171-3] in ob upoštevanju določb iz členov </w:t>
      </w:r>
      <w:r>
        <w:rPr>
          <w:highlight w:val="yellow"/>
        </w:rPr>
        <w:t>R. 111-20-1</w:t>
      </w:r>
      <w:r>
        <w:t xml:space="preserve"> </w:t>
      </w:r>
      <w:r>
        <w:rPr>
          <w:highlight w:val="yellow"/>
        </w:rPr>
        <w:t>in R. 111-20-2</w:t>
      </w:r>
      <w:r>
        <w:t>, gradnja vsake stavbe ali dela stavbe, za katero se uporablja ta pododdelek, dosega vsaj naslednje minimalne rezultate:</w:t>
      </w:r>
    </w:p>
    <w:p w14:paraId="6E17111F" w14:textId="77777777" w:rsidR="009E3368" w:rsidRPr="00AC2428" w:rsidRDefault="009E3368" w:rsidP="00A51EA0">
      <w:pPr>
        <w:jc w:val="both"/>
      </w:pPr>
    </w:p>
    <w:p w14:paraId="6A6493F7" w14:textId="56102FA5" w:rsidR="009E3368" w:rsidRPr="00AC2428" w:rsidRDefault="000E3CDC" w:rsidP="00A51EA0">
      <w:pPr>
        <w:jc w:val="both"/>
      </w:pPr>
      <w:r>
        <w:t>„1. Potreba po energiji stavbe, izračunana za določene pogoje obratovanja, za ogrevanje, hlajenje in razsvetljavo, je manjša ali enaka največji potrebi po energiji;</w:t>
      </w:r>
    </w:p>
    <w:p w14:paraId="34EB79C6" w14:textId="77777777" w:rsidR="009E3368" w:rsidRPr="00AC2428" w:rsidRDefault="009E3368" w:rsidP="00A51EA0">
      <w:pPr>
        <w:jc w:val="both"/>
      </w:pPr>
    </w:p>
    <w:p w14:paraId="2F8D5475" w14:textId="442A554B" w:rsidR="009E3368" w:rsidRPr="00AC2428" w:rsidRDefault="000E3CDC" w:rsidP="00A51EA0">
      <w:pPr>
        <w:jc w:val="both"/>
      </w:pPr>
      <w:r>
        <w:t>„2. Poraba primarne energije in poraba primarne neobnovljive energije stavbe, izračunane za določene pogoje obratovanja, za ogrevanje, hlajenje, proizvodnjo tople sanitarne vode, razsvetljavo, mobilnost stanovalcev v stavbi, pomožno ogrevanje, hlajenje, toplo sanitarno vodo in prezračevanje, sta manjši ali enaki porabi največje primarne energije in največji porabi neobnovljive primarne energije;</w:t>
      </w:r>
    </w:p>
    <w:p w14:paraId="728C6C06" w14:textId="77777777" w:rsidR="009E3368" w:rsidRPr="00AC2428" w:rsidRDefault="009E3368" w:rsidP="00A51EA0">
      <w:pPr>
        <w:jc w:val="both"/>
      </w:pPr>
    </w:p>
    <w:p w14:paraId="5BEDCB4B" w14:textId="05FF2211" w:rsidR="009E3368" w:rsidRPr="00AC2428" w:rsidRDefault="000E3CDC" w:rsidP="00A51EA0">
      <w:pPr>
        <w:jc w:val="both"/>
      </w:pPr>
      <w:r>
        <w:t>„3. Vpliv porabe primarne energije na klimatske spremembe iz točke 2 je manjši ali enak največjemu vplivu;</w:t>
      </w:r>
    </w:p>
    <w:p w14:paraId="2E9F42E8" w14:textId="77777777" w:rsidR="009E3368" w:rsidRPr="00AC2428" w:rsidRDefault="009E3368" w:rsidP="00A51EA0">
      <w:pPr>
        <w:jc w:val="both"/>
      </w:pPr>
    </w:p>
    <w:p w14:paraId="4C9CDE54" w14:textId="41749479" w:rsidR="009E3368" w:rsidRPr="00AC2428" w:rsidRDefault="000E3CDC" w:rsidP="00A51EA0">
      <w:pPr>
        <w:jc w:val="both"/>
      </w:pPr>
      <w:r>
        <w:t>„4. Vpliv na klimatske spremembe, povezan s sestavnimi deli stavbe, njihovim prevozom, namestitvi, uporabi razen potreb po energiji in vodi med obratovalno fazo stavbe, njihovega vzdrževanja, popravila, zamenjave in konca življenjske dobe, ocenjen v celotni življenjski dobi stavbe, je manjši ali enak največjemu vplivu. Pri oceni tega vpliva se upošteva shranjevanje ogljika iz zraka med življenjsko dobo stavbe, kot tudi obremenitve in koristi, povezane s predelavo sestavnih delov ob koncu življenjske dobe;</w:t>
      </w:r>
    </w:p>
    <w:p w14:paraId="75B6FB8C" w14:textId="77777777" w:rsidR="009E3368" w:rsidRPr="00AC2428" w:rsidRDefault="009E3368" w:rsidP="00A51EA0">
      <w:pPr>
        <w:jc w:val="both"/>
      </w:pPr>
    </w:p>
    <w:p w14:paraId="390A0D70" w14:textId="07C2AD6D" w:rsidR="009E3368" w:rsidRPr="00AC2428" w:rsidRDefault="000E3CDC" w:rsidP="00A51EA0">
      <w:pPr>
        <w:jc w:val="both"/>
      </w:pPr>
      <w:r>
        <w:t>„5. Število stopenj-ur neudobja v poletnem času je manjše ali enako največjemu številu stopenj-ur neugodja v poletnem času;</w:t>
      </w:r>
    </w:p>
    <w:p w14:paraId="466E278A" w14:textId="41B0956E" w:rsidR="00154360" w:rsidRPr="00AC2428" w:rsidRDefault="00154360" w:rsidP="00A51EA0">
      <w:pPr>
        <w:jc w:val="both"/>
      </w:pPr>
    </w:p>
    <w:p w14:paraId="1CA381FE" w14:textId="631C0482" w:rsidR="00154360" w:rsidRPr="00AC2428" w:rsidRDefault="000E3CDC" w:rsidP="00A51EA0">
      <w:pPr>
        <w:jc w:val="both"/>
      </w:pPr>
      <w:r>
        <w:t>„6. Vpliv na klimatske spremembe stavbe, ocenjen v celotnem življenjskem ciklu stavbe , se izračuna informativno. Pri oceni tega vpliva se upošteva shranjevanje ogljika iz zraka med življenjsko dobo stavbe, kot tudi obremenitve in koristi, povezane s predelavo sestavnih delov ob koncu življenjske dobe;</w:t>
      </w:r>
    </w:p>
    <w:p w14:paraId="5471B520" w14:textId="77777777" w:rsidR="00154360" w:rsidRPr="00AC2428" w:rsidRDefault="00154360" w:rsidP="00A51EA0">
      <w:pPr>
        <w:jc w:val="both"/>
      </w:pPr>
    </w:p>
    <w:p w14:paraId="5C9F95DD" w14:textId="79CF51C6" w:rsidR="00154360" w:rsidRPr="00AC2428" w:rsidRDefault="000E3CDC" w:rsidP="00A51EA0">
      <w:pPr>
        <w:jc w:val="both"/>
      </w:pPr>
      <w:r>
        <w:t>„7. Količina ogljika iz zraka, shranjena v stavbi, se izračuna informativno;</w:t>
      </w:r>
    </w:p>
    <w:p w14:paraId="47BEB761" w14:textId="293E7873" w:rsidR="00154360" w:rsidRPr="00AC2428" w:rsidRDefault="00154360" w:rsidP="00A51EA0">
      <w:pPr>
        <w:jc w:val="both"/>
      </w:pPr>
    </w:p>
    <w:p w14:paraId="24EFB0F2" w14:textId="7408F505" w:rsidR="001C46EC" w:rsidRPr="00AC2428" w:rsidRDefault="000E3CDC" w:rsidP="00A51EA0">
      <w:pPr>
        <w:jc w:val="both"/>
      </w:pPr>
      <w:r>
        <w:t>„V točki 4 tega člena besedilo „sestavni deli“ združuje „gradbene proizvode“, „dekorativne izdelke“ in „električno, elektronsko in klimatsko opremo“ v smislu naslednjih opredelitev: „gradbeni proizvodi“:  trajnostno vgrajeni proizvodi v konstrukcijo stavbe ali del stavbe; „dekorativni izdelki“: izdelki, ki se uporabljajo za stenske prevleke, talne in stropne prevleke; „električna, elektronska, klimatska oprema“: tehnični sistemi, vključeni v stavbo ali del stavbe, njeno parcelo, ki prispevajo k obratovanju stavbe za ogrevanje, hlajenje, prezračevanje, lokalno proizvodnjo energije, razsvetljavo, toplo sanitarno vodo in druge sisteme v zvezi s sanacijo, varnostjo, požarno zaščito, premikanje stanovalcev v stavbi, avtomatizacijo in ureditev stavbe, energijska in komunikacijska omrežja.</w:t>
      </w:r>
    </w:p>
    <w:p w14:paraId="59C1009B" w14:textId="77777777" w:rsidR="00154360" w:rsidRPr="00AC2428" w:rsidRDefault="00154360" w:rsidP="00A51EA0">
      <w:pPr>
        <w:jc w:val="both"/>
      </w:pPr>
    </w:p>
    <w:p w14:paraId="2D7F6E9B" w14:textId="4B2F69C7" w:rsidR="00154360" w:rsidRPr="00AC2428" w:rsidRDefault="000E3CDC" w:rsidP="00A51EA0">
      <w:pPr>
        <w:jc w:val="both"/>
      </w:pPr>
      <w:r>
        <w:t>„Določbe iz točk 1 do 3, točke 5 in 6 tega člena se uporabljajo samo za dele stavb, ki se pri običajni uporabi segrevajo pri temperaturi, višji od 12 °C, ali hladijo pri temperaturi, manjši od 30 °C, ter za pripadajoča parkirišča.</w:t>
      </w:r>
    </w:p>
    <w:p w14:paraId="48ABBC18" w14:textId="77777777" w:rsidR="00154360" w:rsidRPr="00AC2428" w:rsidRDefault="00154360" w:rsidP="00A51EA0">
      <w:pPr>
        <w:jc w:val="both"/>
      </w:pPr>
    </w:p>
    <w:p w14:paraId="0CC2FCAA" w14:textId="306CAF43" w:rsidR="00154360" w:rsidRPr="00AC2428" w:rsidRDefault="000E3CDC" w:rsidP="00A51EA0">
      <w:pPr>
        <w:jc w:val="both"/>
        <w:rPr>
          <w:bCs/>
        </w:rPr>
      </w:pPr>
      <w:r>
        <w:t xml:space="preserve">„Odredba ministra, odgovornega za energijo, in ministra, odgovornega za gradnjo nepremičnin, glede na kategorije stavb in njihovo postavitev, različne največje vrednosti, navedene v točkah 1 do 5. Določa tudi spremembo največjih vrednosti, navedenih v točki 3 in 4, da se uporabljajo energetski sistemi in načini gradnje, ki oddajajo malo toplogrednih plinov, ki se bodo uporabljale po </w:t>
      </w:r>
      <w:r>
        <w:rPr>
          <w:highlight w:val="yellow"/>
        </w:rPr>
        <w:t>1. juliju 2024, 1. juliju 2027 in 1. juliju 2030</w:t>
      </w:r>
      <w:r>
        <w:t>.</w:t>
      </w:r>
    </w:p>
    <w:p w14:paraId="66CD3585" w14:textId="77777777" w:rsidR="002E4886" w:rsidRPr="00AC2428" w:rsidRDefault="002E4886" w:rsidP="00A51EA0">
      <w:pPr>
        <w:jc w:val="both"/>
        <w:rPr>
          <w:b/>
          <w:bCs/>
        </w:rPr>
      </w:pPr>
    </w:p>
    <w:p w14:paraId="4993B9D8" w14:textId="75B023D8" w:rsidR="00154360" w:rsidRPr="00AC2428" w:rsidRDefault="000E3CDC" w:rsidP="00A51EA0">
      <w:pPr>
        <w:jc w:val="both"/>
      </w:pPr>
      <w:r>
        <w:rPr>
          <w:i/>
        </w:rPr>
        <w:t>„Člen R. 111-20-4</w:t>
      </w:r>
      <w:r>
        <w:t>. – Odredba ministra, odgovornega za energijo, in ministra, odgovornega za gradnjo nepremičnin, glede na kategorije stavbe in njihovo postavitev, določa tehnične značilnosti določenih sestavnih delov ali sklopov sestavnih delov, ki prispevajo k energetski in okoljski učinkovitosti, sanitarni kakovosti ali toplotnem udobju.</w:t>
      </w:r>
    </w:p>
    <w:p w14:paraId="434D734D" w14:textId="77777777" w:rsidR="00154360" w:rsidRPr="00AC2428" w:rsidRDefault="00154360" w:rsidP="00A51EA0">
      <w:pPr>
        <w:jc w:val="both"/>
        <w:rPr>
          <w:b/>
        </w:rPr>
      </w:pPr>
    </w:p>
    <w:p w14:paraId="6644CA27" w14:textId="3A3F7F5D" w:rsidR="00154360" w:rsidRPr="00AC2428" w:rsidRDefault="000E3CDC" w:rsidP="00A51EA0">
      <w:pPr>
        <w:jc w:val="both"/>
        <w:rPr>
          <w:color w:val="000000"/>
        </w:rPr>
      </w:pPr>
      <w:r>
        <w:rPr>
          <w:i/>
        </w:rPr>
        <w:t>„Člen R. 111-20-5.</w:t>
      </w:r>
      <w:r>
        <w:rPr>
          <w:color w:val="000000"/>
        </w:rPr>
        <w:t xml:space="preserve"> – I. – Doseganje minimalnih rezultatov, določenih v členu </w:t>
      </w:r>
      <w:r>
        <w:rPr>
          <w:highlight w:val="yellow"/>
        </w:rPr>
        <w:t>R. 111-20-3,</w:t>
      </w:r>
      <w:r>
        <w:t xml:space="preserve"> in določenih minimalnih zahtev iz člena</w:t>
      </w:r>
      <w:r>
        <w:rPr>
          <w:color w:val="000000"/>
        </w:rPr>
        <w:t xml:space="preserve"> </w:t>
      </w:r>
      <w:r>
        <w:rPr>
          <w:highlight w:val="yellow"/>
        </w:rPr>
        <w:t>R. 111-20-4</w:t>
      </w:r>
      <w:r>
        <w:rPr>
          <w:color w:val="000000"/>
        </w:rPr>
        <w:t xml:space="preserve"> se preveri po metodologiji za izračunavanje, ki opredeljuje zlasti pravila in predpostavke, ki se uporabljajo za izračunavanje. </w:t>
      </w:r>
    </w:p>
    <w:p w14:paraId="39534DB8" w14:textId="77777777" w:rsidR="00EC037D" w:rsidRPr="00AC2428" w:rsidRDefault="00EC037D" w:rsidP="00A51EA0">
      <w:pPr>
        <w:pBdr>
          <w:top w:val="nil"/>
          <w:left w:val="nil"/>
          <w:bottom w:val="nil"/>
          <w:right w:val="nil"/>
          <w:between w:val="nil"/>
        </w:pBdr>
        <w:suppressAutoHyphens w:val="0"/>
        <w:jc w:val="both"/>
      </w:pPr>
    </w:p>
    <w:p w14:paraId="780C265C" w14:textId="4A331F19" w:rsidR="00154360" w:rsidRPr="00AC2428" w:rsidRDefault="000E3CDC" w:rsidP="00A51EA0">
      <w:pPr>
        <w:pBdr>
          <w:top w:val="nil"/>
          <w:left w:val="nil"/>
          <w:bottom w:val="nil"/>
          <w:right w:val="nil"/>
          <w:between w:val="nil"/>
        </w:pBdr>
        <w:suppressAutoHyphens w:val="0"/>
        <w:jc w:val="both"/>
        <w:rPr>
          <w:color w:val="000000"/>
        </w:rPr>
      </w:pPr>
      <w:r>
        <w:rPr>
          <w:color w:val="000000"/>
        </w:rPr>
        <w:lastRenderedPageBreak/>
        <w:t xml:space="preserve">„II. – Za določene kategorije stavb se lahko predlaga tehnična rešitev, po odobritvi ministra, odgovornega za energijo, in ministra, odgovornega za gradnjo, pa se uveljavi upoštevanje določb iz tega pododdelka. </w:t>
      </w:r>
    </w:p>
    <w:p w14:paraId="533813FC" w14:textId="77777777" w:rsidR="00EC037D" w:rsidRPr="00AC2428" w:rsidRDefault="00EC037D" w:rsidP="00A51EA0">
      <w:pPr>
        <w:pBdr>
          <w:top w:val="nil"/>
          <w:left w:val="nil"/>
          <w:bottom w:val="nil"/>
          <w:right w:val="nil"/>
          <w:between w:val="nil"/>
        </w:pBdr>
        <w:suppressAutoHyphens w:val="0"/>
        <w:jc w:val="both"/>
      </w:pPr>
    </w:p>
    <w:p w14:paraId="02F713BC" w14:textId="081E3ACA" w:rsidR="00154360" w:rsidRPr="00AC2428" w:rsidRDefault="000E3CDC" w:rsidP="00A51EA0">
      <w:pPr>
        <w:pBdr>
          <w:top w:val="nil"/>
          <w:left w:val="nil"/>
          <w:bottom w:val="nil"/>
          <w:right w:val="nil"/>
          <w:between w:val="nil"/>
        </w:pBdr>
        <w:suppressAutoHyphens w:val="0"/>
        <w:jc w:val="both"/>
        <w:rPr>
          <w:color w:val="000000"/>
        </w:rPr>
      </w:pPr>
      <w:r>
        <w:rPr>
          <w:color w:val="000000"/>
        </w:rPr>
        <w:t xml:space="preserve">„III. – Kadar se metodologija za izračunavanje ne uporablja zaradi specifičnosti projekta, sistema, ustvarjanja ali posledične spremembe porabljenih energij daljinskega ogrevanja ali hlajenja, se lahko za ta projekt, ta sistem ali omrežje po odobritvi ministra, odgovornega za energijo, in ministra, odgovornega za gradnjo, uporabi metoda preverjanja doseganja rezultatov. </w:t>
      </w:r>
    </w:p>
    <w:p w14:paraId="70144FC0" w14:textId="77777777" w:rsidR="00703D48" w:rsidRPr="00AC2428" w:rsidRDefault="00703D48" w:rsidP="00A51EA0">
      <w:pPr>
        <w:pBdr>
          <w:top w:val="nil"/>
          <w:left w:val="nil"/>
          <w:bottom w:val="nil"/>
          <w:right w:val="nil"/>
          <w:between w:val="nil"/>
        </w:pBdr>
        <w:suppressAutoHyphens w:val="0"/>
        <w:jc w:val="both"/>
        <w:rPr>
          <w:color w:val="000000"/>
        </w:rPr>
      </w:pPr>
    </w:p>
    <w:p w14:paraId="5BBCD130" w14:textId="52D273E3" w:rsidR="00154360" w:rsidRPr="00AC2428" w:rsidRDefault="00154360" w:rsidP="00A51EA0">
      <w:pPr>
        <w:pBdr>
          <w:top w:val="nil"/>
          <w:left w:val="nil"/>
          <w:bottom w:val="nil"/>
          <w:right w:val="nil"/>
          <w:between w:val="nil"/>
        </w:pBdr>
        <w:jc w:val="both"/>
        <w:rPr>
          <w:color w:val="000000"/>
        </w:rPr>
      </w:pPr>
      <w:r>
        <w:rPr>
          <w:color w:val="000000"/>
        </w:rPr>
        <w:t>Odredba ministra, odgovornega za energijo, in ministra, odgovornega za gradnjo, določa metodologijo, navedeno v odstavku I, in opredeljuje pogoje za uporabo prilagoditev iz odstavkov II in III.</w:t>
      </w:r>
    </w:p>
    <w:p w14:paraId="00BDE231" w14:textId="0F9B1432" w:rsidR="00154360" w:rsidRPr="00AC2428" w:rsidRDefault="00154360" w:rsidP="00A51EA0">
      <w:pPr>
        <w:pBdr>
          <w:top w:val="nil"/>
          <w:left w:val="nil"/>
          <w:bottom w:val="nil"/>
          <w:right w:val="nil"/>
          <w:between w:val="nil"/>
        </w:pBdr>
        <w:jc w:val="both"/>
        <w:rPr>
          <w:color w:val="000000"/>
        </w:rPr>
      </w:pPr>
    </w:p>
    <w:p w14:paraId="4A3F5FA2" w14:textId="715764C6" w:rsidR="00154360" w:rsidRPr="00AC2428" w:rsidRDefault="000E3CDC" w:rsidP="00A51EA0">
      <w:pPr>
        <w:jc w:val="both"/>
      </w:pPr>
      <w:r>
        <w:rPr>
          <w:i/>
        </w:rPr>
        <w:t>„Člen R. 111-20-6.</w:t>
      </w:r>
      <w:r>
        <w:t xml:space="preserve"> – Odredba ministra, odgovornega za energijo, in ministra, odgovornega za gradnjo, določa podatke, ki se lahko uporabljajo za utemeljitev izpolnjevanja zahtev iz členov </w:t>
      </w:r>
      <w:r>
        <w:rPr>
          <w:highlight w:val="yellow"/>
        </w:rPr>
        <w:t>R. 111-20-3 do R. 111-20-5</w:t>
      </w:r>
      <w:r>
        <w:t xml:space="preserve">, in določa pravila za uporabo teh podatkov. </w:t>
      </w:r>
    </w:p>
    <w:p w14:paraId="43043D93" w14:textId="77777777" w:rsidR="00FF74AB" w:rsidRPr="00AC2428" w:rsidRDefault="00FF74AB" w:rsidP="00A51EA0">
      <w:pPr>
        <w:jc w:val="both"/>
      </w:pPr>
    </w:p>
    <w:p w14:paraId="45BEAD51" w14:textId="11BC7624" w:rsidR="00154360" w:rsidRPr="00AC2428" w:rsidRDefault="000E3CDC" w:rsidP="00A51EA0">
      <w:pPr>
        <w:jc w:val="both"/>
      </w:pPr>
      <w:r>
        <w:rPr>
          <w:i/>
        </w:rPr>
        <w:t>„Člen R. 111-20-7.</w:t>
      </w:r>
      <w:r>
        <w:t xml:space="preserve"> – Odredba ministra, odgovornega za energijo, in ministra, odgovornega za gradnjo, določa podrobna pravila za prenos podatkov, ki se uporabljajo za izračun vrednosti, navedenih v točkah 1 do 7 člena </w:t>
      </w:r>
      <w:r>
        <w:rPr>
          <w:highlight w:val="yellow"/>
        </w:rPr>
        <w:t>R. 111-20-3</w:t>
      </w:r>
      <w:r>
        <w:t xml:space="preserve">, skladno s členom </w:t>
      </w:r>
      <w:r>
        <w:rPr>
          <w:highlight w:val="yellow"/>
        </w:rPr>
        <w:t>R. 111-20-6</w:t>
      </w:r>
      <w:r>
        <w:t xml:space="preserve">. Te podatke nosilec projekta po končanih delih shrani in jih hrani še vsaj 6 let po predložitvi prijave iz člena </w:t>
      </w:r>
      <w:r>
        <w:rPr>
          <w:highlight w:val="yellow"/>
        </w:rPr>
        <w:t>L. 462-1</w:t>
      </w:r>
      <w:r>
        <w:t xml:space="preserve"> Urbanističnega zakonika. Posredujejo se prvemu kupcu stavbe in v okviru časa njihovega shranjevanja, na zahtevo naknadnih kupcev, pooblaščenih oseb iz člena </w:t>
      </w:r>
      <w:r>
        <w:rPr>
          <w:highlight w:val="yellow"/>
        </w:rPr>
        <w:t>L. 151-1</w:t>
      </w:r>
      <w:r>
        <w:t xml:space="preserve"> </w:t>
      </w:r>
      <w:r>
        <w:rPr>
          <w:highlight w:val="yellow"/>
        </w:rPr>
        <w:t xml:space="preserve">[prihodnji L. 181-1] </w:t>
      </w:r>
      <w:r>
        <w:t xml:space="preserve">Zakonika o gradnji in stanovanjih, vsaki osebi, odgovorni za sestavo potrdila o upoštevanju gradbenih pravil iz tega pododdelka, vsaki osebi, odgovorni za izdelavo diagnostike energetske učinkovitosti, navedene v členu </w:t>
      </w:r>
      <w:r>
        <w:rPr>
          <w:highlight w:val="yellow"/>
        </w:rPr>
        <w:t>L. 134-2 [prihodnji L. 126-27</w:t>
      </w:r>
      <w:r>
        <w:t>] Zakonika o gradnji in stanovanjih.</w:t>
      </w:r>
    </w:p>
    <w:p w14:paraId="616C0E7E" w14:textId="0974ECAA" w:rsidR="00FF74AB" w:rsidRPr="00AC2428" w:rsidRDefault="00FF74AB" w:rsidP="00A51EA0">
      <w:pPr>
        <w:jc w:val="both"/>
      </w:pPr>
    </w:p>
    <w:p w14:paraId="46B722E3" w14:textId="26859DCA" w:rsidR="00154360" w:rsidRPr="00AC2428" w:rsidRDefault="000E3CDC" w:rsidP="00A51EA0">
      <w:pPr>
        <w:jc w:val="both"/>
        <w:rPr>
          <w:i/>
        </w:rPr>
      </w:pPr>
      <w:r>
        <w:rPr>
          <w:i/>
        </w:rPr>
        <w:t xml:space="preserve">„Pododdelek 2: študije in postopki, povezani z gradnjo stavb ali deli stanovanjskih stavb, pisarnami ali osnovnimi oziroma srednjimi šolami </w:t>
      </w:r>
    </w:p>
    <w:p w14:paraId="103C14DE" w14:textId="77777777" w:rsidR="00FF74AB" w:rsidRPr="00AC2428" w:rsidRDefault="00FF74AB" w:rsidP="00A51EA0">
      <w:pPr>
        <w:jc w:val="both"/>
      </w:pPr>
    </w:p>
    <w:p w14:paraId="7AC24B55" w14:textId="510AACE3" w:rsidR="00154360" w:rsidRPr="00AC2428" w:rsidRDefault="00154360" w:rsidP="00A51EA0">
      <w:pPr>
        <w:jc w:val="both"/>
      </w:pPr>
      <w:r>
        <w:rPr>
          <w:highlight w:val="yellow"/>
        </w:rPr>
        <w:t>[Vsebina tega pododdelka bo ocenjena v okviru dodatnega posvetovanja]</w:t>
      </w:r>
    </w:p>
    <w:p w14:paraId="0AD0F92A" w14:textId="77777777" w:rsidR="00154360" w:rsidRPr="00AC2428" w:rsidRDefault="00154360" w:rsidP="00A51EA0">
      <w:pPr>
        <w:jc w:val="both"/>
      </w:pPr>
    </w:p>
    <w:p w14:paraId="4DF6D8A0" w14:textId="7D4ADCB3" w:rsidR="00154360" w:rsidRPr="00AC2428" w:rsidRDefault="000E3CDC" w:rsidP="00A51EA0">
      <w:pPr>
        <w:jc w:val="both"/>
      </w:pPr>
      <w:r>
        <w:rPr>
          <w:i/>
        </w:rPr>
        <w:t>„Člen R. 111-20-8</w:t>
      </w:r>
      <w:r>
        <w:t xml:space="preserve">. – I. – Rok za sprejetje odločbe o sprejetju je tri mesece, kar zadeva vloge, vložene na podlagi člena </w:t>
      </w:r>
      <w:r>
        <w:rPr>
          <w:highlight w:val="yellow"/>
        </w:rPr>
        <w:t>R. 111-20</w:t>
      </w:r>
      <w:r>
        <w:t>, na podlagi katere se pridobi:</w:t>
      </w:r>
    </w:p>
    <w:p w14:paraId="45DCFE5B" w14:textId="77777777" w:rsidR="00154360" w:rsidRPr="00AC2428" w:rsidRDefault="00154360" w:rsidP="00A51EA0">
      <w:pPr>
        <w:jc w:val="both"/>
      </w:pPr>
    </w:p>
    <w:p w14:paraId="5D673FDE" w14:textId="15B97E39" w:rsidR="00154360" w:rsidRPr="00AC2428" w:rsidRDefault="000E3CDC" w:rsidP="00A51EA0">
      <w:pPr>
        <w:jc w:val="both"/>
      </w:pPr>
      <w:r>
        <w:t>„1. odobritev operaterja merjenja toplotne izolacije stavb;</w:t>
      </w:r>
    </w:p>
    <w:p w14:paraId="1FF528DD" w14:textId="77777777" w:rsidR="00154360" w:rsidRPr="00AC2428" w:rsidRDefault="00154360" w:rsidP="00A51EA0">
      <w:pPr>
        <w:jc w:val="both"/>
      </w:pPr>
    </w:p>
    <w:p w14:paraId="5D0A0203" w14:textId="2A290B26" w:rsidR="00154360" w:rsidRPr="00AC2428" w:rsidRDefault="000E3CDC" w:rsidP="00A51EA0">
      <w:pPr>
        <w:jc w:val="both"/>
      </w:pPr>
      <w:r>
        <w:t xml:space="preserve">„2. dogovor organa za izdajo nalepke „visoka energetska in okoljska učinkovitost“ v smislu člena </w:t>
      </w:r>
      <w:r>
        <w:rPr>
          <w:highlight w:val="yellow"/>
        </w:rPr>
        <w:t>R. 111-20-23</w:t>
      </w:r>
      <w:r>
        <w:t>.</w:t>
      </w:r>
    </w:p>
    <w:p w14:paraId="63FC092D" w14:textId="77777777" w:rsidR="00154360" w:rsidRPr="00AC2428" w:rsidRDefault="00154360" w:rsidP="00A51EA0">
      <w:pPr>
        <w:jc w:val="both"/>
      </w:pPr>
    </w:p>
    <w:p w14:paraId="709EB454" w14:textId="56B27583" w:rsidR="00154360" w:rsidRPr="00AC2428" w:rsidRDefault="000E3CDC" w:rsidP="00A51EA0">
      <w:pPr>
        <w:jc w:val="both"/>
      </w:pPr>
      <w:r>
        <w:t xml:space="preserve">„II. – Rok za sprejetje odločbe o sprejetju je štiri mesece, kar zadeva vloge za odobritev tehnične rešitve, ki upoštevajo določbe iz pododdelka 1, vložene na podlagi pododstavka </w:t>
      </w:r>
      <w:r>
        <w:rPr>
          <w:highlight w:val="yellow"/>
        </w:rPr>
        <w:t>II člena R. 111-20-5</w:t>
      </w:r>
      <w:r>
        <w:t>.</w:t>
      </w:r>
    </w:p>
    <w:p w14:paraId="1378F613" w14:textId="77777777" w:rsidR="00154360" w:rsidRPr="00AC2428" w:rsidRDefault="00154360" w:rsidP="00A51EA0">
      <w:pPr>
        <w:jc w:val="both"/>
      </w:pPr>
    </w:p>
    <w:p w14:paraId="2284FE9C" w14:textId="17530127" w:rsidR="00154360" w:rsidRPr="00AC2428" w:rsidRDefault="000E3CDC" w:rsidP="00A51EA0">
      <w:pPr>
        <w:jc w:val="both"/>
      </w:pPr>
      <w:r>
        <w:t xml:space="preserve">„III. – Rok za sprejetje odločbe o sprejetju je šest mesecev, kar zadeva vloge za odobritev učinkovitosti daljinskega ogrevanja in hlajenja, vložene na podlagi pododstavka </w:t>
      </w:r>
      <w:r>
        <w:rPr>
          <w:highlight w:val="yellow"/>
        </w:rPr>
        <w:t>III člena R. 111-20-5</w:t>
      </w:r>
      <w:r>
        <w:t>.</w:t>
      </w:r>
    </w:p>
    <w:p w14:paraId="632879FE" w14:textId="77777777" w:rsidR="00154360" w:rsidRPr="00AC2428" w:rsidRDefault="00154360" w:rsidP="00A51EA0">
      <w:pPr>
        <w:jc w:val="both"/>
      </w:pPr>
    </w:p>
    <w:p w14:paraId="22DCDE84" w14:textId="665FF17C" w:rsidR="00154360" w:rsidRPr="00AC2428" w:rsidRDefault="000E3CDC" w:rsidP="00A51EA0">
      <w:pPr>
        <w:jc w:val="both"/>
      </w:pPr>
      <w:r>
        <w:t xml:space="preserve">„IV. – Rok za sprejetje odločbe o sprejetju je devet mesecev, kar zadeva vloge za odobritev programske opreme za uporabo predpisov o toplotnih značilnostih, vložene na podlagi člena </w:t>
      </w:r>
      <w:r>
        <w:rPr>
          <w:highlight w:val="yellow"/>
        </w:rPr>
        <w:t>R. 111-20-5.</w:t>
      </w:r>
    </w:p>
    <w:p w14:paraId="0E512E3F" w14:textId="77777777" w:rsidR="00154360" w:rsidRPr="00AC2428" w:rsidRDefault="00154360" w:rsidP="00A51EA0">
      <w:pPr>
        <w:jc w:val="both"/>
      </w:pPr>
    </w:p>
    <w:p w14:paraId="5B67D484" w14:textId="09C0045B" w:rsidR="00154360" w:rsidRPr="00AC2428" w:rsidRDefault="000E3CDC" w:rsidP="00A51EA0">
      <w:pPr>
        <w:jc w:val="both"/>
      </w:pPr>
      <w:r>
        <w:t xml:space="preserve">„V. – Rok za sprejetje odločbe o sprejetju je dvanajst mesecev, kar zadeva vloge za odobritev metode za utemeljitev učinkovitosti sistema glede zahtev iz </w:t>
      </w:r>
      <w:r>
        <w:rPr>
          <w:highlight w:val="yellow"/>
        </w:rPr>
        <w:t>pododstavka III člena R. 111-20-5.</w:t>
      </w:r>
    </w:p>
    <w:p w14:paraId="3950BD8C" w14:textId="38295321" w:rsidR="00154360" w:rsidRPr="00AC2428" w:rsidRDefault="00154360" w:rsidP="00A51EA0">
      <w:pPr>
        <w:jc w:val="both"/>
      </w:pPr>
    </w:p>
    <w:p w14:paraId="1733B79B" w14:textId="20795888" w:rsidR="00154360" w:rsidRPr="00AC2428" w:rsidRDefault="000E3CDC" w:rsidP="00A51EA0">
      <w:pPr>
        <w:jc w:val="both"/>
        <w:rPr>
          <w:i/>
          <w:highlight w:val="yellow"/>
        </w:rPr>
      </w:pPr>
      <w:r>
        <w:rPr>
          <w:i/>
        </w:rPr>
        <w:t>„Pododdelek 3: Zahteve glede energetske učinkovitosti, ki se uporabljajo za gradnjo stavb ali dele stavb, ki ne spadajo v področje uporabe pododdelka 1</w:t>
      </w:r>
    </w:p>
    <w:p w14:paraId="61B403D2" w14:textId="77777777" w:rsidR="00C92A23" w:rsidRPr="00AC2428" w:rsidRDefault="00C92A23" w:rsidP="00A51EA0">
      <w:pPr>
        <w:jc w:val="both"/>
      </w:pPr>
    </w:p>
    <w:p w14:paraId="39EB0667" w14:textId="31736987" w:rsidR="00154360" w:rsidRPr="00AC2428" w:rsidRDefault="000E3CDC" w:rsidP="00A51EA0">
      <w:pPr>
        <w:jc w:val="both"/>
      </w:pPr>
      <w:r>
        <w:rPr>
          <w:i/>
        </w:rPr>
        <w:t>„Člen R. 111-20-9.</w:t>
      </w:r>
      <w:r>
        <w:t xml:space="preserve"> – Določbe iz tega pododdelka se uporabljajo za vse gradbene projekte stavb ali delov stavb, ki morajo biti navedeni v zahtevi za izdajo gradbenega dovoljenja ali predhodni prijavi, in so navedeni v naslednjem seznamu: </w:t>
      </w:r>
    </w:p>
    <w:p w14:paraId="08615F49"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centri za varstvo otrok; </w:t>
      </w:r>
    </w:p>
    <w:p w14:paraId="1A911A09"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območja za srednješolske objekte;</w:t>
      </w:r>
    </w:p>
    <w:p w14:paraId="4BA08CAE"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stavbe za univerzitetno izobraževanje in raziskave; </w:t>
      </w:r>
    </w:p>
    <w:p w14:paraId="6941DF00"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hoteli; </w:t>
      </w:r>
    </w:p>
    <w:p w14:paraId="1F150381"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restavracije; </w:t>
      </w:r>
    </w:p>
    <w:p w14:paraId="0434330D"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trgovine; </w:t>
      </w:r>
    </w:p>
    <w:p w14:paraId="61971C43"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telovadnice in športne dvorane, vključno z garderobami; </w:t>
      </w:r>
    </w:p>
    <w:p w14:paraId="7D242C6C"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zdravstvene ustanove; </w:t>
      </w:r>
    </w:p>
    <w:p w14:paraId="6FC935A0"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ustanove za starejše osebe in ustanove za starejše osebe, ki niso neodvisne; </w:t>
      </w:r>
    </w:p>
    <w:p w14:paraId="151B27D9"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letališča; </w:t>
      </w:r>
    </w:p>
    <w:p w14:paraId="4DD478E3"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sodišča, sodne palače; </w:t>
      </w:r>
    </w:p>
    <w:p w14:paraId="6B2E7A1F" w14:textId="68C84A43"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stavbe za industrijsko in obrtno uporabo. </w:t>
      </w:r>
    </w:p>
    <w:p w14:paraId="710FF969" w14:textId="77777777" w:rsidR="00154360" w:rsidRPr="00AC2428" w:rsidRDefault="00154360" w:rsidP="00A51EA0">
      <w:pPr>
        <w:jc w:val="both"/>
      </w:pPr>
    </w:p>
    <w:p w14:paraId="0AEB1B1A" w14:textId="43D0C6C0" w:rsidR="00154360" w:rsidRPr="00AC2428" w:rsidRDefault="000E3CDC" w:rsidP="00A51EA0">
      <w:pPr>
        <w:jc w:val="both"/>
      </w:pPr>
      <w:r>
        <w:t>„</w:t>
      </w:r>
      <w:r>
        <w:rPr>
          <w:i/>
        </w:rPr>
        <w:t>Člen. R. 111-20-10.</w:t>
      </w:r>
      <w:r>
        <w:t xml:space="preserve"> – I. – Gradnja stavb ali deli stavb, ki ne spadajo v pododdelek 1, izpolnjujejo toplotne značilnosti in naslednje pogoje:</w:t>
      </w:r>
    </w:p>
    <w:p w14:paraId="7340DEBB" w14:textId="77777777" w:rsidR="00EC037D" w:rsidRPr="00AC2428" w:rsidRDefault="00EC037D" w:rsidP="00A51EA0">
      <w:pPr>
        <w:jc w:val="both"/>
      </w:pPr>
    </w:p>
    <w:p w14:paraId="787B7DCC" w14:textId="7B4A2990" w:rsidR="00154360" w:rsidRPr="00AC2428" w:rsidRDefault="000E3CDC" w:rsidP="00A51EA0">
      <w:pPr>
        <w:jc w:val="both"/>
      </w:pPr>
      <w:r>
        <w:t>„1. Standardna poraba energije stavbe za ogrevanje, hlajenje, proizvodnjo tople sanitarne vode, razsvetljavo, pomožne naprave za ogrevanje, hlajenje, toplo sanitarno vodo in prezračevanje je manjša ali enaka največji porabi;</w:t>
      </w:r>
    </w:p>
    <w:p w14:paraId="1086F0EF" w14:textId="77777777" w:rsidR="00EC037D" w:rsidRPr="00AC2428" w:rsidRDefault="00EC037D" w:rsidP="00A51EA0">
      <w:pPr>
        <w:jc w:val="both"/>
      </w:pPr>
    </w:p>
    <w:p w14:paraId="3495F4A5" w14:textId="578D0B55" w:rsidR="00154360" w:rsidRPr="00AC2428" w:rsidRDefault="000E3CDC" w:rsidP="00A51EA0">
      <w:pPr>
        <w:jc w:val="both"/>
      </w:pPr>
      <w:r>
        <w:t>„2. Standardna potreba po energiji stavbe za ogrevanje, hlajenje in razsvetljavo ne presega največje vrednosti;</w:t>
      </w:r>
    </w:p>
    <w:p w14:paraId="52BFCF16" w14:textId="77777777" w:rsidR="000E3CDC" w:rsidRPr="00AC2428" w:rsidRDefault="000E3CDC" w:rsidP="00A51EA0">
      <w:pPr>
        <w:jc w:val="both"/>
      </w:pPr>
    </w:p>
    <w:p w14:paraId="77D72964" w14:textId="3005509D" w:rsidR="00154360" w:rsidRPr="00AC2428" w:rsidRDefault="000E3CDC" w:rsidP="00A51EA0">
      <w:pPr>
        <w:jc w:val="both"/>
      </w:pPr>
      <w:r>
        <w:t>„3. Za določene vrste stavb je notranja standardna temperatura, dosežena poleti, manjša ali enaka referenčni standardni notranji temperaturi.</w:t>
      </w:r>
    </w:p>
    <w:p w14:paraId="145BDE29" w14:textId="77777777" w:rsidR="00154360" w:rsidRPr="00AC2428" w:rsidRDefault="00154360" w:rsidP="00A51EA0">
      <w:pPr>
        <w:jc w:val="both"/>
      </w:pPr>
    </w:p>
    <w:p w14:paraId="2366960D" w14:textId="7E004130" w:rsidR="00154360" w:rsidRPr="00AC2428" w:rsidRDefault="000E3CDC" w:rsidP="00A51EA0">
      <w:pPr>
        <w:jc w:val="both"/>
      </w:pPr>
      <w:r>
        <w:t>„II. – Odredba ministra, odgovornega za energijo, in ministra, odgovornega za gradnjo, glede na kategorije stavb določa:</w:t>
      </w:r>
    </w:p>
    <w:p w14:paraId="6BBB6BA6" w14:textId="77777777" w:rsidR="00154360" w:rsidRPr="00AC2428" w:rsidRDefault="00154360" w:rsidP="00A51EA0">
      <w:pPr>
        <w:jc w:val="both"/>
      </w:pPr>
    </w:p>
    <w:p w14:paraId="31972B51" w14:textId="692180CB" w:rsidR="00154360" w:rsidRPr="00AC2428" w:rsidRDefault="000E3CDC" w:rsidP="00A51EA0">
      <w:pPr>
        <w:jc w:val="both"/>
      </w:pPr>
      <w:r>
        <w:t>„1. toplotne značilnosti, ki posegajo v energetsko učinkovitost stavbe;</w:t>
      </w:r>
    </w:p>
    <w:p w14:paraId="0F659DEB" w14:textId="193F268F" w:rsidR="00154360" w:rsidRPr="00AC2428" w:rsidRDefault="000E3CDC" w:rsidP="00A51EA0">
      <w:pPr>
        <w:jc w:val="both"/>
      </w:pPr>
      <w:r>
        <w:t>„2. metodologijo za izračunavanje standardne porabe stavbe in bistvenih dogovorov, ki se upoštevajo pri tej metodologiji;</w:t>
      </w:r>
    </w:p>
    <w:p w14:paraId="4867EB88" w14:textId="251A61DE" w:rsidR="00154360" w:rsidRPr="00AC2428" w:rsidRDefault="000E3CDC" w:rsidP="00A51EA0">
      <w:pPr>
        <w:jc w:val="both"/>
      </w:pPr>
      <w:r>
        <w:t>„3. vrednost največje porabe;</w:t>
      </w:r>
    </w:p>
    <w:p w14:paraId="55C38BDC" w14:textId="5668A2FC" w:rsidR="00154360" w:rsidRPr="00AC2428" w:rsidRDefault="000E3CDC" w:rsidP="00A51EA0">
      <w:pPr>
        <w:jc w:val="both"/>
      </w:pPr>
      <w:r>
        <w:t>„4. metodologijo za izračunavanje standardne porabe energije stavbe za ogrevanje, hlajenje in razsvetljavo ter bistvene dogovore, ki se upoštevajo pri tej metodologiji;</w:t>
      </w:r>
    </w:p>
    <w:p w14:paraId="49D94D64" w14:textId="450D6E7E" w:rsidR="00154360" w:rsidRPr="00AC2428" w:rsidRDefault="000E3CDC" w:rsidP="00A51EA0">
      <w:pPr>
        <w:jc w:val="both"/>
      </w:pPr>
      <w:r>
        <w:t>„5. vrednost največje potrebe po energiji;</w:t>
      </w:r>
    </w:p>
    <w:p w14:paraId="307AC055" w14:textId="1BD6245C" w:rsidR="00154360" w:rsidRPr="00AC2428" w:rsidRDefault="000E3CDC" w:rsidP="00A51EA0">
      <w:pPr>
        <w:jc w:val="both"/>
      </w:pPr>
      <w:r>
        <w:t>„6. stavbe, za katere notranja standardna temperatura, dosežena poleti, ne sme biti višja od referenčne notranje standardne temperature;</w:t>
      </w:r>
    </w:p>
    <w:p w14:paraId="70314FE6" w14:textId="32FBB584" w:rsidR="00154360" w:rsidRPr="00AC2428" w:rsidRDefault="000E3CDC" w:rsidP="00A51EA0">
      <w:pPr>
        <w:jc w:val="both"/>
      </w:pPr>
      <w:r>
        <w:t>„7. za stavbe iz točke 3 oddelka I, metodologijo za izračunavanje notranje standardne temperature, dosežene poleti;</w:t>
      </w:r>
    </w:p>
    <w:p w14:paraId="2ED30E49" w14:textId="2ACBBCB3" w:rsidR="00154360" w:rsidRPr="00AC2428" w:rsidRDefault="000E3CDC" w:rsidP="00A51EA0">
      <w:pPr>
        <w:jc w:val="both"/>
      </w:pPr>
      <w:r>
        <w:t>„8. referenčne toplotne značilnosti za izračun notranje standardne temperature, dosežene poleti;</w:t>
      </w:r>
    </w:p>
    <w:p w14:paraId="71D7D75D" w14:textId="646AD109" w:rsidR="00154360" w:rsidRPr="00AC2428" w:rsidRDefault="000E3CDC" w:rsidP="00A51EA0">
      <w:pPr>
        <w:jc w:val="both"/>
      </w:pPr>
      <w:r>
        <w:lastRenderedPageBreak/>
        <w:t>„9. posebne pogoje za oceno toplotne učinkovitosti sistemov ali gradbenih projektov, za katere se zaradi njihove specifičnosti, minimalnih toplotnih značilnosti ali metodologije za izračunavanje ne uporabljajo;</w:t>
      </w:r>
    </w:p>
    <w:p w14:paraId="006E0A9E" w14:textId="14C8F145" w:rsidR="00154360" w:rsidRPr="00AC2428" w:rsidRDefault="000E3CDC" w:rsidP="00A51EA0">
      <w:pPr>
        <w:jc w:val="both"/>
      </w:pPr>
      <w:r>
        <w:t>„10. pogoje za odobritev postopkov in poenostavljenih načinov uporabe, ki omogočajo, da pogoji iz odstavka I veljajo za izpolnjene;</w:t>
      </w:r>
    </w:p>
    <w:p w14:paraId="66C0A4CE" w14:textId="3B6586B2" w:rsidR="00154360" w:rsidRPr="00AC2428" w:rsidRDefault="000E3CDC" w:rsidP="00A51EA0">
      <w:pPr>
        <w:jc w:val="both"/>
      </w:pPr>
      <w:r>
        <w:t xml:space="preserve">„11. podrobna pravila za prenos podatkov, ki se uporabljajo za izračune in na zahtevo posredujejo pooblaščenim osebam iz člena </w:t>
      </w:r>
      <w:r>
        <w:rPr>
          <w:highlight w:val="yellow"/>
        </w:rPr>
        <w:t>L. 151-1</w:t>
      </w:r>
      <w:r>
        <w:t xml:space="preserve">, vsakemu kupcu, vsaki osebi, odgovorni za sestavo izjave o upoštevanju predpisov o toplotnih značilnostih, in vsaki osebi, odgovorni za izdelavo diagnostike energetske učinkovitosti iz člena </w:t>
      </w:r>
      <w:r>
        <w:rPr>
          <w:highlight w:val="yellow"/>
        </w:rPr>
        <w:t>L. 134-2</w:t>
      </w:r>
      <w:r>
        <w:t>.</w:t>
      </w:r>
    </w:p>
    <w:p w14:paraId="077F68D0" w14:textId="77777777" w:rsidR="00154360" w:rsidRPr="00AC2428" w:rsidRDefault="00154360" w:rsidP="00A51EA0">
      <w:pPr>
        <w:jc w:val="both"/>
      </w:pPr>
    </w:p>
    <w:p w14:paraId="3DE4B9FF" w14:textId="529F20A6" w:rsidR="00154360" w:rsidRPr="00AC2428" w:rsidRDefault="00FC7497" w:rsidP="00A51EA0">
      <w:pPr>
        <w:jc w:val="both"/>
      </w:pPr>
      <w:r>
        <w:t>„III. – Določbe iz tega člena se ne uporabljajo za stavbe in dele stavb, katerih normalna temperatura uporabe je manjša od ali enaka 12 °C, in začasne konstrukcije, predvidene za čas uporabe najmanj dve leti.</w:t>
      </w:r>
    </w:p>
    <w:p w14:paraId="7EA1AE2E" w14:textId="77777777" w:rsidR="00806611" w:rsidRPr="00AC2428" w:rsidRDefault="00806611" w:rsidP="00A51EA0">
      <w:pPr>
        <w:jc w:val="both"/>
      </w:pPr>
    </w:p>
    <w:p w14:paraId="0BBABC11" w14:textId="5F30FCD5" w:rsidR="00154360" w:rsidRPr="00AC2428" w:rsidRDefault="00FC7497" w:rsidP="00A51EA0">
      <w:pPr>
        <w:jc w:val="both"/>
        <w:rPr>
          <w:i/>
        </w:rPr>
      </w:pPr>
      <w:r>
        <w:rPr>
          <w:i/>
        </w:rPr>
        <w:t>„Pododdelek 4: Študije in postopki, povezani z gradnjo stavb ali deli stavb, ki spadajo v področje uporabe pododdelka 3.</w:t>
      </w:r>
    </w:p>
    <w:p w14:paraId="5AD0A45E" w14:textId="77777777" w:rsidR="00154360" w:rsidRPr="00AC2428" w:rsidRDefault="00154360" w:rsidP="00A51EA0">
      <w:pPr>
        <w:jc w:val="both"/>
      </w:pPr>
    </w:p>
    <w:p w14:paraId="0A6A8C39" w14:textId="26FDE5B4" w:rsidR="00154360" w:rsidRPr="00AC2428" w:rsidRDefault="00FC7497" w:rsidP="00A51EA0">
      <w:pPr>
        <w:jc w:val="both"/>
      </w:pPr>
      <w:r>
        <w:rPr>
          <w:i/>
        </w:rPr>
        <w:t>„Člen R. 111-20-11</w:t>
      </w:r>
      <w:r>
        <w:t xml:space="preserve">. – Nosilec projekta vsake gradnje stavb ali delov stavb, ki spadajo v področje uporabe pododdelka 3, s sedežem v matični Franciji, za vsako zadevno stavbo izdela dokument, ki dokazuje, da je upošteval ali nosilcu projekta omogočil upoštevanje predpisov o toplotnih značilnostih, določenih v členu </w:t>
      </w:r>
      <w:r>
        <w:rPr>
          <w:highlight w:val="yellow"/>
        </w:rPr>
        <w:t>R. 111-20-10</w:t>
      </w:r>
      <w:r>
        <w:t>, če je slednji odgovoren za nalogo zasnove postopka, in zlasti:</w:t>
      </w:r>
    </w:p>
    <w:p w14:paraId="34921098" w14:textId="681218A8" w:rsidR="00154360" w:rsidRPr="00AC2428" w:rsidRDefault="00154360" w:rsidP="00A51EA0">
      <w:pPr>
        <w:jc w:val="both"/>
      </w:pPr>
      <w:r>
        <w:t xml:space="preserve">– predpisa glede standardne potrebe po energiji stavbe za ogrevanje, hlajenje in razsvetljavo iz točke 2 odstavka I člena R. </w:t>
      </w:r>
      <w:r>
        <w:rPr>
          <w:highlight w:val="yellow"/>
        </w:rPr>
        <w:t>111-20-10</w:t>
      </w:r>
      <w:r>
        <w:t>;</w:t>
      </w:r>
    </w:p>
    <w:p w14:paraId="62935F4C" w14:textId="1C4CE372" w:rsidR="00154360" w:rsidRPr="00AC2428" w:rsidRDefault="00154360" w:rsidP="00A51EA0">
      <w:pPr>
        <w:jc w:val="both"/>
      </w:pPr>
      <w:r>
        <w:t xml:space="preserve">– predpisov o toplotnih značilnostih, ki posegajo v energetsko učinkovitost stavbe, navedene v točki 1 odstavka II člena </w:t>
      </w:r>
      <w:r>
        <w:rPr>
          <w:highlight w:val="yellow"/>
        </w:rPr>
        <w:t>R. 111-20-10 in</w:t>
      </w:r>
      <w:r>
        <w:t xml:space="preserve"> ki jih določa ta odredba.</w:t>
      </w:r>
    </w:p>
    <w:p w14:paraId="4ABBDCC5" w14:textId="77777777" w:rsidR="00154360" w:rsidRPr="00AC2428" w:rsidRDefault="00154360" w:rsidP="00A51EA0">
      <w:pPr>
        <w:jc w:val="both"/>
      </w:pPr>
    </w:p>
    <w:p w14:paraId="24115C91" w14:textId="7165354A" w:rsidR="00154360" w:rsidRPr="00AC2428" w:rsidRDefault="00FC7497" w:rsidP="00A51EA0">
      <w:pPr>
        <w:jc w:val="both"/>
      </w:pPr>
      <w:r>
        <w:t xml:space="preserve">„Ta izjava se sestavi na obrazcu, skladnem s predpisi, ki jih določa odredba. Priloži se vlogi za izdajo gradbenega dovoljenja pod pogoji iz točke j) člena </w:t>
      </w:r>
      <w:r>
        <w:rPr>
          <w:highlight w:val="yellow"/>
        </w:rPr>
        <w:t>R*. 431-16</w:t>
      </w:r>
      <w:r>
        <w:t xml:space="preserve"> Urbanističnega zakonika.</w:t>
      </w:r>
    </w:p>
    <w:p w14:paraId="4918E8D6" w14:textId="77777777" w:rsidR="00154360" w:rsidRPr="00AC2428" w:rsidRDefault="00154360" w:rsidP="00A51EA0">
      <w:pPr>
        <w:jc w:val="both"/>
      </w:pPr>
    </w:p>
    <w:p w14:paraId="0768B312" w14:textId="57C83AB4" w:rsidR="00154360" w:rsidRPr="00AC2428" w:rsidRDefault="00FC7497" w:rsidP="00A51EA0">
      <w:pPr>
        <w:jc w:val="both"/>
      </w:pPr>
      <w:r>
        <w:t>„</w:t>
      </w:r>
      <w:r>
        <w:rPr>
          <w:i/>
        </w:rPr>
        <w:t>Člen. R. 111-20-12.</w:t>
      </w:r>
      <w:r>
        <w:t xml:space="preserve"> – Nosilec projekta vsake gradnje stavb, ki spadajo v področje uporabe pododdelka 3, s sedežem v matični Franciji, za vsako zadevno stavbo sestavi dokazilo o izvedbi študije izvedljivosti v zvezi z dobavo energije za stavbe, navedene v desetem pododstavku člena </w:t>
      </w:r>
      <w:r>
        <w:rPr>
          <w:highlight w:val="yellow"/>
        </w:rPr>
        <w:t>L. 111-9</w:t>
      </w:r>
      <w:r>
        <w:t>, ki vključuje zlasti:</w:t>
      </w:r>
    </w:p>
    <w:p w14:paraId="56AA5E1A" w14:textId="3C6E3E36" w:rsidR="00154360" w:rsidRPr="00AC2428" w:rsidRDefault="00154360" w:rsidP="00A51EA0">
      <w:pPr>
        <w:jc w:val="both"/>
      </w:pPr>
      <w:r>
        <w:t>– sistem, ki ga določi nosilec projekta ob koncu študije izvedljivosti in ga utemelji;</w:t>
      </w:r>
    </w:p>
    <w:p w14:paraId="60E8FDDC" w14:textId="6C5560D3" w:rsidR="00154360" w:rsidRPr="00AC2428" w:rsidRDefault="00154360" w:rsidP="00A51EA0">
      <w:pPr>
        <w:jc w:val="both"/>
      </w:pPr>
      <w:r>
        <w:t>– vrednost porabe primarne energije v kilovatnih urah za predvideni sistem;</w:t>
      </w:r>
    </w:p>
    <w:p w14:paraId="655FC8C5" w14:textId="505ACDC2" w:rsidR="00154360" w:rsidRPr="00AC2428" w:rsidRDefault="00154360" w:rsidP="00A51EA0">
      <w:pPr>
        <w:jc w:val="both"/>
      </w:pPr>
      <w:r>
        <w:t>– letni predvideni strošek uporabe sistema.</w:t>
      </w:r>
    </w:p>
    <w:p w14:paraId="46945BA6" w14:textId="77777777" w:rsidR="00806611" w:rsidRPr="00AC2428" w:rsidRDefault="00806611" w:rsidP="00A51EA0">
      <w:pPr>
        <w:jc w:val="both"/>
      </w:pPr>
    </w:p>
    <w:p w14:paraId="26A62454" w14:textId="6E902716" w:rsidR="00154360" w:rsidRPr="00AC2428" w:rsidRDefault="00FC7497" w:rsidP="00A51EA0">
      <w:pPr>
        <w:jc w:val="both"/>
      </w:pPr>
      <w:r>
        <w:t xml:space="preserve">„Ta izjava se sestavi na obrazcu, skladnem s predpisi, ki jih določa odredba. Priloži se vlogi za izdajo gradbenega dovoljenja pod pogoji iz točke j) člena </w:t>
      </w:r>
      <w:r>
        <w:rPr>
          <w:highlight w:val="yellow"/>
        </w:rPr>
        <w:t>R*. 431-16</w:t>
      </w:r>
      <w:r>
        <w:t xml:space="preserve"> Urbanističnega zakonika.</w:t>
      </w:r>
    </w:p>
    <w:p w14:paraId="324435FC" w14:textId="77777777" w:rsidR="00806611" w:rsidRPr="00AC2428" w:rsidRDefault="00806611" w:rsidP="00A51EA0">
      <w:pPr>
        <w:jc w:val="both"/>
      </w:pPr>
    </w:p>
    <w:p w14:paraId="40FD8EE6" w14:textId="38A6840A" w:rsidR="00154360" w:rsidRPr="00AC2428" w:rsidRDefault="00FC7497" w:rsidP="00A51EA0">
      <w:pPr>
        <w:jc w:val="both"/>
      </w:pPr>
      <w:r>
        <w:t>„</w:t>
      </w:r>
      <w:r>
        <w:rPr>
          <w:i/>
        </w:rPr>
        <w:t>Člen. R. 111-20-13.</w:t>
      </w:r>
      <w:r>
        <w:t xml:space="preserve"> – Ob koncu del, ki se nanašajo na gradnjo stavb ali delov stavb, ki spadajo v področje uporabe pododdelka 3 in za katere se zahteva gradbeno dovoljenje, s sedežem v matični Franciji:</w:t>
      </w:r>
    </w:p>
    <w:p w14:paraId="5A5FEF09" w14:textId="74C63BA7" w:rsidR="00154360" w:rsidRPr="00AC2428" w:rsidRDefault="00154360" w:rsidP="00A51EA0">
      <w:pPr>
        <w:jc w:val="both"/>
      </w:pPr>
      <w:r>
        <w:t>– če je glavni izvajalec postopka gradnje odgovoren za nalogo zasnove postopka in izvajanje del, nosilec projekta za vsako zadevno stavbo zagotovi dokument, ki dokazuje, da je nosilec projekta upošteval predpise o toplotnih značilnostih;</w:t>
      </w:r>
    </w:p>
    <w:p w14:paraId="2D62122C" w14:textId="73EB76FE" w:rsidR="00154360" w:rsidRPr="00AC2428" w:rsidRDefault="00154360" w:rsidP="00A51EA0">
      <w:pPr>
        <w:jc w:val="both"/>
      </w:pPr>
      <w:r>
        <w:t>– če je naloga, zaupana glavnemu izvajalcu, omejena na zasnovo postopka, ali če nosilec projekta ni imenoval glavnega izvajalca, nosilec projekta za vsako zadevno stavbo zagotovi dokument, ki dokazuje, da je upošteval predpise o toplotnih značilnostih.</w:t>
      </w:r>
    </w:p>
    <w:p w14:paraId="265FFD06" w14:textId="77777777" w:rsidR="00154360" w:rsidRPr="00AC2428" w:rsidRDefault="00154360" w:rsidP="00A51EA0">
      <w:pPr>
        <w:jc w:val="both"/>
      </w:pPr>
    </w:p>
    <w:p w14:paraId="4B7A9D41" w14:textId="37664EEB" w:rsidR="00154360" w:rsidRPr="00AC2428" w:rsidRDefault="00FC7497" w:rsidP="00A51EA0">
      <w:pPr>
        <w:jc w:val="both"/>
      </w:pPr>
      <w:r>
        <w:lastRenderedPageBreak/>
        <w:t>„Tako izdelan dokument dokazuje upoštevanje:</w:t>
      </w:r>
    </w:p>
    <w:p w14:paraId="39EFAACB" w14:textId="6724454D" w:rsidR="00154360" w:rsidRPr="00AC2428" w:rsidRDefault="00154360" w:rsidP="00A51EA0">
      <w:pPr>
        <w:jc w:val="both"/>
      </w:pPr>
      <w:r>
        <w:t xml:space="preserve">– predpisov glede standardne porabe energije stavbe za ogrevanje, hlajenje, proizvodnjo tople sanitarne vode, razsvetljavo, pomožne naprave za ogrevanje, hlajenje, toplo sanitarno vodo in prezračevanje iz točke 1 odstavka I člena </w:t>
      </w:r>
      <w:r>
        <w:rPr>
          <w:highlight w:val="yellow"/>
        </w:rPr>
        <w:t>R. 111-20-10</w:t>
      </w:r>
      <w:r>
        <w:t>;</w:t>
      </w:r>
    </w:p>
    <w:p w14:paraId="3A7801F7" w14:textId="54D39FCB" w:rsidR="00154360" w:rsidRPr="00AC2428" w:rsidRDefault="00154360" w:rsidP="00A51EA0">
      <w:pPr>
        <w:jc w:val="both"/>
      </w:pPr>
      <w:r>
        <w:t xml:space="preserve">– predpisa glede standardne potrebe po energiji stavbe za ogrevanje, hlajenje in razsvetljavo iz točke 2 odstavka I člena </w:t>
      </w:r>
      <w:r>
        <w:rPr>
          <w:highlight w:val="yellow"/>
        </w:rPr>
        <w:t>R. 111-20-10</w:t>
      </w:r>
      <w:r>
        <w:t>;</w:t>
      </w:r>
    </w:p>
    <w:p w14:paraId="28F040DD" w14:textId="61478A43" w:rsidR="00154360" w:rsidRPr="00AC2428" w:rsidRDefault="00154360" w:rsidP="00A51EA0">
      <w:pPr>
        <w:jc w:val="both"/>
      </w:pPr>
      <w:r>
        <w:t xml:space="preserve">– za določene vrste stavb predpisa v zvezi z notranjo standardno temperaturo, doseženo poleti, navedeno v točki 3 odstavka I člena </w:t>
      </w:r>
      <w:r>
        <w:rPr>
          <w:highlight w:val="yellow"/>
        </w:rPr>
        <w:t>R. 111-20-10</w:t>
      </w:r>
      <w:r>
        <w:t>;</w:t>
      </w:r>
    </w:p>
    <w:p w14:paraId="23F539D9" w14:textId="0158183B" w:rsidR="00154360" w:rsidRPr="00AC2428" w:rsidRDefault="00154360" w:rsidP="00A51EA0">
      <w:pPr>
        <w:jc w:val="both"/>
      </w:pPr>
      <w:r>
        <w:t xml:space="preserve">– predpisov o toplotnih značilnostih, ki posegajo v energetsko učinkovitost stavbe, navedenih v točki 1 odstavka II člena </w:t>
      </w:r>
      <w:r>
        <w:rPr>
          <w:highlight w:val="yellow"/>
        </w:rPr>
        <w:t>R. 111-20-10 in</w:t>
      </w:r>
      <w:r>
        <w:t xml:space="preserve"> ki jih določa ta odredba.</w:t>
      </w:r>
    </w:p>
    <w:p w14:paraId="7240B023" w14:textId="77777777" w:rsidR="00806611" w:rsidRPr="00AC2428" w:rsidRDefault="00806611" w:rsidP="00A51EA0">
      <w:pPr>
        <w:jc w:val="both"/>
      </w:pPr>
    </w:p>
    <w:p w14:paraId="11B91253" w14:textId="2BA63EB7" w:rsidR="00154360" w:rsidRPr="00AC2428" w:rsidRDefault="00FC7497" w:rsidP="00A51EA0">
      <w:pPr>
        <w:jc w:val="both"/>
      </w:pPr>
      <w:r>
        <w:t xml:space="preserve">„Ta izjava se sestavi na obrazcu, skladnem s predpisi, ki jih določa odredba. Priloži se k izjavi o končanih delih pod pogoji iz člena </w:t>
      </w:r>
      <w:r>
        <w:rPr>
          <w:highlight w:val="yellow"/>
        </w:rPr>
        <w:t>R. 462-4-1</w:t>
      </w:r>
      <w:r>
        <w:t xml:space="preserve"> Urbanističnega zakonika.</w:t>
      </w:r>
    </w:p>
    <w:p w14:paraId="648F2128" w14:textId="77777777" w:rsidR="00806611" w:rsidRPr="00AC2428" w:rsidRDefault="00806611" w:rsidP="00A51EA0">
      <w:pPr>
        <w:jc w:val="both"/>
      </w:pPr>
    </w:p>
    <w:p w14:paraId="518F5A4F" w14:textId="01654B60" w:rsidR="00154360" w:rsidRPr="00AC2428" w:rsidRDefault="00FC7497" w:rsidP="00A51EA0">
      <w:pPr>
        <w:jc w:val="both"/>
      </w:pPr>
      <w:r>
        <w:t>„</w:t>
      </w:r>
      <w:r>
        <w:rPr>
          <w:i/>
        </w:rPr>
        <w:t>Člen. R. 111-20-14.</w:t>
      </w:r>
      <w:r>
        <w:t xml:space="preserve"> – Izjavo iz člena </w:t>
      </w:r>
      <w:r>
        <w:rPr>
          <w:highlight w:val="yellow"/>
        </w:rPr>
        <w:t>R. 111-20-13</w:t>
      </w:r>
      <w:r>
        <w:t xml:space="preserve"> sestavi ena od naslednjih oseb:</w:t>
      </w:r>
    </w:p>
    <w:p w14:paraId="03886D7B" w14:textId="6AE79DED" w:rsidR="00154360" w:rsidRPr="00AC2428" w:rsidRDefault="00154360" w:rsidP="00A51EA0">
      <w:pPr>
        <w:jc w:val="both"/>
      </w:pPr>
      <w:r>
        <w:t xml:space="preserve">– tehnični inšpektor iz člena </w:t>
      </w:r>
      <w:r>
        <w:rPr>
          <w:highlight w:val="yellow"/>
        </w:rPr>
        <w:t>L. 111-23</w:t>
      </w:r>
      <w:r>
        <w:t xml:space="preserve"> za vsako vrsto stavbe;</w:t>
      </w:r>
    </w:p>
    <w:p w14:paraId="23DCC6ED" w14:textId="52A28DF9" w:rsidR="00154360" w:rsidRPr="00AC2428" w:rsidRDefault="00154360" w:rsidP="00A51EA0">
      <w:pPr>
        <w:jc w:val="both"/>
      </w:pPr>
      <w:r>
        <w:t xml:space="preserve">– oseba, ki izpolnjuje pogoje, zahtevane za izvajanje diagnostike energetske učinkovitosti iz člena </w:t>
      </w:r>
      <w:r>
        <w:rPr>
          <w:highlight w:val="yellow"/>
        </w:rPr>
        <w:t>L. 134-1</w:t>
      </w:r>
      <w:r>
        <w:t xml:space="preserve"> v primeru individualne ali vrstne hiše;</w:t>
      </w:r>
    </w:p>
    <w:p w14:paraId="67C83143" w14:textId="412D737B" w:rsidR="00154360" w:rsidRPr="00AC2428" w:rsidRDefault="00154360" w:rsidP="00A51EA0">
      <w:pPr>
        <w:jc w:val="both"/>
      </w:pPr>
      <w:r>
        <w:t xml:space="preserve">– organ, ki je v smislu členov </w:t>
      </w:r>
      <w:r>
        <w:rPr>
          <w:highlight w:val="yellow"/>
        </w:rPr>
        <w:t>L. 433-3 à L. 433-10</w:t>
      </w:r>
      <w:r>
        <w:t xml:space="preserve"> Potrošniškega zakonika potrdil energetsko učinkovitost nove stavbe ali novega dela stavbe ter je z ministrom, odgovornim za gradnjo, podpisal dogovor za vsako vrsto stavbe;</w:t>
      </w:r>
    </w:p>
    <w:p w14:paraId="0616B5E7" w14:textId="07B4105A" w:rsidR="00154360" w:rsidRPr="00AC2428" w:rsidRDefault="00154360" w:rsidP="00A51EA0">
      <w:pPr>
        <w:jc w:val="both"/>
      </w:pPr>
      <w:r>
        <w:t>– arhitekt v smislu člena 2 Zakona št. 77-2 z dne 3. januarja 1977 o arhitekturi za vsako vrsto stavbe.</w:t>
      </w:r>
    </w:p>
    <w:p w14:paraId="304D1B3D" w14:textId="77777777" w:rsidR="00154360" w:rsidRPr="00AC2428" w:rsidRDefault="00154360" w:rsidP="00A51EA0">
      <w:pPr>
        <w:jc w:val="both"/>
      </w:pPr>
    </w:p>
    <w:p w14:paraId="191AAF1B" w14:textId="4FE8462F" w:rsidR="00154360" w:rsidRPr="00AC2428" w:rsidRDefault="00FC7497" w:rsidP="00A51EA0">
      <w:pPr>
        <w:jc w:val="both"/>
      </w:pPr>
      <w:r>
        <w:t xml:space="preserve">„Odredba določa postavke informacij, ki jih mora nosilec projekta glede na kategorije stavbe zagotoviti zgoraj navedenim osebam, da se omogoči izdelava dokumenta, opisanega v členu </w:t>
      </w:r>
      <w:r>
        <w:rPr>
          <w:highlight w:val="yellow"/>
        </w:rPr>
        <w:t>R. 111-20-13</w:t>
      </w:r>
      <w:r>
        <w:t>.</w:t>
      </w:r>
    </w:p>
    <w:p w14:paraId="2FBC5E46" w14:textId="77777777" w:rsidR="00154360" w:rsidRPr="00AC2428" w:rsidRDefault="00154360" w:rsidP="00A51EA0">
      <w:pPr>
        <w:jc w:val="both"/>
      </w:pPr>
    </w:p>
    <w:p w14:paraId="00DAA37F" w14:textId="7A09F6FE" w:rsidR="00A015D5" w:rsidRPr="00AC2428" w:rsidRDefault="00FC7497" w:rsidP="00A51EA0">
      <w:pPr>
        <w:jc w:val="both"/>
      </w:pPr>
      <w:r>
        <w:t>„</w:t>
      </w:r>
      <w:r>
        <w:rPr>
          <w:i/>
        </w:rPr>
        <w:t>Člen R. 111-20-15</w:t>
      </w:r>
      <w:r>
        <w:t xml:space="preserve">. – Odredba ministra, odgovornega za gradnjo, določa podrobna pravila izvajanja členov </w:t>
      </w:r>
      <w:r>
        <w:rPr>
          <w:highlight w:val="yellow"/>
        </w:rPr>
        <w:t>R. 111-20-11 do R. 111-20-14</w:t>
      </w:r>
      <w:r>
        <w:t>.</w:t>
      </w:r>
    </w:p>
    <w:p w14:paraId="3300FF78" w14:textId="69ED9C07" w:rsidR="00154360" w:rsidRPr="00AC2428" w:rsidRDefault="00154360" w:rsidP="00A51EA0">
      <w:pPr>
        <w:jc w:val="both"/>
      </w:pPr>
    </w:p>
    <w:p w14:paraId="11A98F9F" w14:textId="39F9304C" w:rsidR="00154360" w:rsidRPr="00AC2428" w:rsidRDefault="00FC7497" w:rsidP="00A51EA0">
      <w:pPr>
        <w:jc w:val="both"/>
      </w:pPr>
      <w:r>
        <w:t>„</w:t>
      </w:r>
      <w:r>
        <w:rPr>
          <w:i/>
        </w:rPr>
        <w:t>Člen. R. 111-20-16.</w:t>
      </w:r>
      <w:r>
        <w:t xml:space="preserve"> – I. – Rok za sprejetje odločbe o sprejetju je tri mesece, kar zadeva vloge, vložene na podlagi člena </w:t>
      </w:r>
      <w:r>
        <w:rPr>
          <w:highlight w:val="yellow"/>
        </w:rPr>
        <w:t>R. 111-20</w:t>
      </w:r>
      <w:r>
        <w:t>, na podlagi katere se odobri operaterja merjenja toplotne izolacije stavb;</w:t>
      </w:r>
    </w:p>
    <w:p w14:paraId="30F77A17" w14:textId="77777777" w:rsidR="00154360" w:rsidRPr="00AC2428" w:rsidRDefault="00154360" w:rsidP="00A51EA0">
      <w:pPr>
        <w:jc w:val="both"/>
      </w:pPr>
    </w:p>
    <w:p w14:paraId="21138818" w14:textId="27BE9D7E" w:rsidR="00154360" w:rsidRPr="00AC2428" w:rsidRDefault="00FC7497" w:rsidP="00A51EA0">
      <w:pPr>
        <w:jc w:val="both"/>
      </w:pPr>
      <w:r>
        <w:t xml:space="preserve">„II. – Rok za sprejetje odločbe o sprejetju je štiri mesece, kar zadeva vloge, vložene na podlagi člena </w:t>
      </w:r>
      <w:r>
        <w:rPr>
          <w:highlight w:val="yellow"/>
        </w:rPr>
        <w:t>R. 111-20-10</w:t>
      </w:r>
      <w:r>
        <w:t>, na podlagi katere se odobri:</w:t>
      </w:r>
    </w:p>
    <w:p w14:paraId="2338EA0C" w14:textId="77777777" w:rsidR="00392CE8" w:rsidRPr="00AC2428" w:rsidRDefault="00392CE8" w:rsidP="00A51EA0">
      <w:pPr>
        <w:jc w:val="both"/>
      </w:pPr>
    </w:p>
    <w:p w14:paraId="0558BBFE" w14:textId="6C05CAB0" w:rsidR="00154360" w:rsidRPr="00AC2428" w:rsidRDefault="00FC7497" w:rsidP="00A51EA0">
      <w:pPr>
        <w:jc w:val="both"/>
      </w:pPr>
      <w:r>
        <w:t>„1. način poenostavljenega izvajanja predpisov o toplotnih značilnostih za individualne hiše;</w:t>
      </w:r>
    </w:p>
    <w:p w14:paraId="3830A663" w14:textId="045CE685" w:rsidR="00154360" w:rsidRPr="00AC2428" w:rsidRDefault="00FC7497" w:rsidP="00A51EA0">
      <w:pPr>
        <w:jc w:val="both"/>
      </w:pPr>
      <w:r>
        <w:t>„2. tehnična rešitev za upoštevanje predpisov o toplotnih značilnostih obstoječih stavb.</w:t>
      </w:r>
    </w:p>
    <w:p w14:paraId="3D6BF6C3" w14:textId="77777777" w:rsidR="00154360" w:rsidRPr="00AC2428" w:rsidRDefault="00154360" w:rsidP="00A51EA0">
      <w:pPr>
        <w:jc w:val="both"/>
      </w:pPr>
    </w:p>
    <w:p w14:paraId="71E665A9" w14:textId="37CF8875" w:rsidR="00154360" w:rsidRPr="00AC2428" w:rsidRDefault="00FC7497" w:rsidP="00A51EA0">
      <w:pPr>
        <w:jc w:val="both"/>
      </w:pPr>
      <w:r>
        <w:t xml:space="preserve">„III. – Rok za sprejetje odločbe o sprejetju je šest mesecev, kar zadeva vloge za odobritev učinkovitosti digitalnega ogrevanja ali hlajenja, vložene na podlagi člena </w:t>
      </w:r>
      <w:r>
        <w:rPr>
          <w:highlight w:val="yellow"/>
        </w:rPr>
        <w:t>R. 111-20-10.</w:t>
      </w:r>
    </w:p>
    <w:p w14:paraId="2ED707E5" w14:textId="77777777" w:rsidR="00154360" w:rsidRPr="00AC2428" w:rsidRDefault="00154360" w:rsidP="00A51EA0">
      <w:pPr>
        <w:jc w:val="both"/>
      </w:pPr>
    </w:p>
    <w:p w14:paraId="0A56ADA4" w14:textId="76D5FCFC" w:rsidR="00154360" w:rsidRPr="00AC2428" w:rsidRDefault="00FC7497" w:rsidP="00A51EA0">
      <w:pPr>
        <w:jc w:val="both"/>
      </w:pPr>
      <w:r>
        <w:t xml:space="preserve">„IV. – Rok za sprejetje odločbe o sprejetju je devet mesecev, kar zadeva vloge za odobritev programske opreme za uporabo predpisov o toplotnih značilnostih, vložene na podlagi člena </w:t>
      </w:r>
      <w:r>
        <w:rPr>
          <w:highlight w:val="yellow"/>
        </w:rPr>
        <w:t>R. 111-20-10.</w:t>
      </w:r>
    </w:p>
    <w:p w14:paraId="3A503110" w14:textId="77777777" w:rsidR="00154360" w:rsidRPr="00AC2428" w:rsidRDefault="00154360" w:rsidP="00A51EA0">
      <w:pPr>
        <w:jc w:val="both"/>
      </w:pPr>
    </w:p>
    <w:p w14:paraId="31770D67" w14:textId="52DA87A7" w:rsidR="00154360" w:rsidRPr="00AC2428" w:rsidRDefault="00FC7497" w:rsidP="00A51EA0">
      <w:pPr>
        <w:jc w:val="both"/>
      </w:pPr>
      <w:r>
        <w:t>„V. – Rok za sprejetje odločbe o sprejetju je dvanajst mesecev, kar zadeva vloge za odobritev metode za utemeljitev učinkovitosti sistema glede zahtev predpisov o toplotnih značilnostih, vložene na podlagi člena</w:t>
      </w:r>
      <w:r>
        <w:rPr>
          <w:highlight w:val="yellow"/>
        </w:rPr>
        <w:t xml:space="preserve"> R. 111-20-10.</w:t>
      </w:r>
    </w:p>
    <w:p w14:paraId="3F49F30C" w14:textId="0CB56827" w:rsidR="00154360" w:rsidRPr="00AC2428" w:rsidRDefault="00154360" w:rsidP="00A51EA0">
      <w:pPr>
        <w:jc w:val="both"/>
      </w:pPr>
    </w:p>
    <w:p w14:paraId="320314E4" w14:textId="1FD17CC5" w:rsidR="00154360" w:rsidRPr="00AC2428" w:rsidRDefault="00FC7497" w:rsidP="00A51EA0">
      <w:pPr>
        <w:jc w:val="both"/>
      </w:pPr>
      <w:r>
        <w:t>„</w:t>
      </w:r>
      <w:r>
        <w:rPr>
          <w:i/>
        </w:rPr>
        <w:t>Člen. R. 111-20-17.</w:t>
      </w:r>
      <w:r>
        <w:t xml:space="preserve"> –  Nosilec projekta pred vložitvijo vloge za gradbeno dovoljenje izvede študijo tehnične in ekonomske izvedljivosti različnih rešitev oskrbe z energijo za ogrevanje, prezračevanje, hlajenje, proizvodnjo tople sanitarne vode in razsvetljavo prostorov. </w:t>
      </w:r>
    </w:p>
    <w:p w14:paraId="3B453DBA" w14:textId="77777777" w:rsidR="00154360" w:rsidRPr="00AC2428" w:rsidRDefault="00154360" w:rsidP="00A51EA0">
      <w:pPr>
        <w:pStyle w:val="NormalWeb"/>
        <w:spacing w:before="0" w:beforeAutospacing="0" w:after="0" w:afterAutospacing="0"/>
        <w:jc w:val="both"/>
      </w:pPr>
      <w:r>
        <w:t>Ta študija preučuje zlasti:</w:t>
      </w:r>
    </w:p>
    <w:p w14:paraId="6A5DECAC" w14:textId="4AC3B04F" w:rsidR="00154360" w:rsidRPr="00AC2428" w:rsidRDefault="00806611" w:rsidP="00A51EA0">
      <w:pPr>
        <w:pStyle w:val="NormalWeb"/>
        <w:spacing w:before="0" w:beforeAutospacing="0" w:after="0" w:afterAutospacing="0"/>
        <w:jc w:val="both"/>
      </w:pPr>
      <w:r>
        <w:t>– uporabo sončne energije in drugih obnovljivih virov energije, navedenih v členu 29 Zakona št. 2005-781 z dne 13. julija 2005;</w:t>
      </w:r>
    </w:p>
    <w:p w14:paraId="304D761A" w14:textId="01E86051" w:rsidR="00154360" w:rsidRPr="00AC2428" w:rsidRDefault="00806611" w:rsidP="00A51EA0">
      <w:pPr>
        <w:pStyle w:val="NormalWeb"/>
        <w:spacing w:before="0" w:beforeAutospacing="0" w:after="0" w:afterAutospacing="0"/>
        <w:jc w:val="both"/>
      </w:pPr>
      <w:r>
        <w:t>– priključitev na kolektivno ali mestno digitalno ogrevanje in hlajenje, če je v bližini gradbenih zemljišč za nepremičnine ali izvajanja postopka;</w:t>
      </w:r>
    </w:p>
    <w:p w14:paraId="26B88157" w14:textId="7AA40889" w:rsidR="00154360" w:rsidRPr="00AC2428" w:rsidRDefault="00806611" w:rsidP="00A51EA0">
      <w:pPr>
        <w:pStyle w:val="NormalWeb"/>
        <w:spacing w:before="0" w:beforeAutospacing="0" w:after="0" w:afterAutospacing="0"/>
        <w:jc w:val="both"/>
      </w:pPr>
      <w:r>
        <w:t>– uporaba toplotnih črpalk in kondenzacijskih kotlov;</w:t>
      </w:r>
    </w:p>
    <w:p w14:paraId="0F469B6F" w14:textId="56F11AF5" w:rsidR="00154360" w:rsidRPr="00AC2428" w:rsidRDefault="00806611" w:rsidP="00A51EA0">
      <w:pPr>
        <w:pStyle w:val="NormalWeb"/>
        <w:spacing w:before="0" w:beforeAutospacing="0" w:after="0" w:afterAutospacing="0"/>
        <w:jc w:val="both"/>
      </w:pPr>
      <w:r>
        <w:t xml:space="preserve">– uporaba kombinirane proizvodnje toplote in elektrike. </w:t>
      </w:r>
    </w:p>
    <w:p w14:paraId="70D7269F" w14:textId="77777777" w:rsidR="00A51EA0" w:rsidRDefault="00A51EA0" w:rsidP="00A51EA0">
      <w:pPr>
        <w:pStyle w:val="NormalWeb"/>
        <w:spacing w:before="0" w:beforeAutospacing="0" w:after="0" w:afterAutospacing="0"/>
        <w:jc w:val="both"/>
      </w:pPr>
    </w:p>
    <w:p w14:paraId="22C5A6FA" w14:textId="1220011B" w:rsidR="00154360" w:rsidRPr="00AC2428" w:rsidRDefault="00FC7497" w:rsidP="00A51EA0">
      <w:pPr>
        <w:pStyle w:val="NormalWeb"/>
        <w:spacing w:before="0" w:beforeAutospacing="0" w:after="0" w:afterAutospacing="0"/>
        <w:jc w:val="both"/>
      </w:pPr>
      <w:r>
        <w:t xml:space="preserve">„Predstavlja prednosti in pomanjkljivosti vsake od preučenih rešitev glede pogojev za upravljanje naprave, investicijskih in obratovalnih stroškov, trajanjem amortizacije naložbe in pričakovanim vplivom na emisije toplogrednih plinov. Za podaljšek stavbe upošteva načine oskrbe z energijo stavbe. </w:t>
      </w:r>
    </w:p>
    <w:p w14:paraId="3807BC1A" w14:textId="77777777" w:rsidR="00A51EA0" w:rsidRDefault="00A51EA0" w:rsidP="00A51EA0">
      <w:pPr>
        <w:pStyle w:val="NormalWeb"/>
        <w:spacing w:before="0" w:beforeAutospacing="0" w:after="0" w:afterAutospacing="0"/>
        <w:jc w:val="both"/>
      </w:pPr>
    </w:p>
    <w:p w14:paraId="13A37A66" w14:textId="08F19C59" w:rsidR="00154360" w:rsidRPr="00AC2428" w:rsidRDefault="00FC7497" w:rsidP="00A51EA0">
      <w:pPr>
        <w:pStyle w:val="NormalWeb"/>
        <w:spacing w:before="0" w:beforeAutospacing="0" w:after="0" w:afterAutospacing="0"/>
        <w:jc w:val="both"/>
      </w:pPr>
      <w:r>
        <w:t xml:space="preserve">„Ta študija natančno določa razloge, zaradi katerih je nosilec projekta obdržal izbrano rešitev oskrbe. </w:t>
      </w:r>
    </w:p>
    <w:p w14:paraId="64A7DE37" w14:textId="77777777" w:rsidR="00A51EA0" w:rsidRDefault="00A51EA0" w:rsidP="00A51EA0">
      <w:pPr>
        <w:pStyle w:val="NormalWeb"/>
        <w:spacing w:before="0" w:beforeAutospacing="0" w:after="0" w:afterAutospacing="0"/>
        <w:jc w:val="both"/>
      </w:pPr>
    </w:p>
    <w:p w14:paraId="019B49AA" w14:textId="1BC80D03" w:rsidR="00154360" w:rsidRPr="00AC2428" w:rsidRDefault="00FC7497" w:rsidP="00A51EA0">
      <w:pPr>
        <w:pStyle w:val="NormalWeb"/>
        <w:spacing w:before="0" w:beforeAutospacing="0" w:after="0" w:afterAutospacing="0"/>
        <w:jc w:val="both"/>
      </w:pPr>
      <w:r>
        <w:t xml:space="preserve">„Na območjih prednostnega razvijanja digitalnega ogrevanja ali hlajenja, ki je predmet veljavne odločitve o razvrščanju skladno z določbami iz členov </w:t>
      </w:r>
      <w:r>
        <w:rPr>
          <w:highlight w:val="yellow"/>
        </w:rPr>
        <w:t>L. 712-1 do L. 712-3</w:t>
      </w:r>
      <w:r>
        <w:t xml:space="preserve"> Energijskega zakonika, se študija tehnične in ekonomske izvedljivosti iz prvega pododstavka zahteva samo za stavbe, za katere obveznost priključitve na omrežje ne velja in za tiste, za katero je odobreno odstopanje od obveznosti priključitve na omrežje.</w:t>
      </w:r>
    </w:p>
    <w:p w14:paraId="3D65B17C" w14:textId="77777777" w:rsidR="00154360" w:rsidRPr="00AC2428" w:rsidRDefault="00154360" w:rsidP="00A51EA0">
      <w:pPr>
        <w:jc w:val="both"/>
      </w:pPr>
    </w:p>
    <w:p w14:paraId="7747B28A" w14:textId="3C9ABDAF" w:rsidR="00154360" w:rsidRPr="00AC2428" w:rsidRDefault="00FC7497" w:rsidP="00A51EA0">
      <w:pPr>
        <w:jc w:val="both"/>
      </w:pPr>
      <w:r>
        <w:t>„</w:t>
      </w:r>
      <w:r>
        <w:rPr>
          <w:i/>
        </w:rPr>
        <w:t>Člen R. 111-20-18</w:t>
      </w:r>
      <w:r>
        <w:t xml:space="preserve">. – Zahteve iz člena </w:t>
      </w:r>
      <w:r>
        <w:rPr>
          <w:highlight w:val="yellow"/>
        </w:rPr>
        <w:t xml:space="preserve">R. 111-20-17 </w:t>
      </w:r>
      <w:r>
        <w:t xml:space="preserve">se uporabljajo za gradnjo stavb ali delov stavb, ki spadajo v področje uporabe pododdelka 3, razen naslednjih kategorij: </w:t>
      </w:r>
    </w:p>
    <w:p w14:paraId="2EECB0B1" w14:textId="77777777" w:rsidR="00A51EA0" w:rsidRDefault="00A51EA0" w:rsidP="00A51EA0">
      <w:pPr>
        <w:pStyle w:val="NormalWeb"/>
        <w:spacing w:before="0" w:beforeAutospacing="0" w:after="0" w:afterAutospacing="0"/>
        <w:jc w:val="both"/>
      </w:pPr>
    </w:p>
    <w:p w14:paraId="70DACC20" w14:textId="1704D1AE" w:rsidR="00FC7497" w:rsidRPr="00AC2428" w:rsidRDefault="00FC7497" w:rsidP="00A51EA0">
      <w:pPr>
        <w:pStyle w:val="NormalWeb"/>
        <w:spacing w:before="0" w:beforeAutospacing="0" w:after="0" w:afterAutospacing="0"/>
        <w:jc w:val="both"/>
      </w:pPr>
      <w:r>
        <w:t>„a) začasnih gradenj, predvidenih za čas uporabe dve leti ali manj;</w:t>
      </w:r>
    </w:p>
    <w:p w14:paraId="33A60670" w14:textId="77777777" w:rsidR="00A51EA0" w:rsidRDefault="00A51EA0" w:rsidP="00A51EA0">
      <w:pPr>
        <w:pStyle w:val="NormalWeb"/>
        <w:spacing w:before="0" w:beforeAutospacing="0" w:after="0" w:afterAutospacing="0"/>
        <w:jc w:val="both"/>
      </w:pPr>
    </w:p>
    <w:p w14:paraId="565DE0E0" w14:textId="49433DC8" w:rsidR="00154360" w:rsidRPr="00AC2428" w:rsidRDefault="00FC7497" w:rsidP="00A51EA0">
      <w:pPr>
        <w:pStyle w:val="NormalWeb"/>
        <w:spacing w:before="0" w:beforeAutospacing="0" w:after="0" w:afterAutospacing="0"/>
        <w:jc w:val="both"/>
      </w:pPr>
      <w:r>
        <w:t xml:space="preserve">„b) kmetijskih poslopij, delavnic ali industrijskih stavb razen stanovanjskih prostorov, ki za ogrevanje, proizvodnjo tople sanitarne vode ali hlajenje zahtevajo zgolj majhno količino energije; </w:t>
      </w:r>
    </w:p>
    <w:p w14:paraId="70BD2A9F" w14:textId="77777777" w:rsidR="00A51EA0" w:rsidRDefault="00A51EA0" w:rsidP="00A51EA0">
      <w:pPr>
        <w:pStyle w:val="NormalWeb"/>
        <w:spacing w:before="0" w:beforeAutospacing="0" w:after="0" w:afterAutospacing="0"/>
        <w:jc w:val="both"/>
      </w:pPr>
    </w:p>
    <w:p w14:paraId="6A88E476" w14:textId="0351B5EE" w:rsidR="00154360" w:rsidRPr="00AC2428" w:rsidRDefault="00FC7497" w:rsidP="00A51EA0">
      <w:pPr>
        <w:pStyle w:val="NormalWeb"/>
        <w:spacing w:before="0" w:beforeAutospacing="0" w:after="0" w:afterAutospacing="0"/>
        <w:jc w:val="both"/>
      </w:pPr>
      <w:r>
        <w:t xml:space="preserve">„c) stavb, ki se uporabljajo za obredne namene; </w:t>
      </w:r>
    </w:p>
    <w:p w14:paraId="3668BDEE" w14:textId="77777777" w:rsidR="00A51EA0" w:rsidRDefault="00A51EA0" w:rsidP="00A51EA0">
      <w:pPr>
        <w:pStyle w:val="NormalWeb"/>
        <w:spacing w:before="0" w:beforeAutospacing="0" w:after="0" w:afterAutospacing="0"/>
        <w:jc w:val="both"/>
      </w:pPr>
    </w:p>
    <w:p w14:paraId="20B18312" w14:textId="6083ABF5" w:rsidR="00154360" w:rsidRPr="00AC2428" w:rsidRDefault="00FC7497" w:rsidP="00A51EA0">
      <w:pPr>
        <w:pStyle w:val="NormalWeb"/>
        <w:spacing w:before="0" w:beforeAutospacing="0" w:after="0" w:afterAutospacing="0"/>
        <w:jc w:val="both"/>
      </w:pPr>
      <w:r>
        <w:t xml:space="preserve">„d) podaljškov zgodovinskih spomenikov, razvrščenih ali vpisanih v inventar na podlagi Zakonika o kulturni dediščini; </w:t>
      </w:r>
    </w:p>
    <w:p w14:paraId="3DB6D8EA" w14:textId="77777777" w:rsidR="00A51EA0" w:rsidRDefault="00A51EA0" w:rsidP="00A51EA0">
      <w:pPr>
        <w:pStyle w:val="NormalWeb"/>
        <w:spacing w:before="0" w:beforeAutospacing="0" w:after="0" w:afterAutospacing="0"/>
        <w:jc w:val="both"/>
      </w:pPr>
    </w:p>
    <w:p w14:paraId="2DC4D4D8" w14:textId="6B4B2AD3" w:rsidR="00AC2428" w:rsidRPr="00AC2428" w:rsidRDefault="00FC7497" w:rsidP="00A51EA0">
      <w:pPr>
        <w:pStyle w:val="NormalWeb"/>
        <w:spacing w:before="0" w:beforeAutospacing="0" w:after="0" w:afterAutospacing="0"/>
        <w:jc w:val="both"/>
      </w:pPr>
      <w:r>
        <w:t>„e) samostojnih stavb, katerih skupna nova tlorisna površna je manjša od 50 m</w:t>
      </w:r>
      <w:r>
        <w:rPr>
          <w:vertAlign w:val="superscript"/>
        </w:rPr>
        <w:t>2</w:t>
      </w:r>
      <w:r>
        <w:t xml:space="preserve">; </w:t>
      </w:r>
    </w:p>
    <w:p w14:paraId="2FACCF49" w14:textId="77777777" w:rsidR="00A51EA0" w:rsidRDefault="00A51EA0" w:rsidP="00A51EA0">
      <w:pPr>
        <w:pStyle w:val="NormalWeb"/>
        <w:spacing w:before="0" w:beforeAutospacing="0" w:after="0" w:afterAutospacing="0"/>
        <w:jc w:val="both"/>
      </w:pPr>
    </w:p>
    <w:p w14:paraId="54FE1B36" w14:textId="2AAC5104" w:rsidR="00154360" w:rsidRPr="00AC2428" w:rsidRDefault="00FC7497" w:rsidP="00A51EA0">
      <w:pPr>
        <w:pStyle w:val="NormalWeb"/>
        <w:spacing w:before="0" w:beforeAutospacing="0" w:after="0" w:afterAutospacing="0"/>
        <w:jc w:val="both"/>
      </w:pPr>
      <w:r>
        <w:t xml:space="preserve">„f) stavb, za katere predpisi o toplotnih značilnostih, določeni v členu </w:t>
      </w:r>
      <w:r>
        <w:rPr>
          <w:highlight w:val="yellow"/>
        </w:rPr>
        <w:t xml:space="preserve">R. 111-20-10, </w:t>
      </w:r>
      <w:r>
        <w:t>uvajajo obvezno uporabo obnovljivega vira energije.</w:t>
      </w:r>
    </w:p>
    <w:p w14:paraId="3366C002" w14:textId="77777777" w:rsidR="00154360" w:rsidRPr="00AC2428" w:rsidRDefault="00154360" w:rsidP="00A51EA0">
      <w:pPr>
        <w:jc w:val="both"/>
      </w:pPr>
    </w:p>
    <w:p w14:paraId="583C8E64" w14:textId="00E6D283" w:rsidR="00154360" w:rsidRPr="00AC2428" w:rsidRDefault="00FC7497" w:rsidP="00A51EA0">
      <w:pPr>
        <w:jc w:val="both"/>
      </w:pPr>
      <w:r>
        <w:t>„</w:t>
      </w:r>
      <w:r>
        <w:rPr>
          <w:i/>
        </w:rPr>
        <w:t>Člen R. 111-20-19</w:t>
      </w:r>
      <w:r>
        <w:t xml:space="preserve">. – Skupna odredba ministrov, odgovornih za gradnjo in energijo, določa podrobna pravila izvajanja členov </w:t>
      </w:r>
      <w:r>
        <w:rPr>
          <w:highlight w:val="yellow"/>
        </w:rPr>
        <w:t>R. 111-20-17 do R. 111-20-18</w:t>
      </w:r>
      <w:r>
        <w:t>.</w:t>
      </w:r>
    </w:p>
    <w:p w14:paraId="262F84AC" w14:textId="04829472" w:rsidR="00154360" w:rsidRPr="00AC2428" w:rsidRDefault="00154360" w:rsidP="00A51EA0">
      <w:pPr>
        <w:jc w:val="both"/>
      </w:pPr>
    </w:p>
    <w:p w14:paraId="08017502" w14:textId="47FCEB88" w:rsidR="00154360" w:rsidRPr="00AC2428" w:rsidRDefault="00FC7497" w:rsidP="00A51EA0">
      <w:pPr>
        <w:jc w:val="both"/>
        <w:rPr>
          <w:i/>
        </w:rPr>
      </w:pPr>
      <w:r>
        <w:rPr>
          <w:i/>
        </w:rPr>
        <w:t>„Pododdelek 5: Primer energetske in okoljske ustreznosti zgradb</w:t>
      </w:r>
    </w:p>
    <w:p w14:paraId="36C53CF3" w14:textId="77777777" w:rsidR="00D71C64" w:rsidRPr="00AC2428" w:rsidRDefault="00D71C64" w:rsidP="00A51EA0">
      <w:pPr>
        <w:jc w:val="both"/>
      </w:pPr>
    </w:p>
    <w:p w14:paraId="038762C0" w14:textId="59A7326E" w:rsidR="00154360" w:rsidRPr="00AC2428" w:rsidRDefault="00FC7497" w:rsidP="00A51EA0">
      <w:pPr>
        <w:jc w:val="both"/>
      </w:pPr>
      <w:r>
        <w:t>„</w:t>
      </w:r>
      <w:r>
        <w:rPr>
          <w:i/>
        </w:rPr>
        <w:t>Člen R. 111-20-20</w:t>
      </w:r>
      <w:r>
        <w:t xml:space="preserve">. – Da bi lahko izkoristili izboljšanje pravil o možnostih gradnje iz točke 3 člena L. 151-28 Urbanističnega zakonika, morajo stavbe iz pododdelka 3 dokazati primer </w:t>
      </w:r>
      <w:r>
        <w:lastRenderedPageBreak/>
        <w:t>energetske ustreznosti pod pogoji, opredeljenimi iz odstavka I, ali primer okoljske ustreznosti pod pogoji, opredeljenimi v odstavku II, ali se obravnavati kot stavbe s pozitivno energijo pod pogoji, opredeljenimi v odstavku III.</w:t>
      </w:r>
    </w:p>
    <w:p w14:paraId="6CAD2194" w14:textId="77777777" w:rsidR="00A51EA0" w:rsidRDefault="00A51EA0" w:rsidP="00A51EA0">
      <w:pPr>
        <w:pStyle w:val="NormalWeb"/>
        <w:spacing w:before="0" w:beforeAutospacing="0" w:after="0" w:afterAutospacing="0"/>
        <w:jc w:val="both"/>
      </w:pPr>
    </w:p>
    <w:p w14:paraId="7BE40476" w14:textId="1398EC47" w:rsidR="00154360" w:rsidRPr="00AC2428" w:rsidRDefault="00FC7497" w:rsidP="00A51EA0">
      <w:pPr>
        <w:pStyle w:val="NormalWeb"/>
        <w:spacing w:before="0" w:beforeAutospacing="0" w:after="0" w:afterAutospacing="0"/>
        <w:jc w:val="both"/>
      </w:pPr>
      <w:r>
        <w:t xml:space="preserve">„I. – Stavba dokazuje primer energetske ustreznosti, če je standardna poraba energije manjša od 20 % standardne porabe energije, določene v točki 1 odstavka I člena </w:t>
      </w:r>
      <w:r>
        <w:rPr>
          <w:highlight w:val="yellow"/>
        </w:rPr>
        <w:t>R. 111-20-10</w:t>
      </w:r>
      <w:r>
        <w:t xml:space="preserve"> tega zakonika.</w:t>
      </w:r>
    </w:p>
    <w:p w14:paraId="70F6A03D" w14:textId="77777777" w:rsidR="00A51EA0" w:rsidRDefault="00A51EA0" w:rsidP="00A51EA0">
      <w:pPr>
        <w:pStyle w:val="NormalWeb"/>
        <w:spacing w:before="0" w:beforeAutospacing="0" w:after="0" w:afterAutospacing="0"/>
        <w:jc w:val="both"/>
      </w:pPr>
    </w:p>
    <w:p w14:paraId="758C2337" w14:textId="48EE1709" w:rsidR="00154360" w:rsidRPr="00AC2428" w:rsidRDefault="00FC7497" w:rsidP="00A51EA0">
      <w:pPr>
        <w:pStyle w:val="NormalWeb"/>
        <w:spacing w:before="0" w:beforeAutospacing="0" w:after="0" w:afterAutospacing="0"/>
        <w:jc w:val="both"/>
      </w:pPr>
      <w:r>
        <w:t>„II. – Stavba dokazuje primer okoljske ustreznosti, če na eni strani upošteva učinkovitost iz točke 1 spodaj, in na drugi strani obe merili učinkovitosti, navedeni v točkah 2, 3 in 4 spodaj:</w:t>
      </w:r>
    </w:p>
    <w:p w14:paraId="5FC8E666" w14:textId="77777777" w:rsidR="00A51EA0" w:rsidRDefault="00A51EA0" w:rsidP="00A51EA0">
      <w:pPr>
        <w:pStyle w:val="NormalWeb"/>
        <w:spacing w:before="0" w:beforeAutospacing="0" w:after="0" w:afterAutospacing="0"/>
        <w:jc w:val="both"/>
      </w:pPr>
    </w:p>
    <w:p w14:paraId="1C2FFB08" w14:textId="406E3A8C" w:rsidR="00154360" w:rsidRPr="00AC2428" w:rsidRDefault="00FC7497" w:rsidP="00A51EA0">
      <w:pPr>
        <w:pStyle w:val="NormalWeb"/>
        <w:spacing w:before="0" w:beforeAutospacing="0" w:after="0" w:afterAutospacing="0"/>
        <w:jc w:val="both"/>
      </w:pPr>
      <w:r>
        <w:t>„1. količina emisij toplogrednih plinov v celotnem življenjskem ciklu stavbe je manjša od mejne vrednosti, izražene v kilogramih ekvivalentnega ogljikovega dioksida na kvadratni meter;</w:t>
      </w:r>
    </w:p>
    <w:p w14:paraId="42572EDB" w14:textId="77777777" w:rsidR="00A51EA0" w:rsidRDefault="00A51EA0" w:rsidP="00A51EA0">
      <w:pPr>
        <w:pStyle w:val="NormalWeb"/>
        <w:spacing w:before="0" w:beforeAutospacing="0" w:after="0" w:afterAutospacing="0"/>
        <w:jc w:val="both"/>
      </w:pPr>
    </w:p>
    <w:p w14:paraId="77BE13BB" w14:textId="393BB338" w:rsidR="00154360" w:rsidRPr="00AC2428" w:rsidRDefault="00FC7497" w:rsidP="00A51EA0">
      <w:pPr>
        <w:pStyle w:val="NormalWeb"/>
        <w:spacing w:before="0" w:beforeAutospacing="0" w:after="0" w:afterAutospacing="0"/>
        <w:jc w:val="both"/>
      </w:pPr>
      <w:r>
        <w:t>„2. količina predelanih odpadkov iz gradbišča za gradnjo stavbe je večja od mejne vrednosti, ki jo določa odredba;</w:t>
      </w:r>
    </w:p>
    <w:p w14:paraId="05874E5D" w14:textId="77777777" w:rsidR="00A51EA0" w:rsidRDefault="00A51EA0" w:rsidP="00A51EA0">
      <w:pPr>
        <w:pStyle w:val="NormalWeb"/>
        <w:spacing w:before="0" w:beforeAutospacing="0" w:after="0" w:afterAutospacing="0"/>
        <w:jc w:val="both"/>
      </w:pPr>
    </w:p>
    <w:p w14:paraId="5207E51E" w14:textId="25AD5449" w:rsidR="00154360" w:rsidRPr="00AC2428" w:rsidRDefault="00FC7497" w:rsidP="00A51EA0">
      <w:pPr>
        <w:pStyle w:val="NormalWeb"/>
        <w:spacing w:before="0" w:beforeAutospacing="0" w:after="0" w:afterAutospacing="0"/>
        <w:jc w:val="both"/>
      </w:pPr>
      <w:r>
        <w:t>„3. stavba vključuje minimalni del materialov, ki oddajajo malo hlapnih organskih spojin, prezračevalne naprave pa predmet ukrepa za zagotavljanje kakovosti iz te odredbe;</w:t>
      </w:r>
    </w:p>
    <w:p w14:paraId="548EFF1B" w14:textId="77777777" w:rsidR="00A51EA0" w:rsidRDefault="00A51EA0" w:rsidP="00A51EA0">
      <w:pPr>
        <w:pStyle w:val="NormalWeb"/>
        <w:spacing w:before="0" w:beforeAutospacing="0" w:after="0" w:afterAutospacing="0"/>
        <w:jc w:val="both"/>
      </w:pPr>
    </w:p>
    <w:p w14:paraId="13ED973A" w14:textId="32D5F118" w:rsidR="00154360" w:rsidRPr="00AC2428" w:rsidRDefault="00FC7497" w:rsidP="00A51EA0">
      <w:pPr>
        <w:pStyle w:val="NormalWeb"/>
        <w:spacing w:before="0" w:beforeAutospacing="0" w:after="0" w:afterAutospacing="0"/>
        <w:jc w:val="both"/>
      </w:pPr>
      <w:r>
        <w:t xml:space="preserve">„4. stavba vključuje minimalno stopnjo materialov na biološki osnovi, navedeno v členu </w:t>
      </w:r>
      <w:r>
        <w:rPr>
          <w:highlight w:val="yellow"/>
        </w:rPr>
        <w:t>R. 111-20-22</w:t>
      </w:r>
      <w:r>
        <w:t>.</w:t>
      </w:r>
    </w:p>
    <w:p w14:paraId="2DD24BCF" w14:textId="77777777" w:rsidR="00A51EA0" w:rsidRDefault="00A51EA0" w:rsidP="00A51EA0">
      <w:pPr>
        <w:pStyle w:val="NormalWeb"/>
        <w:spacing w:before="0" w:beforeAutospacing="0" w:after="0" w:afterAutospacing="0"/>
        <w:jc w:val="both"/>
      </w:pPr>
    </w:p>
    <w:p w14:paraId="1CCF520E" w14:textId="0CDDA367" w:rsidR="00154360" w:rsidRPr="00AC2428" w:rsidRDefault="00FC7497" w:rsidP="00A51EA0">
      <w:pPr>
        <w:pStyle w:val="NormalWeb"/>
        <w:spacing w:before="0" w:beforeAutospacing="0" w:after="0" w:afterAutospacing="0"/>
        <w:jc w:val="both"/>
      </w:pPr>
      <w:r>
        <w:t>„III. – Stavba s pozitivno energijo pomeni stavbo, ki dosega ravnotežje med porabo neobnovljive energije in proizvodnjo obnovljive energije, vbrizgane v omrežje, katere energetska bilanca je manjša od mejne vrednosti, določene v odredbi, ki se lahko spreminja glede na lokacijo, značilnosti in uporabo stavbe.</w:t>
      </w:r>
    </w:p>
    <w:p w14:paraId="2B806F3B" w14:textId="77777777" w:rsidR="00A51EA0" w:rsidRDefault="00A51EA0" w:rsidP="00A51EA0">
      <w:pPr>
        <w:pStyle w:val="NormalWeb"/>
        <w:spacing w:before="0" w:beforeAutospacing="0" w:after="0" w:afterAutospacing="0"/>
        <w:jc w:val="both"/>
      </w:pPr>
    </w:p>
    <w:p w14:paraId="588BAF96" w14:textId="77B3102C" w:rsidR="00154360" w:rsidRPr="00AC2428" w:rsidRDefault="00FC7497" w:rsidP="00A51EA0">
      <w:pPr>
        <w:pStyle w:val="NormalWeb"/>
        <w:spacing w:before="0" w:beforeAutospacing="0" w:after="0" w:afterAutospacing="0"/>
        <w:jc w:val="both"/>
      </w:pPr>
      <w:r>
        <w:t>„Ta bilanca je opredeljena z razliko, izraženo v primarni energiji, med količino neobnovljive energije, ki ni predelana, ki jo stavka porabi, in količino obnovljive energije ali proizvedene, predelane energije, ki je v omrežje vbrizgana iz stavbe in njenih sosednjih prostorov. Obnovljive in predelane energije so opredeljene v točkah 1 in 2 člena R. 712-1 Energijskega zakonika. Energetska bilanca se nanaša na vse energetske rabe v stavbi.</w:t>
      </w:r>
    </w:p>
    <w:p w14:paraId="743F8C27" w14:textId="77777777" w:rsidR="00A51EA0" w:rsidRDefault="00A51EA0" w:rsidP="00A51EA0">
      <w:pPr>
        <w:pStyle w:val="NormalWeb"/>
        <w:spacing w:before="0" w:beforeAutospacing="0" w:after="0" w:afterAutospacing="0"/>
        <w:jc w:val="both"/>
      </w:pPr>
    </w:p>
    <w:p w14:paraId="01DBF8CB" w14:textId="7937FF06" w:rsidR="00154360" w:rsidRPr="00AC2428" w:rsidRDefault="00FC7497" w:rsidP="00A51EA0">
      <w:pPr>
        <w:pStyle w:val="NormalWeb"/>
        <w:spacing w:before="0" w:beforeAutospacing="0" w:after="0" w:afterAutospacing="0"/>
        <w:jc w:val="both"/>
      </w:pPr>
      <w:r>
        <w:t>„IV. – Nosilec projekta za utemeljitev primera energetske ustreznosti k vlogi za izdajo gradbenega dovoljenja skladno s členom R. 431-18 Urbanističnega zakonika priloži dokument, ki dokazuje, da je upošteval ali glavnemu izvajalcu omogočil upoštevanje zahtevanih meril energetske učinkovitosti, kadar je slednji zadolžen za zasnovo postopka.</w:t>
      </w:r>
    </w:p>
    <w:p w14:paraId="5E7012D9" w14:textId="77777777" w:rsidR="00A51EA0" w:rsidRDefault="00A51EA0" w:rsidP="00A51EA0">
      <w:pPr>
        <w:pStyle w:val="NormalWeb"/>
        <w:spacing w:before="0" w:beforeAutospacing="0" w:after="0" w:afterAutospacing="0"/>
        <w:jc w:val="both"/>
      </w:pPr>
    </w:p>
    <w:p w14:paraId="6EE43B6A" w14:textId="44F0A17D" w:rsidR="00154360" w:rsidRPr="00AC2428" w:rsidRDefault="00FC7497" w:rsidP="00A51EA0">
      <w:pPr>
        <w:pStyle w:val="NormalWeb"/>
        <w:spacing w:before="0" w:beforeAutospacing="0" w:after="0" w:afterAutospacing="0"/>
        <w:jc w:val="both"/>
      </w:pPr>
      <w:r>
        <w:t>„Za utemeljitev primera okoljske ustreznosti ali kvalifikacije stavbe s pozitivno energijo akreditirani organ skladno s členi L. 433-3 do L. 433-10 Potrošniškega zakonika stavbo certificira v skladu s standardom NF EN ISO/ CEI 17065 za to dejavnost certificiranja, ki ga opravi francoski odbor za akreditacijo (COFRAC) ali kateri koli drugi akreditacijski organ, podpisnik večstranskega sporazuma, sprejetega v okviru evropskega usklajevanja akreditacijskih organov, ki je v ta namen z ministrom, odgovornim za gradnjo, podpisal sporazum. Nosilec projekta k vlogi za izdajo gradbenega dovoljenja skladno s členom R. 431-18 Urbanističnega zakonika priloži dokument, ki ga izdela certifikacijski organ in dokazuje, da so bila v fazi pridobitve gradbenega dovoljenja upoštevana zahtevana merila, navedena v odstavkih II in III tega člena.</w:t>
      </w:r>
    </w:p>
    <w:p w14:paraId="093F7041" w14:textId="77777777" w:rsidR="00A51EA0" w:rsidRDefault="00A51EA0" w:rsidP="00A51EA0">
      <w:pPr>
        <w:pStyle w:val="NormalWeb"/>
        <w:spacing w:before="0" w:beforeAutospacing="0" w:after="0" w:afterAutospacing="0"/>
        <w:jc w:val="both"/>
      </w:pPr>
    </w:p>
    <w:p w14:paraId="44C85024" w14:textId="0C8FF1E4" w:rsidR="00154360" w:rsidRPr="00AC2428" w:rsidRDefault="00FC7497" w:rsidP="00A51EA0">
      <w:pPr>
        <w:pStyle w:val="NormalWeb"/>
        <w:spacing w:before="0" w:beforeAutospacing="0" w:after="0" w:afterAutospacing="0"/>
        <w:jc w:val="both"/>
      </w:pPr>
      <w:r>
        <w:t>„V. – Skupna odredba ministrov, odgovornih za gradnjo in energijo, natančno določa podrobna pravila izvajanja tega člena.</w:t>
      </w:r>
    </w:p>
    <w:p w14:paraId="6E31AFE6" w14:textId="77777777" w:rsidR="00A51EA0" w:rsidRDefault="00A51EA0" w:rsidP="00A51EA0">
      <w:pPr>
        <w:jc w:val="both"/>
      </w:pPr>
    </w:p>
    <w:p w14:paraId="6F1E11FC" w14:textId="61C21878" w:rsidR="00154360" w:rsidRPr="00AC2428" w:rsidRDefault="00FC7497" w:rsidP="00A51EA0">
      <w:pPr>
        <w:jc w:val="both"/>
      </w:pPr>
      <w:r>
        <w:lastRenderedPageBreak/>
        <w:t>„</w:t>
      </w:r>
      <w:r>
        <w:rPr>
          <w:i/>
        </w:rPr>
        <w:t>Člen R. 111-20-21</w:t>
      </w:r>
      <w:r>
        <w:t xml:space="preserve">. – Brez poseganja v strožje kazni iz členov </w:t>
      </w:r>
      <w:r>
        <w:rPr>
          <w:highlight w:val="yellow"/>
        </w:rPr>
        <w:t>L. 152-2 do L. 152-9</w:t>
      </w:r>
      <w:r>
        <w:t xml:space="preserve"> se po potrebi imetnika gradbenega dovoljenja ali njegovega upravičenca, ki je izkoristil prednosti določb iz točke 3 člena L. 151-28 Urbanističnega zakonika, z globo za kršitve 5. razreda kaznuje zaradi nedovršene gradnje stavbe, ki izpolnjuje zahtevana merila učinkovitosti, ali ker v treh letih po dovršitvi del ni izpolnil svoje obveznosti namestitve opreme za proizvodnjo obnovljive energije.</w:t>
      </w:r>
    </w:p>
    <w:p w14:paraId="477ED1E2" w14:textId="77777777" w:rsidR="00A51EA0" w:rsidRDefault="00A51EA0" w:rsidP="00A51EA0">
      <w:pPr>
        <w:pStyle w:val="NormalWeb"/>
        <w:spacing w:before="0" w:beforeAutospacing="0" w:after="0" w:afterAutospacing="0"/>
        <w:jc w:val="both"/>
      </w:pPr>
    </w:p>
    <w:p w14:paraId="6FA4E342" w14:textId="0335F183" w:rsidR="00154360" w:rsidRPr="00AC2428" w:rsidRDefault="00FC7497" w:rsidP="00A51EA0">
      <w:pPr>
        <w:pStyle w:val="NormalWeb"/>
        <w:spacing w:before="0" w:beforeAutospacing="0" w:after="0" w:afterAutospacing="0"/>
        <w:jc w:val="both"/>
      </w:pPr>
      <w:r>
        <w:t>„Osebi, ki je spoznana kot storilka teh kaznivih dejanj, preti tudi dodatna kazen javne objave ali razširjanja izdane odločbe v tiskanih medijih ali prek katerih koli drugih avdiovizualnih komunikacijskih sredstev pod pogoji iz členov 131-35 in 131-48 Kazenskega zakonika.</w:t>
      </w:r>
    </w:p>
    <w:p w14:paraId="19A057D8" w14:textId="77777777" w:rsidR="00A51EA0" w:rsidRDefault="00A51EA0" w:rsidP="00A51EA0">
      <w:pPr>
        <w:pStyle w:val="NormalWeb"/>
        <w:spacing w:before="0" w:beforeAutospacing="0" w:after="0" w:afterAutospacing="0"/>
        <w:jc w:val="both"/>
      </w:pPr>
    </w:p>
    <w:p w14:paraId="23AF5EC7" w14:textId="674693C8" w:rsidR="00154360" w:rsidRPr="00AC2428" w:rsidRDefault="00FC7497" w:rsidP="00A51EA0">
      <w:pPr>
        <w:pStyle w:val="NormalWeb"/>
        <w:spacing w:before="0" w:beforeAutospacing="0" w:after="0" w:afterAutospacing="0"/>
        <w:jc w:val="both"/>
      </w:pPr>
      <w:r>
        <w:t>„Ponovitev kaznivega dejanja se kaznuje v skladu z določbami iz členov 132-11 in 132-15 Kazenskega zakonika.</w:t>
      </w:r>
    </w:p>
    <w:p w14:paraId="153AFA4F" w14:textId="77777777" w:rsidR="00A51EA0" w:rsidRDefault="00A51EA0" w:rsidP="00A51EA0">
      <w:pPr>
        <w:jc w:val="both"/>
        <w:rPr>
          <w:color w:val="000000" w:themeColor="text1"/>
        </w:rPr>
      </w:pPr>
    </w:p>
    <w:p w14:paraId="6355671F" w14:textId="3756BA6F" w:rsidR="00154360" w:rsidRPr="00AC2428" w:rsidRDefault="00FC7497" w:rsidP="00A51EA0">
      <w:pPr>
        <w:jc w:val="both"/>
        <w:rPr>
          <w:color w:val="000000" w:themeColor="text1"/>
        </w:rPr>
      </w:pPr>
      <w:r>
        <w:rPr>
          <w:color w:val="000000" w:themeColor="text1"/>
        </w:rPr>
        <w:t>„</w:t>
      </w:r>
      <w:r>
        <w:rPr>
          <w:i/>
          <w:color w:val="000000" w:themeColor="text1"/>
        </w:rPr>
        <w:t>Člen R. 111-20-22</w:t>
      </w:r>
      <w:r>
        <w:rPr>
          <w:color w:val="000000" w:themeColor="text1"/>
        </w:rPr>
        <w:t>. – Stavbne konstrukcije ali deli stavb, ki vključujejo najmanjšo količino ogljika iz zraka, shranjenega v gradbenih proizvodih ali dekorativnih izdelkih, lahko zahtevajo nalepko „stavba iz materialov na biološki osnovi“. Odredba ministra, odgovornega za gradnjo, določa pogoje za dodelitev te nalepke. “</w:t>
      </w:r>
    </w:p>
    <w:p w14:paraId="6C910CEC" w14:textId="77777777" w:rsidR="00D71C64" w:rsidRPr="00AC2428" w:rsidRDefault="00D71C64" w:rsidP="00A51EA0">
      <w:pPr>
        <w:jc w:val="both"/>
      </w:pPr>
    </w:p>
    <w:p w14:paraId="4B8A190E" w14:textId="1475E363" w:rsidR="00D71C64" w:rsidRPr="00AC2428" w:rsidRDefault="00D71C64" w:rsidP="00A51EA0">
      <w:pPr>
        <w:jc w:val="both"/>
      </w:pPr>
    </w:p>
    <w:p w14:paraId="09A0FAAD" w14:textId="13CD1DBF" w:rsidR="00500EA5" w:rsidRPr="00AC2428" w:rsidRDefault="00500EA5" w:rsidP="00A51EA0">
      <w:pPr>
        <w:jc w:val="center"/>
        <w:rPr>
          <w:b/>
        </w:rPr>
      </w:pPr>
      <w:r>
        <w:rPr>
          <w:b/>
        </w:rPr>
        <w:t>Člen 2</w:t>
      </w:r>
    </w:p>
    <w:p w14:paraId="1C07E527" w14:textId="75EEBD2A" w:rsidR="00500EA5" w:rsidRPr="00AC2428" w:rsidRDefault="00500EA5" w:rsidP="00A51EA0">
      <w:pPr>
        <w:jc w:val="both"/>
      </w:pPr>
    </w:p>
    <w:p w14:paraId="62DBF6B5" w14:textId="0CFB74CB" w:rsidR="00500EA5" w:rsidRPr="00AC2428" w:rsidRDefault="00500EA5" w:rsidP="00A51EA0">
      <w:pPr>
        <w:jc w:val="both"/>
      </w:pPr>
      <w:r>
        <w:t>Člen R. 111-20-23 se vstavi v pododdelek 5 za členom R. 111-20-22. Vstavi se naslednji člen:</w:t>
      </w:r>
    </w:p>
    <w:p w14:paraId="20B27905" w14:textId="77777777" w:rsidR="00500EA5" w:rsidRPr="00AC2428" w:rsidRDefault="00500EA5" w:rsidP="00A51EA0">
      <w:pPr>
        <w:jc w:val="both"/>
      </w:pPr>
    </w:p>
    <w:p w14:paraId="737F03F2" w14:textId="793896FE" w:rsidR="00154360" w:rsidRPr="00AC2428" w:rsidRDefault="000E3CDC" w:rsidP="00A51EA0">
      <w:pPr>
        <w:jc w:val="both"/>
        <w:rPr>
          <w:color w:val="000000" w:themeColor="text1"/>
        </w:rPr>
      </w:pPr>
      <w:r>
        <w:rPr>
          <w:color w:val="000000" w:themeColor="text1"/>
        </w:rPr>
        <w:t>„</w:t>
      </w:r>
      <w:r>
        <w:rPr>
          <w:i/>
          <w:color w:val="000000" w:themeColor="text1"/>
        </w:rPr>
        <w:t>Člen. R. 111-20-23.</w:t>
      </w:r>
      <w:r>
        <w:rPr>
          <w:color w:val="000000" w:themeColor="text1"/>
        </w:rPr>
        <w:t xml:space="preserve"> – Odredba ministra, odgovornega za energijo, ministra, odgovornega za okolje, in ministra, odgovornega za gradnjo, določa pogoje za dodelitev nalepke „visoka energetska in okoljska učinkovitost“ gradnji stavb ali delom stavb, za katere veljajo pogoji iz pododdelka 1.</w:t>
      </w:r>
    </w:p>
    <w:p w14:paraId="629331AA" w14:textId="77777777" w:rsidR="00154360" w:rsidRPr="00AC2428" w:rsidRDefault="00154360" w:rsidP="00A51EA0">
      <w:pPr>
        <w:jc w:val="both"/>
      </w:pPr>
    </w:p>
    <w:p w14:paraId="43E5417E" w14:textId="77777777" w:rsidR="00154360" w:rsidRPr="00AC2428" w:rsidRDefault="00154360" w:rsidP="00A51EA0">
      <w:pPr>
        <w:jc w:val="both"/>
      </w:pPr>
    </w:p>
    <w:p w14:paraId="4D0E467B" w14:textId="2577C0AD" w:rsidR="00154360" w:rsidRPr="00AC2428" w:rsidRDefault="00154360" w:rsidP="00A51EA0">
      <w:pPr>
        <w:jc w:val="center"/>
        <w:rPr>
          <w:b/>
        </w:rPr>
      </w:pPr>
      <w:r>
        <w:rPr>
          <w:b/>
        </w:rPr>
        <w:t>Člen 3</w:t>
      </w:r>
    </w:p>
    <w:p w14:paraId="2491E38C" w14:textId="77777777" w:rsidR="00D71C64" w:rsidRPr="00AC2428" w:rsidRDefault="00D71C64" w:rsidP="00A51EA0">
      <w:pPr>
        <w:jc w:val="both"/>
        <w:rPr>
          <w:b/>
        </w:rPr>
      </w:pPr>
    </w:p>
    <w:p w14:paraId="37B2B001" w14:textId="57EEE2CC" w:rsidR="00154360" w:rsidRPr="00AC2428" w:rsidRDefault="00154360" w:rsidP="00A51EA0">
      <w:pPr>
        <w:jc w:val="both"/>
      </w:pPr>
      <w:r>
        <w:t>Pododdelek 5 oddelka 4 poglavja I naslova I knjige I Zakonika o gradnji in stanovanjih se preštevilči v oddelek 6 tega oddelka.</w:t>
      </w:r>
    </w:p>
    <w:p w14:paraId="027F84AE" w14:textId="77777777" w:rsidR="000E3CDC" w:rsidRPr="00AC2428" w:rsidRDefault="000E3CDC" w:rsidP="00A51EA0">
      <w:pPr>
        <w:jc w:val="both"/>
      </w:pPr>
    </w:p>
    <w:p w14:paraId="5CFD0A3F" w14:textId="43223EF7" w:rsidR="002422A2" w:rsidRPr="00AC2428" w:rsidRDefault="002422A2" w:rsidP="00A51EA0">
      <w:pPr>
        <w:jc w:val="both"/>
      </w:pPr>
    </w:p>
    <w:p w14:paraId="13D6654C" w14:textId="5791814C" w:rsidR="001F3786" w:rsidRPr="00AC2428" w:rsidRDefault="001F3786" w:rsidP="00A51EA0">
      <w:pPr>
        <w:jc w:val="center"/>
        <w:rPr>
          <w:b/>
        </w:rPr>
      </w:pPr>
      <w:r>
        <w:rPr>
          <w:b/>
        </w:rPr>
        <w:t>Člen 4</w:t>
      </w:r>
    </w:p>
    <w:p w14:paraId="3CED07FE" w14:textId="77777777" w:rsidR="001F3786" w:rsidRPr="00AC2428" w:rsidRDefault="001F3786" w:rsidP="00A51EA0">
      <w:pPr>
        <w:jc w:val="both"/>
      </w:pPr>
    </w:p>
    <w:p w14:paraId="4E6B60F9" w14:textId="647EC0EF" w:rsidR="00E756DF" w:rsidRPr="00AC2428" w:rsidRDefault="00E756DF" w:rsidP="00A51EA0">
      <w:pPr>
        <w:jc w:val="both"/>
      </w:pPr>
      <w:r>
        <w:t xml:space="preserve">I. – Določbe iz členov 1 in 3 te uredbe začnejo veljati po 1. juliju 2021. </w:t>
      </w:r>
    </w:p>
    <w:p w14:paraId="6DBC70E1" w14:textId="77777777" w:rsidR="0083620D" w:rsidRPr="00AC2428" w:rsidRDefault="0083620D" w:rsidP="00A51EA0">
      <w:pPr>
        <w:jc w:val="both"/>
      </w:pPr>
    </w:p>
    <w:p w14:paraId="0D875F96" w14:textId="7111AF25" w:rsidR="00D71C64" w:rsidRPr="00AC2428" w:rsidRDefault="00E756DF" w:rsidP="00A51EA0">
      <w:pPr>
        <w:jc w:val="both"/>
      </w:pPr>
      <w:r>
        <w:t>II. – Določbe iz člena 2 te uredbe začnejo veljati na datum, določen v odredbi, in najpozneje 30. junija 2022.</w:t>
      </w:r>
    </w:p>
    <w:p w14:paraId="4E791787" w14:textId="77777777" w:rsidR="000E3CDC" w:rsidRPr="00AC2428" w:rsidRDefault="000E3CDC" w:rsidP="00A51EA0">
      <w:pPr>
        <w:jc w:val="both"/>
      </w:pPr>
    </w:p>
    <w:p w14:paraId="27CFF1BB" w14:textId="77777777" w:rsidR="001F3786" w:rsidRPr="00AC2428" w:rsidRDefault="001F3786" w:rsidP="00A51EA0">
      <w:pPr>
        <w:jc w:val="both"/>
        <w:rPr>
          <w:b/>
        </w:rPr>
      </w:pPr>
    </w:p>
    <w:p w14:paraId="5D16EF9A" w14:textId="4A6D21E1" w:rsidR="00154360" w:rsidRPr="00AC2428" w:rsidRDefault="00D71C64" w:rsidP="00A51EA0">
      <w:pPr>
        <w:jc w:val="center"/>
        <w:rPr>
          <w:b/>
        </w:rPr>
      </w:pPr>
      <w:r>
        <w:rPr>
          <w:b/>
        </w:rPr>
        <w:t>Člen 5</w:t>
      </w:r>
    </w:p>
    <w:p w14:paraId="41A1DF81" w14:textId="77777777" w:rsidR="00D71C64" w:rsidRPr="00AC2428" w:rsidRDefault="00D71C64" w:rsidP="00A51EA0">
      <w:pPr>
        <w:jc w:val="both"/>
        <w:rPr>
          <w:b/>
        </w:rPr>
      </w:pPr>
    </w:p>
    <w:p w14:paraId="53F2CD99" w14:textId="680DCEDD" w:rsidR="00154360" w:rsidRPr="00AC2428" w:rsidRDefault="00154360" w:rsidP="00A51EA0">
      <w:pPr>
        <w:widowControl w:val="0"/>
        <w:jc w:val="both"/>
      </w:pPr>
      <w:r>
        <w:t>Ministrica za ekološko preoblikovanje in ministrica pri ministrici za ekološko preoblikovanje, odgovorna za stanovanjska vprašanja, sta vsaka v skladu s svojimi pristojnostmi odgovorna za izvajanje te uredbe, ki bo objavljena v Uradnem listu Francoske republike. </w:t>
      </w:r>
    </w:p>
    <w:p w14:paraId="24C63A94" w14:textId="77777777" w:rsidR="00154360" w:rsidRPr="00AC2428" w:rsidRDefault="00154360" w:rsidP="00A51EA0">
      <w:pPr>
        <w:widowControl w:val="0"/>
        <w:jc w:val="both"/>
      </w:pPr>
    </w:p>
    <w:p w14:paraId="63C20AFE" w14:textId="77777777" w:rsidR="00154360" w:rsidRPr="00AC2428" w:rsidRDefault="00154360" w:rsidP="00A51EA0">
      <w:pPr>
        <w:widowControl w:val="0"/>
        <w:jc w:val="both"/>
      </w:pPr>
    </w:p>
    <w:p w14:paraId="262C9A33" w14:textId="77777777" w:rsidR="00154360" w:rsidRPr="00AC2428" w:rsidRDefault="00154360" w:rsidP="00A51EA0">
      <w:pPr>
        <w:pStyle w:val="SNSignature"/>
        <w:jc w:val="right"/>
      </w:pPr>
    </w:p>
    <w:p w14:paraId="18246DE6" w14:textId="2C1CDB08" w:rsidR="00154360" w:rsidRPr="00AC2428" w:rsidRDefault="00154360" w:rsidP="00A51EA0">
      <w:pPr>
        <w:pStyle w:val="SNSignature"/>
        <w:ind w:firstLine="0"/>
        <w:rPr>
          <w:color w:val="000000"/>
        </w:rPr>
      </w:pPr>
      <w:r>
        <w:rPr>
          <w:color w:val="000000"/>
        </w:rPr>
        <w:lastRenderedPageBreak/>
        <w:t>Za predsednika vlade:</w:t>
      </w:r>
    </w:p>
    <w:p w14:paraId="6A0B9C0B" w14:textId="77777777" w:rsidR="00403727" w:rsidRPr="00AC2428" w:rsidRDefault="00403727" w:rsidP="00A51EA0">
      <w:pPr>
        <w:pStyle w:val="SNSignature"/>
        <w:ind w:firstLine="0"/>
        <w:rPr>
          <w:color w:val="000000"/>
          <w:lang w:eastAsia="fr-FR"/>
        </w:rPr>
      </w:pPr>
    </w:p>
    <w:p w14:paraId="2C642B17" w14:textId="19D5E8B9" w:rsidR="00403727" w:rsidRPr="00AC2428" w:rsidRDefault="00403727" w:rsidP="00A51EA0">
      <w:pPr>
        <w:pStyle w:val="SNSignature"/>
        <w:ind w:firstLine="0"/>
        <w:rPr>
          <w:color w:val="000000"/>
          <w:lang w:eastAsia="fr-FR"/>
        </w:rPr>
      </w:pPr>
    </w:p>
    <w:p w14:paraId="3E4DD31B" w14:textId="77777777" w:rsidR="00403727" w:rsidRPr="00AC2428" w:rsidRDefault="00403727" w:rsidP="00A51EA0">
      <w:pPr>
        <w:pStyle w:val="SNSignature"/>
        <w:ind w:firstLine="0"/>
      </w:pPr>
    </w:p>
    <w:p w14:paraId="4898BC16" w14:textId="77777777" w:rsidR="00154360" w:rsidRPr="00AC2428" w:rsidRDefault="00154360" w:rsidP="00A51EA0">
      <w:pPr>
        <w:pStyle w:val="SNSignature"/>
        <w:jc w:val="right"/>
      </w:pPr>
    </w:p>
    <w:p w14:paraId="2674864A" w14:textId="77777777" w:rsidR="00154360" w:rsidRPr="00AC2428" w:rsidRDefault="00154360" w:rsidP="00A51EA0">
      <w:pPr>
        <w:pStyle w:val="SNSignature"/>
      </w:pPr>
    </w:p>
    <w:p w14:paraId="5F5086BE" w14:textId="77777777" w:rsidR="00154360" w:rsidRPr="00AC2428" w:rsidRDefault="00154360" w:rsidP="00A51EA0">
      <w:pPr>
        <w:pStyle w:val="SNSignature"/>
        <w:ind w:firstLine="0"/>
      </w:pPr>
      <w:r>
        <w:t>ministrica za ekološko preoblikovanje,</w:t>
      </w:r>
    </w:p>
    <w:p w14:paraId="0DD79C55" w14:textId="77777777" w:rsidR="00154360" w:rsidRPr="00AC2428" w:rsidRDefault="00154360" w:rsidP="00A51EA0"/>
    <w:p w14:paraId="23951CA8" w14:textId="168874FB" w:rsidR="00154360" w:rsidRPr="00AC2428" w:rsidRDefault="00154360" w:rsidP="00A51EA0">
      <w:r>
        <w:t>Barbara POMPILI</w:t>
      </w:r>
    </w:p>
    <w:p w14:paraId="0BFC79FC" w14:textId="77777777" w:rsidR="000E3CDC" w:rsidRPr="00AC2428" w:rsidRDefault="000E3CDC" w:rsidP="00A51EA0"/>
    <w:p w14:paraId="1CDEBE12" w14:textId="282E7C5A" w:rsidR="008859E2" w:rsidRPr="00AC2428" w:rsidRDefault="008859E2" w:rsidP="00A51EA0">
      <w:pPr>
        <w:jc w:val="right"/>
      </w:pPr>
    </w:p>
    <w:p w14:paraId="1A654AEF" w14:textId="3AF87C2E" w:rsidR="008859E2" w:rsidRPr="00AC2428" w:rsidRDefault="008859E2" w:rsidP="00A51EA0">
      <w:pPr>
        <w:jc w:val="right"/>
      </w:pPr>
    </w:p>
    <w:p w14:paraId="3D75DE50" w14:textId="24DC0399" w:rsidR="008859E2" w:rsidRPr="00AC2428" w:rsidRDefault="008859E2" w:rsidP="00A51EA0">
      <w:pPr>
        <w:jc w:val="right"/>
      </w:pPr>
      <w:r>
        <w:t>Ministrica pri ministrici za ekološko preoblikovanje,</w:t>
      </w:r>
    </w:p>
    <w:p w14:paraId="6DDE764E" w14:textId="77777777" w:rsidR="008859E2" w:rsidRPr="00AC2428" w:rsidRDefault="008859E2" w:rsidP="00A51EA0">
      <w:pPr>
        <w:jc w:val="right"/>
      </w:pPr>
      <w:r>
        <w:t>odgovorna za stanovanjska vprašanja</w:t>
      </w:r>
    </w:p>
    <w:p w14:paraId="0A6D86F9" w14:textId="77777777" w:rsidR="008859E2" w:rsidRPr="00AC2428" w:rsidRDefault="008859E2" w:rsidP="00A51EA0">
      <w:pPr>
        <w:jc w:val="right"/>
      </w:pPr>
    </w:p>
    <w:p w14:paraId="26DFC305" w14:textId="77777777" w:rsidR="008859E2" w:rsidRPr="00AC2428" w:rsidRDefault="008859E2" w:rsidP="00A51EA0">
      <w:pPr>
        <w:jc w:val="right"/>
      </w:pPr>
      <w:r>
        <w:t>Emmanuelle Wargon</w:t>
      </w:r>
    </w:p>
    <w:sectPr w:rsidR="008859E2" w:rsidRPr="00AC2428">
      <w:pgSz w:w="11906" w:h="16838"/>
      <w:pgMar w:top="1134" w:right="1418" w:bottom="141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ECE8B" w14:textId="77777777" w:rsidR="00DE725C" w:rsidRDefault="00DE725C" w:rsidP="00847849">
      <w:r>
        <w:separator/>
      </w:r>
    </w:p>
  </w:endnote>
  <w:endnote w:type="continuationSeparator" w:id="0">
    <w:p w14:paraId="04B94BB1" w14:textId="77777777" w:rsidR="00DE725C" w:rsidRDefault="00DE725C" w:rsidP="00847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altName w:val="微软雅黑"/>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DFA06" w14:textId="77777777" w:rsidR="00DE725C" w:rsidRDefault="00DE725C" w:rsidP="00847849">
      <w:r>
        <w:separator/>
      </w:r>
    </w:p>
  </w:footnote>
  <w:footnote w:type="continuationSeparator" w:id="0">
    <w:p w14:paraId="4DEA36CB" w14:textId="77777777" w:rsidR="00DE725C" w:rsidRDefault="00DE725C" w:rsidP="008478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142"/>
        </w:tabs>
        <w:ind w:left="142" w:firstLine="0"/>
      </w:pPr>
    </w:lvl>
    <w:lvl w:ilvl="1">
      <w:start w:val="1"/>
      <w:numFmt w:val="none"/>
      <w:pStyle w:val="Heading2"/>
      <w:suff w:val="nothing"/>
      <w:lvlText w:val=""/>
      <w:lvlJc w:val="left"/>
      <w:pPr>
        <w:tabs>
          <w:tab w:val="num" w:pos="142"/>
        </w:tabs>
        <w:ind w:left="142" w:firstLine="0"/>
      </w:pPr>
    </w:lvl>
    <w:lvl w:ilvl="2">
      <w:start w:val="1"/>
      <w:numFmt w:val="none"/>
      <w:pStyle w:val="Heading3"/>
      <w:suff w:val="nothing"/>
      <w:lvlText w:val=""/>
      <w:lvlJc w:val="left"/>
      <w:pPr>
        <w:tabs>
          <w:tab w:val="num" w:pos="142"/>
        </w:tabs>
        <w:ind w:left="142" w:firstLine="0"/>
      </w:pPr>
    </w:lvl>
    <w:lvl w:ilvl="3">
      <w:start w:val="1"/>
      <w:numFmt w:val="none"/>
      <w:suff w:val="nothing"/>
      <w:lvlText w:val=""/>
      <w:lvlJc w:val="left"/>
      <w:pPr>
        <w:tabs>
          <w:tab w:val="num" w:pos="142"/>
        </w:tabs>
        <w:ind w:left="142" w:firstLine="0"/>
      </w:pPr>
    </w:lvl>
    <w:lvl w:ilvl="4">
      <w:start w:val="1"/>
      <w:numFmt w:val="none"/>
      <w:suff w:val="nothing"/>
      <w:lvlText w:val=""/>
      <w:lvlJc w:val="left"/>
      <w:pPr>
        <w:tabs>
          <w:tab w:val="num" w:pos="142"/>
        </w:tabs>
        <w:ind w:left="142" w:firstLine="0"/>
      </w:pPr>
    </w:lvl>
    <w:lvl w:ilvl="5">
      <w:start w:val="1"/>
      <w:numFmt w:val="none"/>
      <w:suff w:val="nothing"/>
      <w:lvlText w:val=""/>
      <w:lvlJc w:val="left"/>
      <w:pPr>
        <w:tabs>
          <w:tab w:val="num" w:pos="142"/>
        </w:tabs>
        <w:ind w:left="142" w:firstLine="0"/>
      </w:pPr>
    </w:lvl>
    <w:lvl w:ilvl="6">
      <w:start w:val="1"/>
      <w:numFmt w:val="none"/>
      <w:suff w:val="nothing"/>
      <w:lvlText w:val=""/>
      <w:lvlJc w:val="left"/>
      <w:pPr>
        <w:tabs>
          <w:tab w:val="num" w:pos="142"/>
        </w:tabs>
        <w:ind w:left="142" w:firstLine="0"/>
      </w:pPr>
    </w:lvl>
    <w:lvl w:ilvl="7">
      <w:start w:val="1"/>
      <w:numFmt w:val="none"/>
      <w:suff w:val="nothing"/>
      <w:lvlText w:val=""/>
      <w:lvlJc w:val="left"/>
      <w:pPr>
        <w:tabs>
          <w:tab w:val="num" w:pos="142"/>
        </w:tabs>
        <w:ind w:left="142" w:firstLine="0"/>
      </w:pPr>
    </w:lvl>
    <w:lvl w:ilvl="8">
      <w:start w:val="1"/>
      <w:numFmt w:val="none"/>
      <w:suff w:val="nothing"/>
      <w:lvlText w:val=""/>
      <w:lvlJc w:val="left"/>
      <w:pPr>
        <w:tabs>
          <w:tab w:val="num" w:pos="142"/>
        </w:tabs>
        <w:ind w:left="142" w:firstLine="0"/>
      </w:pPr>
    </w:lvl>
  </w:abstractNum>
  <w:abstractNum w:abstractNumId="1" w15:restartNumberingAfterBreak="0">
    <w:nsid w:val="00000002"/>
    <w:multiLevelType w:val="singleLevel"/>
    <w:tmpl w:val="00000002"/>
    <w:name w:val="WW8Num3"/>
    <w:lvl w:ilvl="0">
      <w:numFmt w:val="bullet"/>
      <w:lvlText w:val="-"/>
      <w:lvlJc w:val="left"/>
      <w:pPr>
        <w:tabs>
          <w:tab w:val="num" w:pos="0"/>
        </w:tabs>
        <w:ind w:left="720" w:hanging="360"/>
      </w:pPr>
      <w:rPr>
        <w:rFonts w:ascii="Times New Roman" w:hAnsi="Times New Roman" w:cs="Times New Roman" w:hint="default"/>
      </w:rPr>
    </w:lvl>
  </w:abstractNum>
  <w:abstractNum w:abstractNumId="2" w15:restartNumberingAfterBreak="0">
    <w:nsid w:val="00000003"/>
    <w:multiLevelType w:val="singleLevel"/>
    <w:tmpl w:val="00000003"/>
    <w:name w:val="WW8Num4"/>
    <w:lvl w:ilvl="0">
      <w:start w:val="37"/>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0000004"/>
    <w:multiLevelType w:val="singleLevel"/>
    <w:tmpl w:val="00000004"/>
    <w:name w:val="WW8Num6"/>
    <w:lvl w:ilvl="0">
      <w:numFmt w:val="bullet"/>
      <w:lvlText w:val="-"/>
      <w:lvlJc w:val="left"/>
      <w:pPr>
        <w:tabs>
          <w:tab w:val="num" w:pos="0"/>
        </w:tabs>
        <w:ind w:left="720" w:hanging="360"/>
      </w:pPr>
      <w:rPr>
        <w:rFonts w:ascii="Times New Roman" w:hAnsi="Times New Roman" w:cs="Times New Roman" w:hint="default"/>
      </w:rPr>
    </w:lvl>
  </w:abstractNum>
  <w:abstractNum w:abstractNumId="4" w15:restartNumberingAfterBreak="0">
    <w:nsid w:val="00000005"/>
    <w:multiLevelType w:val="singleLevel"/>
    <w:tmpl w:val="00000005"/>
    <w:name w:val="WW8Num10"/>
    <w:lvl w:ilvl="0">
      <w:numFmt w:val="bullet"/>
      <w:lvlText w:val="-"/>
      <w:lvlJc w:val="left"/>
      <w:pPr>
        <w:tabs>
          <w:tab w:val="num" w:pos="0"/>
        </w:tabs>
        <w:ind w:left="720" w:hanging="360"/>
      </w:pPr>
      <w:rPr>
        <w:rFonts w:ascii="Times New Roman" w:hAnsi="Times New Roman" w:cs="Times New Roman" w:hint="default"/>
      </w:rPr>
    </w:lvl>
  </w:abstractNum>
  <w:abstractNum w:abstractNumId="5" w15:restartNumberingAfterBreak="0">
    <w:nsid w:val="00000006"/>
    <w:multiLevelType w:val="singleLevel"/>
    <w:tmpl w:val="00000006"/>
    <w:lvl w:ilvl="0">
      <w:numFmt w:val="bullet"/>
      <w:lvlText w:val="-"/>
      <w:lvlJc w:val="left"/>
      <w:pPr>
        <w:tabs>
          <w:tab w:val="num" w:pos="0"/>
        </w:tabs>
        <w:ind w:left="720" w:hanging="360"/>
      </w:pPr>
      <w:rPr>
        <w:rFonts w:ascii="Times New Roman" w:hAnsi="Times New Roman"/>
      </w:rPr>
    </w:lvl>
  </w:abstractNum>
  <w:abstractNum w:abstractNumId="6" w15:restartNumberingAfterBreak="0">
    <w:nsid w:val="061A3559"/>
    <w:multiLevelType w:val="multilevel"/>
    <w:tmpl w:val="B5088C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45704A1"/>
    <w:multiLevelType w:val="multilevel"/>
    <w:tmpl w:val="C122F124"/>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106A2"/>
    <w:multiLevelType w:val="hybridMultilevel"/>
    <w:tmpl w:val="94EA7EA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D0361C"/>
    <w:multiLevelType w:val="hybridMultilevel"/>
    <w:tmpl w:val="C27ED1F0"/>
    <w:lvl w:ilvl="0" w:tplc="0000000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E65FE8"/>
    <w:multiLevelType w:val="hybridMultilevel"/>
    <w:tmpl w:val="BC50CAC2"/>
    <w:lvl w:ilvl="0" w:tplc="E2C8AE72">
      <w:start w:val="37"/>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907DED"/>
    <w:multiLevelType w:val="hybridMultilevel"/>
    <w:tmpl w:val="7BC22C46"/>
    <w:lvl w:ilvl="0" w:tplc="67D8528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8D19BB"/>
    <w:multiLevelType w:val="hybridMultilevel"/>
    <w:tmpl w:val="1DCC9398"/>
    <w:lvl w:ilvl="0" w:tplc="239C771E">
      <w:start w:val="1"/>
      <w:numFmt w:val="lowerLetter"/>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2E24BB6"/>
    <w:multiLevelType w:val="hybridMultilevel"/>
    <w:tmpl w:val="7310BF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F97E1C"/>
    <w:multiLevelType w:val="hybridMultilevel"/>
    <w:tmpl w:val="778247D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4A372F2"/>
    <w:multiLevelType w:val="hybridMultilevel"/>
    <w:tmpl w:val="86F4B344"/>
    <w:lvl w:ilvl="0" w:tplc="7706B1C0">
      <w:start w:val="1"/>
      <w:numFmt w:val="upperRoman"/>
      <w:lvlText w:val="%1."/>
      <w:lvlJc w:val="left"/>
      <w:pPr>
        <w:ind w:left="1004"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7DD26EA"/>
    <w:multiLevelType w:val="hybridMultilevel"/>
    <w:tmpl w:val="D428AEA0"/>
    <w:lvl w:ilvl="0" w:tplc="67D2757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8362D5"/>
    <w:multiLevelType w:val="multilevel"/>
    <w:tmpl w:val="C5C82A6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791709"/>
    <w:multiLevelType w:val="hybridMultilevel"/>
    <w:tmpl w:val="DF94DAC0"/>
    <w:lvl w:ilvl="0" w:tplc="C308BBBC">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5D6523B4"/>
    <w:multiLevelType w:val="multilevel"/>
    <w:tmpl w:val="B15E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CB459A"/>
    <w:multiLevelType w:val="hybridMultilevel"/>
    <w:tmpl w:val="E0A0D92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8041DFA"/>
    <w:multiLevelType w:val="hybridMultilevel"/>
    <w:tmpl w:val="5B100876"/>
    <w:lvl w:ilvl="0" w:tplc="173E2A5A">
      <w:start w:val="18"/>
      <w:numFmt w:val="bullet"/>
      <w:lvlText w:val="-"/>
      <w:lvlJc w:val="left"/>
      <w:pPr>
        <w:ind w:left="360" w:hanging="360"/>
      </w:pPr>
      <w:rPr>
        <w:rFonts w:ascii="Calibri" w:eastAsia="Calibr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BF86002"/>
    <w:multiLevelType w:val="hybridMultilevel"/>
    <w:tmpl w:val="CE308682"/>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34E54B7"/>
    <w:multiLevelType w:val="multilevel"/>
    <w:tmpl w:val="705C0BE0"/>
    <w:lvl w:ilvl="0">
      <w:start w:val="1"/>
      <w:numFmt w:val="upperRoman"/>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465341"/>
    <w:multiLevelType w:val="hybridMultilevel"/>
    <w:tmpl w:val="9C2EF68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8"/>
  </w:num>
  <w:num w:numId="8">
    <w:abstractNumId w:val="19"/>
  </w:num>
  <w:num w:numId="9">
    <w:abstractNumId w:val="17"/>
  </w:num>
  <w:num w:numId="10">
    <w:abstractNumId w:val="7"/>
  </w:num>
  <w:num w:numId="11">
    <w:abstractNumId w:val="12"/>
  </w:num>
  <w:num w:numId="12">
    <w:abstractNumId w:val="22"/>
  </w:num>
  <w:num w:numId="13">
    <w:abstractNumId w:val="18"/>
  </w:num>
  <w:num w:numId="14">
    <w:abstractNumId w:val="14"/>
  </w:num>
  <w:num w:numId="15">
    <w:abstractNumId w:val="20"/>
  </w:num>
  <w:num w:numId="16">
    <w:abstractNumId w:val="13"/>
  </w:num>
  <w:num w:numId="17">
    <w:abstractNumId w:val="5"/>
  </w:num>
  <w:num w:numId="18">
    <w:abstractNumId w:val="9"/>
  </w:num>
  <w:num w:numId="19">
    <w:abstractNumId w:val="11"/>
  </w:num>
  <w:num w:numId="20">
    <w:abstractNumId w:val="16"/>
  </w:num>
  <w:num w:numId="21">
    <w:abstractNumId w:val="15"/>
  </w:num>
  <w:num w:numId="22">
    <w:abstractNumId w:val="6"/>
  </w:num>
  <w:num w:numId="23">
    <w:abstractNumId w:val="23"/>
  </w:num>
  <w:num w:numId="24">
    <w:abstractNumId w:val="2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fr-FR" w:vendorID="64" w:dllVersion="6" w:nlCheck="1" w:checkStyle="0"/>
  <w:activeWritingStyle w:appName="MSWord" w:lang="fr-FR" w:vendorID="64" w:dllVersion="4096" w:nlCheck="1" w:checkStyle="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67"/>
    <w:rsid w:val="0000614F"/>
    <w:rsid w:val="000170A1"/>
    <w:rsid w:val="000571FB"/>
    <w:rsid w:val="0007296A"/>
    <w:rsid w:val="000937AB"/>
    <w:rsid w:val="000B3F2C"/>
    <w:rsid w:val="000B6DAB"/>
    <w:rsid w:val="000B6F57"/>
    <w:rsid w:val="000C69D2"/>
    <w:rsid w:val="000C7EEA"/>
    <w:rsid w:val="000D1E2B"/>
    <w:rsid w:val="000E3CDC"/>
    <w:rsid w:val="000E79A1"/>
    <w:rsid w:val="0010794D"/>
    <w:rsid w:val="00111EE5"/>
    <w:rsid w:val="00114953"/>
    <w:rsid w:val="0011695C"/>
    <w:rsid w:val="00126671"/>
    <w:rsid w:val="001367AB"/>
    <w:rsid w:val="00154360"/>
    <w:rsid w:val="0015511A"/>
    <w:rsid w:val="0016406E"/>
    <w:rsid w:val="00166B18"/>
    <w:rsid w:val="00171560"/>
    <w:rsid w:val="00171FD0"/>
    <w:rsid w:val="00173D1D"/>
    <w:rsid w:val="00184159"/>
    <w:rsid w:val="00185AF6"/>
    <w:rsid w:val="00192DA4"/>
    <w:rsid w:val="001958A9"/>
    <w:rsid w:val="0019632A"/>
    <w:rsid w:val="001B1C42"/>
    <w:rsid w:val="001C46EC"/>
    <w:rsid w:val="001E5E7E"/>
    <w:rsid w:val="001E62EB"/>
    <w:rsid w:val="001F2570"/>
    <w:rsid w:val="001F375A"/>
    <w:rsid w:val="001F3786"/>
    <w:rsid w:val="001F465F"/>
    <w:rsid w:val="0020077C"/>
    <w:rsid w:val="00216F67"/>
    <w:rsid w:val="002343E7"/>
    <w:rsid w:val="002358BE"/>
    <w:rsid w:val="002422A2"/>
    <w:rsid w:val="00256D90"/>
    <w:rsid w:val="002633B9"/>
    <w:rsid w:val="00265EB8"/>
    <w:rsid w:val="00272FDC"/>
    <w:rsid w:val="0029131C"/>
    <w:rsid w:val="00292C1F"/>
    <w:rsid w:val="002A0050"/>
    <w:rsid w:val="002A6400"/>
    <w:rsid w:val="002B041A"/>
    <w:rsid w:val="002B2352"/>
    <w:rsid w:val="002C2E88"/>
    <w:rsid w:val="002E4886"/>
    <w:rsid w:val="002E5B2D"/>
    <w:rsid w:val="002F57C9"/>
    <w:rsid w:val="003222E1"/>
    <w:rsid w:val="003364A0"/>
    <w:rsid w:val="00341FBF"/>
    <w:rsid w:val="00351CB0"/>
    <w:rsid w:val="00361792"/>
    <w:rsid w:val="0037164C"/>
    <w:rsid w:val="00374987"/>
    <w:rsid w:val="00387E58"/>
    <w:rsid w:val="00392CE8"/>
    <w:rsid w:val="00393BCB"/>
    <w:rsid w:val="003B7761"/>
    <w:rsid w:val="003C6BCD"/>
    <w:rsid w:val="003F03C1"/>
    <w:rsid w:val="00403727"/>
    <w:rsid w:val="004061F0"/>
    <w:rsid w:val="00413F3D"/>
    <w:rsid w:val="004144B5"/>
    <w:rsid w:val="00425531"/>
    <w:rsid w:val="004314FD"/>
    <w:rsid w:val="00435807"/>
    <w:rsid w:val="004464D5"/>
    <w:rsid w:val="00447F33"/>
    <w:rsid w:val="00457D4B"/>
    <w:rsid w:val="00461CFB"/>
    <w:rsid w:val="00472A5D"/>
    <w:rsid w:val="00476A9D"/>
    <w:rsid w:val="00483354"/>
    <w:rsid w:val="00484378"/>
    <w:rsid w:val="004959E2"/>
    <w:rsid w:val="00497DF9"/>
    <w:rsid w:val="004C024B"/>
    <w:rsid w:val="004C1E63"/>
    <w:rsid w:val="004E3381"/>
    <w:rsid w:val="004F15E7"/>
    <w:rsid w:val="00500EA5"/>
    <w:rsid w:val="0050452B"/>
    <w:rsid w:val="005065BE"/>
    <w:rsid w:val="00513B9C"/>
    <w:rsid w:val="005262D1"/>
    <w:rsid w:val="00533C49"/>
    <w:rsid w:val="0053536C"/>
    <w:rsid w:val="005357FC"/>
    <w:rsid w:val="00537E92"/>
    <w:rsid w:val="00550333"/>
    <w:rsid w:val="00553D85"/>
    <w:rsid w:val="005627F2"/>
    <w:rsid w:val="005677A9"/>
    <w:rsid w:val="0057047D"/>
    <w:rsid w:val="005716EE"/>
    <w:rsid w:val="0058273B"/>
    <w:rsid w:val="00583F56"/>
    <w:rsid w:val="005920C9"/>
    <w:rsid w:val="00597CCF"/>
    <w:rsid w:val="005A6090"/>
    <w:rsid w:val="005B5D62"/>
    <w:rsid w:val="005C103C"/>
    <w:rsid w:val="005F5845"/>
    <w:rsid w:val="005F65E9"/>
    <w:rsid w:val="005F78F2"/>
    <w:rsid w:val="00603D65"/>
    <w:rsid w:val="00607E93"/>
    <w:rsid w:val="00616DFC"/>
    <w:rsid w:val="006470F6"/>
    <w:rsid w:val="00651481"/>
    <w:rsid w:val="00657670"/>
    <w:rsid w:val="00661F52"/>
    <w:rsid w:val="0069482D"/>
    <w:rsid w:val="006B6736"/>
    <w:rsid w:val="006B6DE7"/>
    <w:rsid w:val="006D520A"/>
    <w:rsid w:val="006E1AAD"/>
    <w:rsid w:val="006F1171"/>
    <w:rsid w:val="006F5DA2"/>
    <w:rsid w:val="006F64AC"/>
    <w:rsid w:val="00703D48"/>
    <w:rsid w:val="007071EA"/>
    <w:rsid w:val="00716FC3"/>
    <w:rsid w:val="00722029"/>
    <w:rsid w:val="00723A29"/>
    <w:rsid w:val="00733299"/>
    <w:rsid w:val="00740BDC"/>
    <w:rsid w:val="00741A77"/>
    <w:rsid w:val="00764538"/>
    <w:rsid w:val="00764E5B"/>
    <w:rsid w:val="00765FD4"/>
    <w:rsid w:val="0077282C"/>
    <w:rsid w:val="00772CE3"/>
    <w:rsid w:val="00775F70"/>
    <w:rsid w:val="00783017"/>
    <w:rsid w:val="00784211"/>
    <w:rsid w:val="007865AC"/>
    <w:rsid w:val="0079149B"/>
    <w:rsid w:val="007959A8"/>
    <w:rsid w:val="007A6C4C"/>
    <w:rsid w:val="007C5C04"/>
    <w:rsid w:val="0080491C"/>
    <w:rsid w:val="00806611"/>
    <w:rsid w:val="008163DC"/>
    <w:rsid w:val="00817F70"/>
    <w:rsid w:val="00824CE9"/>
    <w:rsid w:val="0083620D"/>
    <w:rsid w:val="008431DE"/>
    <w:rsid w:val="00847849"/>
    <w:rsid w:val="008532CF"/>
    <w:rsid w:val="00864578"/>
    <w:rsid w:val="0087260F"/>
    <w:rsid w:val="00876BAE"/>
    <w:rsid w:val="00880FA4"/>
    <w:rsid w:val="00882711"/>
    <w:rsid w:val="008859E2"/>
    <w:rsid w:val="008B067B"/>
    <w:rsid w:val="008B3B64"/>
    <w:rsid w:val="008C2199"/>
    <w:rsid w:val="008C6AC8"/>
    <w:rsid w:val="008D6BE0"/>
    <w:rsid w:val="008E37A6"/>
    <w:rsid w:val="008E3BDF"/>
    <w:rsid w:val="008F01A4"/>
    <w:rsid w:val="008F75B3"/>
    <w:rsid w:val="00911A97"/>
    <w:rsid w:val="009144EE"/>
    <w:rsid w:val="0091475F"/>
    <w:rsid w:val="00914814"/>
    <w:rsid w:val="00924DC4"/>
    <w:rsid w:val="009276F9"/>
    <w:rsid w:val="00947CF0"/>
    <w:rsid w:val="00967F45"/>
    <w:rsid w:val="009918F3"/>
    <w:rsid w:val="009A1433"/>
    <w:rsid w:val="009D13C8"/>
    <w:rsid w:val="009E3368"/>
    <w:rsid w:val="009F5058"/>
    <w:rsid w:val="00A015D5"/>
    <w:rsid w:val="00A01F96"/>
    <w:rsid w:val="00A247EF"/>
    <w:rsid w:val="00A40924"/>
    <w:rsid w:val="00A51EA0"/>
    <w:rsid w:val="00A6367C"/>
    <w:rsid w:val="00A655F4"/>
    <w:rsid w:val="00A65ABB"/>
    <w:rsid w:val="00A65EA8"/>
    <w:rsid w:val="00A84083"/>
    <w:rsid w:val="00A8440F"/>
    <w:rsid w:val="00A941DE"/>
    <w:rsid w:val="00AB78BF"/>
    <w:rsid w:val="00AC1F32"/>
    <w:rsid w:val="00AC2428"/>
    <w:rsid w:val="00AD6E20"/>
    <w:rsid w:val="00AE7990"/>
    <w:rsid w:val="00AF66EB"/>
    <w:rsid w:val="00B037CE"/>
    <w:rsid w:val="00B21C8A"/>
    <w:rsid w:val="00B3258F"/>
    <w:rsid w:val="00B32D50"/>
    <w:rsid w:val="00B347E0"/>
    <w:rsid w:val="00B411FD"/>
    <w:rsid w:val="00B41696"/>
    <w:rsid w:val="00B43ED9"/>
    <w:rsid w:val="00B4435C"/>
    <w:rsid w:val="00B50F74"/>
    <w:rsid w:val="00B53DD6"/>
    <w:rsid w:val="00B8790B"/>
    <w:rsid w:val="00B93F95"/>
    <w:rsid w:val="00B95F9C"/>
    <w:rsid w:val="00BC7E4E"/>
    <w:rsid w:val="00BD0987"/>
    <w:rsid w:val="00BD39F5"/>
    <w:rsid w:val="00BE4319"/>
    <w:rsid w:val="00BF698A"/>
    <w:rsid w:val="00C005F0"/>
    <w:rsid w:val="00C42A9D"/>
    <w:rsid w:val="00C50B6C"/>
    <w:rsid w:val="00C65BD2"/>
    <w:rsid w:val="00C8159C"/>
    <w:rsid w:val="00C9274D"/>
    <w:rsid w:val="00C92A23"/>
    <w:rsid w:val="00CA2FAF"/>
    <w:rsid w:val="00CB5D14"/>
    <w:rsid w:val="00CC0115"/>
    <w:rsid w:val="00CE5DAA"/>
    <w:rsid w:val="00CF4E11"/>
    <w:rsid w:val="00D02C39"/>
    <w:rsid w:val="00D05BC0"/>
    <w:rsid w:val="00D14780"/>
    <w:rsid w:val="00D16BD8"/>
    <w:rsid w:val="00D32220"/>
    <w:rsid w:val="00D45CFA"/>
    <w:rsid w:val="00D603DB"/>
    <w:rsid w:val="00D63479"/>
    <w:rsid w:val="00D66E48"/>
    <w:rsid w:val="00D71C64"/>
    <w:rsid w:val="00D808AA"/>
    <w:rsid w:val="00DA5663"/>
    <w:rsid w:val="00DD47DE"/>
    <w:rsid w:val="00DD675F"/>
    <w:rsid w:val="00DE4EDB"/>
    <w:rsid w:val="00DE725C"/>
    <w:rsid w:val="00DF7EE4"/>
    <w:rsid w:val="00E06C49"/>
    <w:rsid w:val="00E07CBF"/>
    <w:rsid w:val="00E24F34"/>
    <w:rsid w:val="00E2556F"/>
    <w:rsid w:val="00E56243"/>
    <w:rsid w:val="00E710FB"/>
    <w:rsid w:val="00E72C80"/>
    <w:rsid w:val="00E756DF"/>
    <w:rsid w:val="00EC037D"/>
    <w:rsid w:val="00EF099E"/>
    <w:rsid w:val="00F02147"/>
    <w:rsid w:val="00F063D5"/>
    <w:rsid w:val="00F123C8"/>
    <w:rsid w:val="00F15206"/>
    <w:rsid w:val="00F436F2"/>
    <w:rsid w:val="00F545A7"/>
    <w:rsid w:val="00F55328"/>
    <w:rsid w:val="00F72FDD"/>
    <w:rsid w:val="00F77FD1"/>
    <w:rsid w:val="00F81AC7"/>
    <w:rsid w:val="00F826C1"/>
    <w:rsid w:val="00F9491B"/>
    <w:rsid w:val="00FA0C0D"/>
    <w:rsid w:val="00FA273F"/>
    <w:rsid w:val="00FB13BE"/>
    <w:rsid w:val="00FC2428"/>
    <w:rsid w:val="00FC7497"/>
    <w:rsid w:val="00FD3E5E"/>
    <w:rsid w:val="00FD6985"/>
    <w:rsid w:val="00FE3124"/>
    <w:rsid w:val="00FE45FE"/>
    <w:rsid w:val="00FF74AB"/>
  </w:rsids>
  <m:mathPr>
    <m:mathFont m:val="Cambria Math"/>
    <m:brkBin m:val="before"/>
    <m:brkBinSub m:val="--"/>
    <m:smallFrac m:val="0"/>
    <m:dispDef/>
    <m:lMargin m:val="0"/>
    <m:rMargin m:val="0"/>
    <m:defJc m:val="centerGroup"/>
    <m:wrapIndent m:val="1440"/>
    <m:intLim m:val="subSup"/>
    <m:naryLim m:val="undOvr"/>
  </m:mathPr>
  <w:themeFontLang w:val="fr-FR"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E8D4259"/>
  <w15:docId w15:val="{8A1ED248-64B3-4BB5-8EE5-3A8C802B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spacing w:before="240"/>
      <w:jc w:val="center"/>
      <w:outlineLvl w:val="0"/>
    </w:pPr>
    <w:rPr>
      <w:rFonts w:cs="Arial"/>
      <w:bCs/>
      <w:caps/>
      <w:kern w:val="2"/>
    </w:rPr>
  </w:style>
  <w:style w:type="paragraph" w:styleId="Heading2">
    <w:name w:val="heading 2"/>
    <w:basedOn w:val="Normal"/>
    <w:next w:val="Normal"/>
    <w:qFormat/>
    <w:pPr>
      <w:keepNext/>
      <w:numPr>
        <w:ilvl w:val="1"/>
        <w:numId w:val="1"/>
      </w:numPr>
      <w:spacing w:before="240"/>
      <w:jc w:val="center"/>
      <w:outlineLvl w:val="1"/>
    </w:pPr>
    <w:rPr>
      <w:bCs/>
      <w:iCs/>
      <w:smallCaps/>
    </w:rPr>
  </w:style>
  <w:style w:type="paragraph" w:styleId="Heading3">
    <w:name w:val="heading 3"/>
    <w:basedOn w:val="Normal"/>
    <w:next w:val="Normal"/>
    <w:qFormat/>
    <w:pPr>
      <w:keepNext/>
      <w:numPr>
        <w:ilvl w:val="2"/>
        <w:numId w:val="1"/>
      </w:numPr>
      <w:spacing w:before="120"/>
      <w:jc w:val="cente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sz w:val="22"/>
    </w:rPr>
  </w:style>
  <w:style w:type="character" w:customStyle="1" w:styleId="WW8Num2z2">
    <w:name w:val="WW8Num2z2"/>
    <w:rPr>
      <w:rFonts w:ascii="Wingdings" w:hAnsi="Wingdings" w:cs="Wingdings" w:hint="default"/>
      <w:sz w:val="20"/>
    </w:rPr>
  </w:style>
  <w:style w:type="character" w:customStyle="1" w:styleId="WW8Num3z0">
    <w:name w:val="WW8Num3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Times New Roman" w:eastAsia="Times New Roman" w:hAnsi="Times New Roman"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Symbol" w:hAnsi="Symbol" w:cs="Symbol"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sz w:val="20"/>
    </w:rPr>
  </w:style>
  <w:style w:type="character" w:customStyle="1" w:styleId="WW8Num7z1">
    <w:name w:val="WW8Num7z1"/>
    <w:rPr>
      <w:rFonts w:ascii="Wingdings" w:eastAsia="Times New Roman" w:hAnsi="Wingdings" w:cs="Times New Roman" w:hint="default"/>
    </w:rPr>
  </w:style>
  <w:style w:type="character" w:customStyle="1" w:styleId="WW8Num7z2">
    <w:name w:val="WW8Num7z2"/>
    <w:rPr>
      <w:rFonts w:ascii="Wingdings" w:hAnsi="Wingdings" w:cs="Wingdings" w:hint="default"/>
      <w:sz w:val="20"/>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Times New Roman" w:eastAsia="Times New Roman" w:hAnsi="Times New Roman" w:cs="Times New Roman"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Policepardfaut3">
    <w:name w:val="Police par défaut3"/>
  </w:style>
  <w:style w:type="character" w:customStyle="1" w:styleId="Policepardfaut2">
    <w:name w:val="Police par défaut2"/>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Policepardfaut1">
    <w:name w:val="Police par défaut1"/>
  </w:style>
  <w:style w:type="character" w:customStyle="1" w:styleId="SNTimbreCar">
    <w:name w:val="SNTimbre Car"/>
    <w:rPr>
      <w:rFonts w:eastAsia="Lucida Sans Unicode"/>
      <w:sz w:val="24"/>
      <w:szCs w:val="24"/>
      <w:lang w:val="sl-SI" w:bidi="ar-SA"/>
    </w:rPr>
  </w:style>
  <w:style w:type="character" w:customStyle="1" w:styleId="SNDateCar">
    <w:name w:val="SNDate Car"/>
    <w:rPr>
      <w:sz w:val="24"/>
      <w:szCs w:val="24"/>
      <w:lang w:val="sl-SI" w:bidi="ar-SA"/>
    </w:rPr>
  </w:style>
  <w:style w:type="character" w:customStyle="1" w:styleId="SNArticleCar">
    <w:name w:val="SNArticle Car"/>
    <w:rPr>
      <w:b/>
      <w:sz w:val="24"/>
      <w:szCs w:val="24"/>
      <w:lang w:val="sl-SI" w:bidi="ar-SA"/>
    </w:rPr>
  </w:style>
  <w:style w:type="character" w:customStyle="1" w:styleId="SNenProjet">
    <w:name w:val="SNenProjet"/>
    <w:basedOn w:val="Policepardfaut1"/>
  </w:style>
  <w:style w:type="character" w:styleId="Hyperlink">
    <w:name w:val="Hyperlink"/>
    <w:rPr>
      <w:color w:val="000080"/>
      <w:u w:val="single"/>
    </w:rPr>
  </w:style>
  <w:style w:type="character" w:customStyle="1" w:styleId="Marquedecommentaire1">
    <w:name w:val="Marque de commentaire1"/>
    <w:rPr>
      <w:sz w:val="16"/>
      <w:szCs w:val="16"/>
    </w:rPr>
  </w:style>
  <w:style w:type="character" w:customStyle="1" w:styleId="CommentaireCar">
    <w:name w:val="Commentaire Car"/>
    <w:uiPriority w:val="99"/>
    <w:rPr>
      <w:lang w:eastAsia="zh-CN"/>
    </w:rPr>
  </w:style>
  <w:style w:type="character" w:customStyle="1" w:styleId="ObjetducommentaireCar">
    <w:name w:val="Objet du commentaire Car"/>
    <w:rPr>
      <w:b/>
      <w:bCs/>
      <w:lang w:eastAsia="zh-CN"/>
    </w:rPr>
  </w:style>
  <w:style w:type="character" w:customStyle="1" w:styleId="Marquedecommentaire2">
    <w:name w:val="Marque de commentaire2"/>
    <w:rPr>
      <w:sz w:val="16"/>
      <w:szCs w:val="16"/>
    </w:rPr>
  </w:style>
  <w:style w:type="character" w:customStyle="1" w:styleId="CommentaireCar1">
    <w:name w:val="Commentaire Car1"/>
    <w:uiPriority w:val="99"/>
    <w:rPr>
      <w:lang w:eastAsia="zh-CN"/>
    </w:rPr>
  </w:style>
  <w:style w:type="paragraph" w:customStyle="1" w:styleId="Titre3">
    <w:name w:val="Titre3"/>
    <w:basedOn w:val="Normal"/>
    <w:next w:val="BodyText"/>
    <w:pPr>
      <w:keepNext/>
      <w:spacing w:before="240" w:after="120"/>
    </w:pPr>
    <w:rPr>
      <w:rFonts w:ascii="Liberation Sans" w:eastAsia="Microsoft YaHei" w:hAnsi="Liberation Sans" w:cs="Arial Unicode MS"/>
      <w:sz w:val="28"/>
      <w:szCs w:val="28"/>
    </w:rPr>
  </w:style>
  <w:style w:type="paragraph" w:styleId="BodyText">
    <w:name w:val="Body Text"/>
    <w:basedOn w:val="Normal"/>
    <w:pPr>
      <w:spacing w:after="120"/>
      <w:jc w:val="both"/>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Titre2">
    <w:name w:val="Titre2"/>
    <w:basedOn w:val="Normal"/>
    <w:next w:val="BodyText"/>
    <w:pPr>
      <w:keepNext/>
      <w:spacing w:before="240" w:after="120"/>
    </w:pPr>
    <w:rPr>
      <w:rFonts w:ascii="Liberation Sans" w:eastAsia="Microsoft YaHei" w:hAnsi="Liberation Sans" w:cs="Arial"/>
      <w:sz w:val="28"/>
      <w:szCs w:val="28"/>
    </w:rPr>
  </w:style>
  <w:style w:type="paragraph" w:customStyle="1" w:styleId="Titre1">
    <w:name w:val="Titre1"/>
    <w:basedOn w:val="Normal"/>
    <w:next w:val="BodyText"/>
    <w:pPr>
      <w:keepNext/>
      <w:spacing w:before="240" w:after="120"/>
    </w:pPr>
    <w:rPr>
      <w:rFonts w:ascii="Liberation Sans" w:eastAsia="Microsoft YaHei" w:hAnsi="Liberation Sans" w:cs="Arial"/>
      <w:sz w:val="28"/>
      <w:szCs w:val="28"/>
    </w:rPr>
  </w:style>
  <w:style w:type="paragraph" w:customStyle="1" w:styleId="SNREPUBLIQUE">
    <w:name w:val="SNREPUBLIQUE"/>
    <w:basedOn w:val="Normal"/>
    <w:pPr>
      <w:jc w:val="center"/>
    </w:pPr>
    <w:rPr>
      <w:b/>
      <w:bCs/>
      <w:szCs w:val="20"/>
    </w:rPr>
  </w:style>
  <w:style w:type="paragraph" w:customStyle="1" w:styleId="puce1">
    <w:name w:val="puce1"/>
    <w:basedOn w:val="Normal"/>
    <w:pPr>
      <w:widowControl w:val="0"/>
      <w:tabs>
        <w:tab w:val="left" w:pos="1429"/>
      </w:tabs>
      <w:spacing w:before="240"/>
      <w:ind w:left="1429" w:hanging="360"/>
    </w:pPr>
    <w:rPr>
      <w:rFonts w:eastAsia="Lucida Sans Unicode"/>
    </w:rPr>
  </w:style>
  <w:style w:type="paragraph" w:customStyle="1" w:styleId="puce2">
    <w:name w:val="puce2"/>
    <w:basedOn w:val="Normal"/>
    <w:pPr>
      <w:widowControl w:val="0"/>
      <w:tabs>
        <w:tab w:val="left" w:pos="2149"/>
      </w:tabs>
      <w:spacing w:before="240"/>
      <w:ind w:left="2149" w:hanging="360"/>
    </w:pPr>
    <w:rPr>
      <w:rFonts w:eastAsia="Lucida Sans Unicode"/>
    </w:rPr>
  </w:style>
  <w:style w:type="paragraph" w:customStyle="1" w:styleId="puce3">
    <w:name w:val="puce3"/>
    <w:basedOn w:val="Normal"/>
    <w:pPr>
      <w:widowControl w:val="0"/>
      <w:tabs>
        <w:tab w:val="left" w:pos="2869"/>
      </w:tabs>
      <w:spacing w:before="240"/>
      <w:ind w:left="2869" w:hanging="360"/>
    </w:pPr>
    <w:rPr>
      <w:rFonts w:eastAsia="Lucida Sans Unicode"/>
    </w:rPr>
  </w:style>
  <w:style w:type="paragraph" w:customStyle="1" w:styleId="num1">
    <w:name w:val="num1"/>
    <w:basedOn w:val="Normal"/>
    <w:pPr>
      <w:widowControl w:val="0"/>
      <w:tabs>
        <w:tab w:val="left" w:pos="1429"/>
      </w:tabs>
      <w:spacing w:before="240"/>
      <w:ind w:left="1429" w:hanging="360"/>
    </w:pPr>
    <w:rPr>
      <w:rFonts w:eastAsia="Lucida Sans Unicode"/>
    </w:rPr>
  </w:style>
  <w:style w:type="paragraph" w:customStyle="1" w:styleId="num2">
    <w:name w:val="num2"/>
    <w:basedOn w:val="Normal"/>
    <w:pPr>
      <w:widowControl w:val="0"/>
      <w:tabs>
        <w:tab w:val="left" w:pos="2149"/>
      </w:tabs>
      <w:spacing w:before="240"/>
      <w:ind w:left="2149" w:hanging="360"/>
    </w:pPr>
    <w:rPr>
      <w:rFonts w:eastAsia="Lucida Sans Unicode"/>
    </w:rPr>
  </w:style>
  <w:style w:type="paragraph" w:customStyle="1" w:styleId="num3">
    <w:name w:val="num3"/>
    <w:basedOn w:val="Normal"/>
    <w:pPr>
      <w:widowControl w:val="0"/>
      <w:tabs>
        <w:tab w:val="left" w:pos="2869"/>
      </w:tabs>
      <w:spacing w:before="240"/>
      <w:ind w:left="2869" w:hanging="180"/>
    </w:pPr>
    <w:rPr>
      <w:rFonts w:eastAsia="Lucida Sans Unicode"/>
    </w:rPr>
  </w:style>
  <w:style w:type="paragraph" w:customStyle="1" w:styleId="SNConsultation">
    <w:name w:val="SNConsultation"/>
    <w:basedOn w:val="Normal"/>
    <w:pPr>
      <w:widowControl w:val="0"/>
      <w:spacing w:before="120" w:after="120"/>
      <w:ind w:firstLine="709"/>
      <w:jc w:val="both"/>
    </w:pPr>
    <w:rPr>
      <w:rFonts w:eastAsia="Lucida Sans Unicode"/>
    </w:rPr>
  </w:style>
  <w:style w:type="paragraph" w:customStyle="1" w:styleId="SNNature">
    <w:name w:val="SNNature"/>
    <w:basedOn w:val="Normal"/>
    <w:next w:val="SNtitre"/>
    <w:pPr>
      <w:widowControl w:val="0"/>
      <w:suppressLineNumbers/>
      <w:spacing w:before="720" w:after="120"/>
      <w:jc w:val="center"/>
    </w:pPr>
    <w:rPr>
      <w:rFonts w:eastAsia="Lucida Sans Unicode"/>
      <w:b/>
      <w:bCs/>
    </w:rPr>
  </w:style>
  <w:style w:type="paragraph" w:customStyle="1" w:styleId="SNtitre">
    <w:name w:val="SNtitre"/>
    <w:basedOn w:val="Normal"/>
    <w:next w:val="SNNORCentr"/>
    <w:pPr>
      <w:widowControl w:val="0"/>
      <w:suppressLineNumbers/>
      <w:spacing w:after="360"/>
      <w:jc w:val="center"/>
    </w:pPr>
    <w:rPr>
      <w:rFonts w:eastAsia="Lucida Sans Unicode"/>
      <w:b/>
    </w:rPr>
  </w:style>
  <w:style w:type="paragraph" w:customStyle="1" w:styleId="SNNORCentr">
    <w:name w:val="SNNOR+Centré"/>
    <w:next w:val="SNAutorit"/>
    <w:pPr>
      <w:suppressAutoHyphens/>
      <w:jc w:val="center"/>
    </w:pPr>
    <w:rPr>
      <w:bCs/>
      <w:sz w:val="24"/>
      <w:lang w:eastAsia="zh-CN"/>
    </w:rPr>
  </w:style>
  <w:style w:type="paragraph" w:customStyle="1" w:styleId="SNAutorit">
    <w:name w:val="SNAutorité"/>
    <w:basedOn w:val="Normal"/>
    <w:pPr>
      <w:spacing w:before="720" w:after="240"/>
      <w:ind w:firstLine="720"/>
    </w:pPr>
    <w:rPr>
      <w:b/>
    </w:rPr>
  </w:style>
  <w:style w:type="paragraph" w:customStyle="1" w:styleId="SNSignatureDroite">
    <w:name w:val="SNSignatureDroite"/>
    <w:basedOn w:val="Normal"/>
    <w:next w:val="SNSignatureprnomnomDroite"/>
    <w:pPr>
      <w:spacing w:before="120" w:after="1680"/>
      <w:ind w:left="5040"/>
      <w:jc w:val="right"/>
    </w:pPr>
    <w:rPr>
      <w:color w:val="000000"/>
    </w:rPr>
  </w:style>
  <w:style w:type="paragraph" w:customStyle="1" w:styleId="SNSignatureprnomnomDroite">
    <w:name w:val="SNSignature prénom+nom Droite"/>
    <w:basedOn w:val="SNSignatureDroite"/>
    <w:next w:val="SNSignatureGauche"/>
    <w:pPr>
      <w:spacing w:after="120"/>
      <w:ind w:left="5041"/>
    </w:pPr>
  </w:style>
  <w:style w:type="paragraph" w:customStyle="1" w:styleId="SNSignatureGauche">
    <w:name w:val="SNSignatureGauche"/>
    <w:basedOn w:val="Normal"/>
    <w:next w:val="SNSignatureprnomnomGauche"/>
    <w:pPr>
      <w:spacing w:before="120" w:after="1680"/>
      <w:ind w:left="720" w:right="4494"/>
    </w:pPr>
  </w:style>
  <w:style w:type="paragraph" w:customStyle="1" w:styleId="SNSignatureprnomnomGauche">
    <w:name w:val="SNSignature prénom+nom Gauche"/>
    <w:basedOn w:val="SNSignatureGauche"/>
    <w:next w:val="SNSignatureDroite"/>
    <w:pPr>
      <w:spacing w:after="120"/>
    </w:pPr>
    <w:rPr>
      <w:color w:val="000000"/>
    </w:rPr>
  </w:style>
  <w:style w:type="paragraph" w:customStyle="1" w:styleId="SNTimbre">
    <w:name w:val="SNTimbre"/>
    <w:basedOn w:val="Normal"/>
    <w:pPr>
      <w:widowControl w:val="0"/>
      <w:snapToGrid w:val="0"/>
      <w:spacing w:before="120"/>
      <w:jc w:val="center"/>
    </w:pPr>
    <w:rPr>
      <w:rFonts w:eastAsia="Lucida Sans Unicode"/>
    </w:rPr>
  </w:style>
  <w:style w:type="paragraph" w:customStyle="1" w:styleId="SNRapport">
    <w:name w:val="SNRapport"/>
    <w:basedOn w:val="Normal"/>
    <w:pPr>
      <w:spacing w:before="240" w:after="120"/>
      <w:ind w:firstLine="720"/>
    </w:pPr>
  </w:style>
  <w:style w:type="paragraph" w:customStyle="1" w:styleId="SNVisa">
    <w:name w:val="SNVisa"/>
    <w:basedOn w:val="Normal"/>
    <w:pPr>
      <w:spacing w:before="120" w:after="120"/>
      <w:ind w:firstLine="720"/>
    </w:pPr>
  </w:style>
  <w:style w:type="paragraph" w:customStyle="1" w:styleId="SNDate">
    <w:name w:val="SNDate"/>
    <w:basedOn w:val="Normal"/>
    <w:next w:val="SNContreseing"/>
    <w:pPr>
      <w:spacing w:before="480" w:after="2760"/>
      <w:ind w:firstLine="720"/>
    </w:pPr>
  </w:style>
  <w:style w:type="paragraph" w:customStyle="1" w:styleId="SNContreseing">
    <w:name w:val="SNContreseing"/>
    <w:basedOn w:val="Normal"/>
    <w:next w:val="SNSignatureGauche"/>
    <w:pPr>
      <w:spacing w:before="480"/>
      <w:ind w:firstLine="720"/>
    </w:pPr>
  </w:style>
  <w:style w:type="paragraph" w:customStyle="1" w:styleId="SNActe">
    <w:name w:val="SNActe"/>
    <w:basedOn w:val="Normal"/>
    <w:pPr>
      <w:spacing w:before="480" w:after="360"/>
      <w:jc w:val="center"/>
    </w:pPr>
    <w:rPr>
      <w:b/>
    </w:rPr>
  </w:style>
  <w:style w:type="paragraph" w:customStyle="1" w:styleId="SNArticle">
    <w:name w:val="SNArticle"/>
    <w:basedOn w:val="Normal"/>
    <w:next w:val="BodyText"/>
    <w:pPr>
      <w:spacing w:before="240" w:after="240"/>
      <w:jc w:val="center"/>
    </w:pPr>
    <w:rPr>
      <w:b/>
    </w:rPr>
  </w:style>
  <w:style w:type="paragraph" w:customStyle="1" w:styleId="SNConsidrant">
    <w:name w:val="SNConsidérant"/>
    <w:basedOn w:val="Normal"/>
    <w:pPr>
      <w:ind w:firstLine="720"/>
    </w:pPr>
  </w:style>
  <w:style w:type="paragraph" w:customStyle="1" w:styleId="SNConsultationCE">
    <w:name w:val="SNConsultationCE"/>
    <w:basedOn w:val="SNConsultation"/>
  </w:style>
  <w:style w:type="paragraph" w:customStyle="1" w:styleId="SNConsultationCM">
    <w:name w:val="SNConsultationCM"/>
    <w:basedOn w:val="SNConsultation"/>
  </w:style>
  <w:style w:type="paragraph" w:customStyle="1" w:styleId="SNDirection">
    <w:name w:val="SNDirection"/>
    <w:basedOn w:val="Normal"/>
    <w:pPr>
      <w:spacing w:before="720"/>
      <w:jc w:val="center"/>
    </w:pPr>
    <w:rPr>
      <w:b/>
    </w:rPr>
  </w:style>
  <w:style w:type="paragraph" w:customStyle="1" w:styleId="SNListePrincipale">
    <w:name w:val="SNListePrincipale"/>
    <w:basedOn w:val="Normal"/>
  </w:style>
  <w:style w:type="paragraph" w:customStyle="1" w:styleId="SNIntitul">
    <w:name w:val="SNIntitulé"/>
    <w:basedOn w:val="Normal"/>
    <w:pPr>
      <w:jc w:val="center"/>
    </w:pPr>
  </w:style>
  <w:style w:type="paragraph" w:customStyle="1" w:styleId="SNTitreRapport">
    <w:name w:val="SNTitreRapport"/>
    <w:basedOn w:val="SNActe"/>
  </w:style>
  <w:style w:type="paragraph" w:customStyle="1" w:styleId="SNExcution">
    <w:name w:val="SNExécution"/>
    <w:basedOn w:val="Normal"/>
  </w:style>
  <w:style w:type="paragraph" w:customStyle="1" w:styleId="SNAdoption">
    <w:name w:val="SNAdoption"/>
    <w:basedOn w:val="Normal"/>
  </w:style>
  <w:style w:type="paragraph" w:customStyle="1" w:styleId="SNLibell">
    <w:name w:val="SNLibellé"/>
    <w:basedOn w:val="Normal"/>
  </w:style>
  <w:style w:type="paragraph" w:styleId="BalloonText">
    <w:name w:val="Balloon Text"/>
    <w:basedOn w:val="Normal"/>
    <w:rPr>
      <w:rFonts w:ascii="Tahoma" w:hAnsi="Tahoma" w:cs="Tahoma"/>
      <w:sz w:val="16"/>
      <w:szCs w:val="16"/>
    </w:rPr>
  </w:style>
  <w:style w:type="paragraph" w:customStyle="1" w:styleId="Titre1objet">
    <w:name w:val="Titre 1 objet"/>
    <w:basedOn w:val="Heading1"/>
    <w:pPr>
      <w:numPr>
        <w:numId w:val="0"/>
      </w:numPr>
      <w:spacing w:before="0" w:after="120"/>
    </w:pPr>
    <w:rPr>
      <w:b/>
    </w:rPr>
  </w:style>
  <w:style w:type="paragraph" w:customStyle="1" w:styleId="Titre2objet">
    <w:name w:val="Titre 2 objet"/>
    <w:basedOn w:val="Heading2"/>
    <w:next w:val="Normal"/>
    <w:pPr>
      <w:numPr>
        <w:ilvl w:val="0"/>
        <w:numId w:val="0"/>
      </w:numPr>
      <w:spacing w:before="0" w:after="120"/>
    </w:pPr>
    <w:rPr>
      <w:b/>
    </w:rPr>
  </w:style>
  <w:style w:type="paragraph" w:customStyle="1" w:styleId="titre3objet">
    <w:name w:val="titre 3 objet"/>
    <w:basedOn w:val="Heading3"/>
    <w:next w:val="Normal"/>
    <w:pPr>
      <w:numPr>
        <w:ilvl w:val="0"/>
        <w:numId w:val="0"/>
      </w:numPr>
      <w:spacing w:before="0" w:after="120"/>
    </w:pPr>
    <w:rPr>
      <w:b/>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SNSignature">
    <w:name w:val="SNSignature"/>
    <w:basedOn w:val="Normal"/>
    <w:pPr>
      <w:ind w:firstLine="720"/>
    </w:pPr>
  </w:style>
  <w:style w:type="paragraph" w:customStyle="1" w:styleId="SNSignaturePrincipale">
    <w:name w:val="SNSignaturePrincipale"/>
    <w:basedOn w:val="Normal"/>
    <w:next w:val="Normal"/>
    <w:pPr>
      <w:spacing w:before="480" w:after="480"/>
    </w:pPr>
  </w:style>
  <w:style w:type="paragraph" w:customStyle="1" w:styleId="Commentaire1">
    <w:name w:val="Commentaire1"/>
    <w:basedOn w:val="Normal"/>
    <w:rPr>
      <w:sz w:val="20"/>
      <w:szCs w:val="20"/>
    </w:rPr>
  </w:style>
  <w:style w:type="paragraph" w:styleId="CommentSubject">
    <w:name w:val="annotation subject"/>
    <w:basedOn w:val="Commentaire1"/>
    <w:next w:val="Commentaire1"/>
    <w:rPr>
      <w:b/>
      <w:bCs/>
    </w:rPr>
  </w:style>
  <w:style w:type="paragraph" w:customStyle="1" w:styleId="Commentaire2">
    <w:name w:val="Commentaire2"/>
    <w:basedOn w:val="Normal"/>
    <w:rPr>
      <w:sz w:val="20"/>
      <w:szCs w:val="20"/>
    </w:rPr>
  </w:style>
  <w:style w:type="paragraph" w:styleId="Revision">
    <w:name w:val="Revision"/>
    <w:hidden/>
    <w:uiPriority w:val="99"/>
    <w:semiHidden/>
    <w:rPr>
      <w:sz w:val="24"/>
      <w:szCs w:val="24"/>
      <w:lang w:eastAsia="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emiHidden/>
    <w:rPr>
      <w:lang w:eastAsia="zh-CN"/>
    </w:rPr>
  </w:style>
  <w:style w:type="character" w:customStyle="1" w:styleId="WW8Num12z3">
    <w:name w:val="WW8Num12z3"/>
    <w:rPr>
      <w:rFonts w:ascii="Symbol" w:hAnsi="Symbol" w:cs="Symbol"/>
    </w:rPr>
  </w:style>
  <w:style w:type="paragraph" w:styleId="Header">
    <w:name w:val="header"/>
    <w:basedOn w:val="Normal"/>
    <w:link w:val="HeaderChar"/>
    <w:uiPriority w:val="99"/>
    <w:unhideWhenUsed/>
    <w:rsid w:val="00847849"/>
    <w:pPr>
      <w:tabs>
        <w:tab w:val="center" w:pos="4536"/>
        <w:tab w:val="right" w:pos="9072"/>
      </w:tabs>
    </w:pPr>
  </w:style>
  <w:style w:type="character" w:customStyle="1" w:styleId="HeaderChar">
    <w:name w:val="Header Char"/>
    <w:basedOn w:val="DefaultParagraphFont"/>
    <w:link w:val="Header"/>
    <w:uiPriority w:val="99"/>
    <w:rsid w:val="00847849"/>
    <w:rPr>
      <w:sz w:val="24"/>
      <w:szCs w:val="24"/>
      <w:lang w:eastAsia="zh-CN"/>
    </w:rPr>
  </w:style>
  <w:style w:type="paragraph" w:styleId="Footer">
    <w:name w:val="footer"/>
    <w:basedOn w:val="Normal"/>
    <w:link w:val="FooterChar"/>
    <w:uiPriority w:val="99"/>
    <w:unhideWhenUsed/>
    <w:rsid w:val="00847849"/>
    <w:pPr>
      <w:tabs>
        <w:tab w:val="center" w:pos="4536"/>
        <w:tab w:val="right" w:pos="9072"/>
      </w:tabs>
    </w:pPr>
  </w:style>
  <w:style w:type="character" w:customStyle="1" w:styleId="FooterChar">
    <w:name w:val="Footer Char"/>
    <w:basedOn w:val="DefaultParagraphFont"/>
    <w:link w:val="Footer"/>
    <w:uiPriority w:val="99"/>
    <w:rsid w:val="00847849"/>
    <w:rPr>
      <w:sz w:val="24"/>
      <w:szCs w:val="24"/>
      <w:lang w:eastAsia="zh-CN"/>
    </w:rPr>
  </w:style>
  <w:style w:type="character" w:customStyle="1" w:styleId="print-title-summary">
    <w:name w:val="print-title-summary"/>
    <w:basedOn w:val="DefaultParagraphFont"/>
    <w:rsid w:val="009918F3"/>
  </w:style>
  <w:style w:type="paragraph" w:styleId="ListParagraph">
    <w:name w:val="List Paragraph"/>
    <w:basedOn w:val="Normal"/>
    <w:uiPriority w:val="34"/>
    <w:qFormat/>
    <w:rsid w:val="004C1E63"/>
    <w:pPr>
      <w:suppressAutoHyphens w:val="0"/>
      <w:spacing w:after="200" w:line="276" w:lineRule="auto"/>
      <w:ind w:left="720"/>
      <w:contextualSpacing/>
    </w:pPr>
    <w:rPr>
      <w:rFonts w:ascii="Calibri" w:eastAsia="Calibri" w:hAnsi="Calibri" w:cs="Calibri"/>
      <w:sz w:val="22"/>
      <w:szCs w:val="22"/>
      <w:lang w:eastAsia="fr-FR"/>
    </w:rPr>
  </w:style>
  <w:style w:type="paragraph" w:customStyle="1" w:styleId="Date1">
    <w:name w:val="Date1"/>
    <w:basedOn w:val="Normal"/>
    <w:rsid w:val="00154360"/>
    <w:pPr>
      <w:suppressAutoHyphens w:val="0"/>
      <w:spacing w:before="100" w:beforeAutospacing="1" w:after="100" w:afterAutospacing="1"/>
    </w:pPr>
    <w:rPr>
      <w:lang w:eastAsia="fr-FR"/>
    </w:rPr>
  </w:style>
  <w:style w:type="paragraph" w:styleId="NormalWeb">
    <w:name w:val="Normal (Web)"/>
    <w:basedOn w:val="Normal"/>
    <w:uiPriority w:val="99"/>
    <w:semiHidden/>
    <w:unhideWhenUsed/>
    <w:rsid w:val="00154360"/>
    <w:pPr>
      <w:suppressAutoHyphens w:val="0"/>
      <w:spacing w:before="100" w:beforeAutospacing="1" w:after="100" w:afterAutospacing="1"/>
    </w:pPr>
    <w:rPr>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881885">
      <w:bodyDiv w:val="1"/>
      <w:marLeft w:val="0"/>
      <w:marRight w:val="0"/>
      <w:marTop w:val="0"/>
      <w:marBottom w:val="0"/>
      <w:divBdr>
        <w:top w:val="none" w:sz="0" w:space="0" w:color="auto"/>
        <w:left w:val="none" w:sz="0" w:space="0" w:color="auto"/>
        <w:bottom w:val="none" w:sz="0" w:space="0" w:color="auto"/>
        <w:right w:val="none" w:sz="0" w:space="0" w:color="auto"/>
      </w:divBdr>
    </w:div>
    <w:div w:id="703486825">
      <w:bodyDiv w:val="1"/>
      <w:marLeft w:val="0"/>
      <w:marRight w:val="0"/>
      <w:marTop w:val="0"/>
      <w:marBottom w:val="0"/>
      <w:divBdr>
        <w:top w:val="none" w:sz="0" w:space="0" w:color="auto"/>
        <w:left w:val="none" w:sz="0" w:space="0" w:color="auto"/>
        <w:bottom w:val="none" w:sz="0" w:space="0" w:color="auto"/>
        <w:right w:val="none" w:sz="0" w:space="0" w:color="auto"/>
      </w:divBdr>
    </w:div>
    <w:div w:id="931427816">
      <w:bodyDiv w:val="1"/>
      <w:marLeft w:val="0"/>
      <w:marRight w:val="0"/>
      <w:marTop w:val="0"/>
      <w:marBottom w:val="0"/>
      <w:divBdr>
        <w:top w:val="none" w:sz="0" w:space="0" w:color="auto"/>
        <w:left w:val="none" w:sz="0" w:space="0" w:color="auto"/>
        <w:bottom w:val="none" w:sz="0" w:space="0" w:color="auto"/>
        <w:right w:val="none" w:sz="0" w:space="0" w:color="auto"/>
      </w:divBdr>
    </w:div>
    <w:div w:id="1128402633">
      <w:bodyDiv w:val="1"/>
      <w:marLeft w:val="0"/>
      <w:marRight w:val="0"/>
      <w:marTop w:val="0"/>
      <w:marBottom w:val="0"/>
      <w:divBdr>
        <w:top w:val="none" w:sz="0" w:space="0" w:color="auto"/>
        <w:left w:val="none" w:sz="0" w:space="0" w:color="auto"/>
        <w:bottom w:val="none" w:sz="0" w:space="0" w:color="auto"/>
        <w:right w:val="none" w:sz="0" w:space="0" w:color="auto"/>
      </w:divBdr>
    </w:div>
    <w:div w:id="1160997085">
      <w:bodyDiv w:val="1"/>
      <w:marLeft w:val="0"/>
      <w:marRight w:val="0"/>
      <w:marTop w:val="0"/>
      <w:marBottom w:val="0"/>
      <w:divBdr>
        <w:top w:val="none" w:sz="0" w:space="0" w:color="auto"/>
        <w:left w:val="none" w:sz="0" w:space="0" w:color="auto"/>
        <w:bottom w:val="none" w:sz="0" w:space="0" w:color="auto"/>
        <w:right w:val="none" w:sz="0" w:space="0" w:color="auto"/>
      </w:divBdr>
      <w:divsChild>
        <w:div w:id="193815163">
          <w:marLeft w:val="0"/>
          <w:marRight w:val="0"/>
          <w:marTop w:val="0"/>
          <w:marBottom w:val="0"/>
          <w:divBdr>
            <w:top w:val="none" w:sz="0" w:space="0" w:color="auto"/>
            <w:left w:val="none" w:sz="0" w:space="0" w:color="auto"/>
            <w:bottom w:val="none" w:sz="0" w:space="0" w:color="auto"/>
            <w:right w:val="none" w:sz="0" w:space="0" w:color="auto"/>
          </w:divBdr>
          <w:divsChild>
            <w:div w:id="37434685">
              <w:marLeft w:val="0"/>
              <w:marRight w:val="0"/>
              <w:marTop w:val="0"/>
              <w:marBottom w:val="0"/>
              <w:divBdr>
                <w:top w:val="none" w:sz="0" w:space="0" w:color="auto"/>
                <w:left w:val="none" w:sz="0" w:space="0" w:color="auto"/>
                <w:bottom w:val="none" w:sz="0" w:space="0" w:color="auto"/>
                <w:right w:val="none" w:sz="0" w:space="0" w:color="auto"/>
              </w:divBdr>
            </w:div>
          </w:divsChild>
        </w:div>
        <w:div w:id="138235604">
          <w:marLeft w:val="0"/>
          <w:marRight w:val="0"/>
          <w:marTop w:val="0"/>
          <w:marBottom w:val="0"/>
          <w:divBdr>
            <w:top w:val="none" w:sz="0" w:space="0" w:color="auto"/>
            <w:left w:val="none" w:sz="0" w:space="0" w:color="auto"/>
            <w:bottom w:val="none" w:sz="0" w:space="0" w:color="auto"/>
            <w:right w:val="none" w:sz="0" w:space="0" w:color="auto"/>
          </w:divBdr>
          <w:divsChild>
            <w:div w:id="1606884514">
              <w:marLeft w:val="0"/>
              <w:marRight w:val="0"/>
              <w:marTop w:val="0"/>
              <w:marBottom w:val="0"/>
              <w:divBdr>
                <w:top w:val="none" w:sz="0" w:space="0" w:color="auto"/>
                <w:left w:val="none" w:sz="0" w:space="0" w:color="auto"/>
                <w:bottom w:val="none" w:sz="0" w:space="0" w:color="auto"/>
                <w:right w:val="none" w:sz="0" w:space="0" w:color="auto"/>
              </w:divBdr>
            </w:div>
          </w:divsChild>
        </w:div>
        <w:div w:id="1840191435">
          <w:marLeft w:val="0"/>
          <w:marRight w:val="0"/>
          <w:marTop w:val="0"/>
          <w:marBottom w:val="0"/>
          <w:divBdr>
            <w:top w:val="none" w:sz="0" w:space="0" w:color="auto"/>
            <w:left w:val="none" w:sz="0" w:space="0" w:color="auto"/>
            <w:bottom w:val="none" w:sz="0" w:space="0" w:color="auto"/>
            <w:right w:val="none" w:sz="0" w:space="0" w:color="auto"/>
          </w:divBdr>
          <w:divsChild>
            <w:div w:id="453254262">
              <w:marLeft w:val="0"/>
              <w:marRight w:val="0"/>
              <w:marTop w:val="0"/>
              <w:marBottom w:val="0"/>
              <w:divBdr>
                <w:top w:val="none" w:sz="0" w:space="0" w:color="auto"/>
                <w:left w:val="none" w:sz="0" w:space="0" w:color="auto"/>
                <w:bottom w:val="none" w:sz="0" w:space="0" w:color="auto"/>
                <w:right w:val="none" w:sz="0" w:space="0" w:color="auto"/>
              </w:divBdr>
            </w:div>
          </w:divsChild>
        </w:div>
        <w:div w:id="499539545">
          <w:marLeft w:val="0"/>
          <w:marRight w:val="0"/>
          <w:marTop w:val="0"/>
          <w:marBottom w:val="0"/>
          <w:divBdr>
            <w:top w:val="none" w:sz="0" w:space="0" w:color="auto"/>
            <w:left w:val="none" w:sz="0" w:space="0" w:color="auto"/>
            <w:bottom w:val="none" w:sz="0" w:space="0" w:color="auto"/>
            <w:right w:val="none" w:sz="0" w:space="0" w:color="auto"/>
          </w:divBdr>
          <w:divsChild>
            <w:div w:id="1691763694">
              <w:marLeft w:val="0"/>
              <w:marRight w:val="0"/>
              <w:marTop w:val="0"/>
              <w:marBottom w:val="0"/>
              <w:divBdr>
                <w:top w:val="none" w:sz="0" w:space="0" w:color="auto"/>
                <w:left w:val="none" w:sz="0" w:space="0" w:color="auto"/>
                <w:bottom w:val="none" w:sz="0" w:space="0" w:color="auto"/>
                <w:right w:val="none" w:sz="0" w:space="0" w:color="auto"/>
              </w:divBdr>
            </w:div>
          </w:divsChild>
        </w:div>
        <w:div w:id="772550366">
          <w:marLeft w:val="0"/>
          <w:marRight w:val="0"/>
          <w:marTop w:val="0"/>
          <w:marBottom w:val="0"/>
          <w:divBdr>
            <w:top w:val="none" w:sz="0" w:space="0" w:color="auto"/>
            <w:left w:val="none" w:sz="0" w:space="0" w:color="auto"/>
            <w:bottom w:val="none" w:sz="0" w:space="0" w:color="auto"/>
            <w:right w:val="none" w:sz="0" w:space="0" w:color="auto"/>
          </w:divBdr>
          <w:divsChild>
            <w:div w:id="681006130">
              <w:marLeft w:val="0"/>
              <w:marRight w:val="0"/>
              <w:marTop w:val="0"/>
              <w:marBottom w:val="0"/>
              <w:divBdr>
                <w:top w:val="none" w:sz="0" w:space="0" w:color="auto"/>
                <w:left w:val="none" w:sz="0" w:space="0" w:color="auto"/>
                <w:bottom w:val="none" w:sz="0" w:space="0" w:color="auto"/>
                <w:right w:val="none" w:sz="0" w:space="0" w:color="auto"/>
              </w:divBdr>
            </w:div>
          </w:divsChild>
        </w:div>
        <w:div w:id="1376272221">
          <w:marLeft w:val="0"/>
          <w:marRight w:val="0"/>
          <w:marTop w:val="0"/>
          <w:marBottom w:val="0"/>
          <w:divBdr>
            <w:top w:val="none" w:sz="0" w:space="0" w:color="auto"/>
            <w:left w:val="none" w:sz="0" w:space="0" w:color="auto"/>
            <w:bottom w:val="none" w:sz="0" w:space="0" w:color="auto"/>
            <w:right w:val="none" w:sz="0" w:space="0" w:color="auto"/>
          </w:divBdr>
          <w:divsChild>
            <w:div w:id="775173102">
              <w:marLeft w:val="0"/>
              <w:marRight w:val="0"/>
              <w:marTop w:val="0"/>
              <w:marBottom w:val="0"/>
              <w:divBdr>
                <w:top w:val="none" w:sz="0" w:space="0" w:color="auto"/>
                <w:left w:val="none" w:sz="0" w:space="0" w:color="auto"/>
                <w:bottom w:val="none" w:sz="0" w:space="0" w:color="auto"/>
                <w:right w:val="none" w:sz="0" w:space="0" w:color="auto"/>
              </w:divBdr>
            </w:div>
          </w:divsChild>
        </w:div>
        <w:div w:id="828643560">
          <w:marLeft w:val="0"/>
          <w:marRight w:val="0"/>
          <w:marTop w:val="0"/>
          <w:marBottom w:val="0"/>
          <w:divBdr>
            <w:top w:val="none" w:sz="0" w:space="0" w:color="auto"/>
            <w:left w:val="none" w:sz="0" w:space="0" w:color="auto"/>
            <w:bottom w:val="none" w:sz="0" w:space="0" w:color="auto"/>
            <w:right w:val="none" w:sz="0" w:space="0" w:color="auto"/>
          </w:divBdr>
          <w:divsChild>
            <w:div w:id="1150903601">
              <w:marLeft w:val="0"/>
              <w:marRight w:val="0"/>
              <w:marTop w:val="0"/>
              <w:marBottom w:val="0"/>
              <w:divBdr>
                <w:top w:val="none" w:sz="0" w:space="0" w:color="auto"/>
                <w:left w:val="none" w:sz="0" w:space="0" w:color="auto"/>
                <w:bottom w:val="none" w:sz="0" w:space="0" w:color="auto"/>
                <w:right w:val="none" w:sz="0" w:space="0" w:color="auto"/>
              </w:divBdr>
            </w:div>
          </w:divsChild>
        </w:div>
        <w:div w:id="1081947175">
          <w:marLeft w:val="0"/>
          <w:marRight w:val="0"/>
          <w:marTop w:val="0"/>
          <w:marBottom w:val="0"/>
          <w:divBdr>
            <w:top w:val="none" w:sz="0" w:space="0" w:color="auto"/>
            <w:left w:val="none" w:sz="0" w:space="0" w:color="auto"/>
            <w:bottom w:val="none" w:sz="0" w:space="0" w:color="auto"/>
            <w:right w:val="none" w:sz="0" w:space="0" w:color="auto"/>
          </w:divBdr>
          <w:divsChild>
            <w:div w:id="840461615">
              <w:marLeft w:val="0"/>
              <w:marRight w:val="0"/>
              <w:marTop w:val="0"/>
              <w:marBottom w:val="0"/>
              <w:divBdr>
                <w:top w:val="none" w:sz="0" w:space="0" w:color="auto"/>
                <w:left w:val="none" w:sz="0" w:space="0" w:color="auto"/>
                <w:bottom w:val="none" w:sz="0" w:space="0" w:color="auto"/>
                <w:right w:val="none" w:sz="0" w:space="0" w:color="auto"/>
              </w:divBdr>
            </w:div>
          </w:divsChild>
        </w:div>
        <w:div w:id="1724018795">
          <w:marLeft w:val="0"/>
          <w:marRight w:val="0"/>
          <w:marTop w:val="0"/>
          <w:marBottom w:val="0"/>
          <w:divBdr>
            <w:top w:val="none" w:sz="0" w:space="0" w:color="auto"/>
            <w:left w:val="none" w:sz="0" w:space="0" w:color="auto"/>
            <w:bottom w:val="none" w:sz="0" w:space="0" w:color="auto"/>
            <w:right w:val="none" w:sz="0" w:space="0" w:color="auto"/>
          </w:divBdr>
          <w:divsChild>
            <w:div w:id="17144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81031">
      <w:bodyDiv w:val="1"/>
      <w:marLeft w:val="0"/>
      <w:marRight w:val="0"/>
      <w:marTop w:val="0"/>
      <w:marBottom w:val="0"/>
      <w:divBdr>
        <w:top w:val="none" w:sz="0" w:space="0" w:color="auto"/>
        <w:left w:val="none" w:sz="0" w:space="0" w:color="auto"/>
        <w:bottom w:val="none" w:sz="0" w:space="0" w:color="auto"/>
        <w:right w:val="none" w:sz="0" w:space="0" w:color="auto"/>
      </w:divBdr>
    </w:div>
    <w:div w:id="1619750549">
      <w:bodyDiv w:val="1"/>
      <w:marLeft w:val="0"/>
      <w:marRight w:val="0"/>
      <w:marTop w:val="0"/>
      <w:marBottom w:val="0"/>
      <w:divBdr>
        <w:top w:val="none" w:sz="0" w:space="0" w:color="auto"/>
        <w:left w:val="none" w:sz="0" w:space="0" w:color="auto"/>
        <w:bottom w:val="none" w:sz="0" w:space="0" w:color="auto"/>
        <w:right w:val="none" w:sz="0" w:space="0" w:color="auto"/>
      </w:divBdr>
    </w:div>
    <w:div w:id="1972592040">
      <w:bodyDiv w:val="1"/>
      <w:marLeft w:val="0"/>
      <w:marRight w:val="0"/>
      <w:marTop w:val="0"/>
      <w:marBottom w:val="0"/>
      <w:divBdr>
        <w:top w:val="none" w:sz="0" w:space="0" w:color="auto"/>
        <w:left w:val="none" w:sz="0" w:space="0" w:color="auto"/>
        <w:bottom w:val="none" w:sz="0" w:space="0" w:color="auto"/>
        <w:right w:val="none" w:sz="0" w:space="0" w:color="auto"/>
      </w:divBdr>
      <w:divsChild>
        <w:div w:id="678049393">
          <w:marLeft w:val="0"/>
          <w:marRight w:val="0"/>
          <w:marTop w:val="60"/>
          <w:marBottom w:val="0"/>
          <w:divBdr>
            <w:top w:val="none" w:sz="0" w:space="0" w:color="auto"/>
            <w:left w:val="none" w:sz="0" w:space="0" w:color="auto"/>
            <w:bottom w:val="none" w:sz="0" w:space="0" w:color="auto"/>
            <w:right w:val="none" w:sz="0" w:space="0" w:color="auto"/>
          </w:divBdr>
        </w:div>
        <w:div w:id="830025437">
          <w:marLeft w:val="0"/>
          <w:marRight w:val="0"/>
          <w:marTop w:val="60"/>
          <w:marBottom w:val="0"/>
          <w:divBdr>
            <w:top w:val="none" w:sz="0" w:space="0" w:color="auto"/>
            <w:left w:val="none" w:sz="0" w:space="0" w:color="auto"/>
            <w:bottom w:val="none" w:sz="0" w:space="0" w:color="auto"/>
            <w:right w:val="none" w:sz="0" w:space="0" w:color="auto"/>
          </w:divBdr>
        </w:div>
        <w:div w:id="2055762842">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odonata\SOLON\solon\Mod&#232;les_bis\sol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E6688-2063-4478-A954-AF0A88473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solon.dot</Template>
  <TotalTime>18</TotalTime>
  <Pages>1</Pages>
  <Words>4548</Words>
  <Characters>25925</Characters>
  <Application>Microsoft Office Word</Application>
  <DocSecurity>0</DocSecurity>
  <Lines>216</Lines>
  <Paragraphs>60</Paragraphs>
  <ScaleCrop>false</ScaleCrop>
  <HeadingPairs>
    <vt:vector size="2" baseType="variant">
      <vt:variant>
        <vt:lpstr>Titre</vt:lpstr>
      </vt:variant>
      <vt:variant>
        <vt:i4>1</vt:i4>
      </vt:variant>
    </vt:vector>
  </HeadingPairs>
  <TitlesOfParts>
    <vt:vector size="1" baseType="lpstr">
      <vt:lpstr>REPUBLIQUE FRANCAISE</vt:lpstr>
    </vt:vector>
  </TitlesOfParts>
  <Company>MI</Company>
  <LinksUpToDate>false</LinksUpToDate>
  <CharactersWithSpaces>30413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creator>SPM</dc:creator>
  <cp:lastModifiedBy>Ke, Tingting</cp:lastModifiedBy>
  <cp:revision>8</cp:revision>
  <cp:lastPrinted>2020-11-27T10:44:00Z</cp:lastPrinted>
  <dcterms:created xsi:type="dcterms:W3CDTF">2020-12-11T13:35:00Z</dcterms:created>
  <dcterms:modified xsi:type="dcterms:W3CDTF">2020-12-29T04:06:00Z</dcterms:modified>
</cp:coreProperties>
</file>