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71E35" w:rsidRPr="00A92569" w:rsidRDefault="00971E35" w:rsidP="00971E35">
      <w:pPr>
        <w:jc w:val="center"/>
        <w:rPr>
          <w:sz w:val="20"/>
          <w:rFonts w:ascii="Courier New" w:hAnsi="Courier New"/>
        </w:rPr>
      </w:pPr>
      <w:r>
        <w:rPr>
          <w:sz w:val="20"/>
          <w:rFonts w:ascii="Courier New" w:hAnsi="Courier New"/>
        </w:rPr>
        <w:t xml:space="preserve">1.</w:t>
      </w:r>
      <w:r>
        <w:rPr>
          <w:sz w:val="20"/>
          <w:rFonts w:ascii="Courier New" w:hAnsi="Courier New"/>
        </w:rPr>
        <w:t xml:space="preserve"> </w:t>
      </w:r>
      <w:r>
        <w:rPr>
          <w:sz w:val="20"/>
          <w:rFonts w:ascii="Courier New" w:hAnsi="Courier New"/>
        </w:rPr>
        <w:t xml:space="preserve">------IND- 2020 0791 F-- SK- ------ 20201221 --- --- PROJET</w:t>
      </w:r>
    </w:p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bookmarkEnd w:id="0"/>
          <w:p w:rsidR="00121B80" w:rsidRPr="006C397D" w:rsidRDefault="00121B80">
            <w:pPr>
              <w:pStyle w:val="SNREPUBLIQUE"/>
              <w:snapToGrid w:val="0"/>
            </w:pPr>
            <w:r>
              <w:t xml:space="preserve">FRANCÚZSKA REPUBLIKA</w:t>
            </w:r>
          </w:p>
        </w:tc>
      </w:tr>
      <w:tr w:rsidR="00D85F5D" w:rsidRPr="006C397D" w:rsidTr="00A73D1D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6C397D" w:rsidRDefault="00121B80">
            <w:pPr>
              <w:snapToGrid w:val="0"/>
            </w:pP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</w:pPr>
            <w:r>
              <w:t xml:space="preserve">Ministerstvo pre ekologickú transformáciu</w:t>
            </w:r>
            <w:r>
              <w:t xml:space="preserve"> 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304F7E">
            <w:pPr>
              <w:pStyle w:val="SNTimbre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spacing w:before="0" w:after="160"/>
            </w:pPr>
            <w:r>
              <w:t xml:space="preserve">Bývanie</w:t>
            </w:r>
          </w:p>
        </w:tc>
      </w:tr>
      <w:tr w:rsidR="00121B80" w:rsidRPr="006C397D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6C397D" w:rsidRDefault="00121B80">
            <w:pPr>
              <w:pStyle w:val="SNTimbre"/>
              <w:jc w:val="left"/>
              <w:rPr>
                <w:highlight w:val="yellow"/>
              </w:rPr>
            </w:pPr>
          </w:p>
        </w:tc>
      </w:tr>
    </w:tbl>
    <w:p w:rsidR="00121B80" w:rsidRPr="006C397D" w:rsidRDefault="00121B80">
      <w:pPr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Výnos z ,</w:t>
      </w:r>
    </w:p>
    <w:p w:rsidR="00121B80" w:rsidRPr="006C397D" w:rsidRDefault="00371CC6" w:rsidP="00D125B4">
      <w:pPr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ktorým sa schvaľuje metóda výpočtu uvedená v článku R. 111-20–5 stavebného a bytového zákona</w:t>
      </w:r>
    </w:p>
    <w:p w:rsidR="00121B80" w:rsidRPr="006C397D" w:rsidRDefault="00121B80">
      <w:pPr>
        <w:pStyle w:val="SNNORCentr"/>
      </w:pPr>
      <w:r>
        <w:t xml:space="preserve">NOR:</w:t>
      </w:r>
      <w:r>
        <w:t xml:space="preserve"> </w:t>
      </w:r>
    </w:p>
    <w:p w:rsidR="00121B80" w:rsidRPr="006C397D" w:rsidRDefault="00121B80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Pr="006C397D" w:rsidRDefault="00121B80" w:rsidP="00371CC6">
      <w:pPr>
        <w:jc w:val="both"/>
      </w:pPr>
      <w:r>
        <w:rPr>
          <w:i/>
          <w:iCs/>
          <w:sz w:val="24"/>
          <w:szCs w:val="24"/>
          <w:bCs/>
          <w:u w:val="single"/>
          <w:i/>
          <w:iCs/>
          <w:rFonts w:ascii="Times New Roman" w:hAnsi="Times New Roman"/>
        </w:rPr>
        <w:t xml:space="preserve">Dotknutá verejnosť:</w:t>
      </w:r>
      <w:r>
        <w:rPr>
          <w:i/>
          <w:iCs/>
          <w:sz w:val="24"/>
          <w:szCs w:val="24"/>
          <w:bCs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zadávatelia, zhotovitelia, stavitelia a investori, architekti, projekčné kancelárie v oblasti vykurovania a životného prostredia, ekonómovia budov, technickí kontrolóri, stavebné spoločnosti, výrobcovia stavebných materiálov a technických systémov budov, dodávatelia energie v kontinentálnom Francúzsku.</w:t>
      </w:r>
    </w:p>
    <w:p w:rsidR="00121B80" w:rsidRPr="006C397D" w:rsidRDefault="00121B80">
      <w:pPr>
        <w:jc w:val="both"/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Predmet</w:t>
      </w:r>
      <w:r>
        <w:rPr>
          <w:i/>
          <w:iCs/>
          <w:sz w:val="24"/>
          <w:szCs w:val="24"/>
          <w:rFonts w:ascii="Times New Roman" w:hAnsi="Times New Roman"/>
        </w:rPr>
        <w:t xml:space="preserve">: stanovenie metódy výpočtu energetickej hospodárnosti a environmentálnych vlastností stavieb obytných budov, kancelárskych budov alebo budov základného alebo stredoškolského vzdelávania v kontinentálnom Francúzsku na uplatnenie výnosu z </w:t>
      </w:r>
      <w:r>
        <w:rPr>
          <w:i/>
          <w:iCs/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i/>
          <w:iCs/>
          <w:sz w:val="24"/>
          <w:szCs w:val="24"/>
          <w:rFonts w:ascii="Times New Roman" w:hAnsi="Times New Roman"/>
        </w:rPr>
        <w:t xml:space="preserve"> o požiadavkách na energetickú hospodárnosť a environmentálne vlastnosti stavieb obytných budov, kancelárskych budov alebo budov základného alebo stredoškolského vzdelávania v kontinentálnom Francúzsku</w:t>
      </w:r>
    </w:p>
    <w:p w:rsidR="00371CC6" w:rsidRPr="006C397D" w:rsidRDefault="00121B80">
      <w:p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Dátum nadobudnutia účinnosti: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Výnos nadobudne účinnosť 1. júla 2021.</w:t>
      </w:r>
    </w:p>
    <w:p w:rsidR="00371CC6" w:rsidRPr="006C397D" w:rsidRDefault="00371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Pr="006C397D" w:rsidRDefault="00121B80" w:rsidP="006C397D">
      <w:pPr>
        <w:keepNext/>
        <w:spacing w:after="0" w:line="240" w:lineRule="auto"/>
        <w:jc w:val="both"/>
        <w:rPr>
          <w:i/>
          <w:iCs/>
          <w:sz w:val="24"/>
          <w:szCs w:val="24"/>
          <w:rFonts w:ascii="Times New Roman" w:hAnsi="Times New Roman" w:cs="Times New Roman"/>
        </w:rPr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Poznámka</w:t>
      </w:r>
      <w:r>
        <w:rPr>
          <w:i/>
          <w:iCs/>
          <w:sz w:val="24"/>
          <w:szCs w:val="24"/>
          <w:rFonts w:ascii="Times New Roman" w:hAnsi="Times New Roman"/>
        </w:rPr>
        <w:t xml:space="preserve">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Vo výnose sa stanovuje metóda výpočtu energetickej hospodárnosti a environmentálnych vlastností stavieb obytných budov, kancelárskych budov alebo budov základného alebo stredoškolského vzdelávania v kontinentálnom Francúzsku prostredníctvom troch príloh: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Príloha I: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Všeobecné pravidlá výpočtu energetickej hospodárnosti a environmentálnych vlastností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Príloha II: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Metóda výpočtu „Th-BCE 2020“ podrobne upravujúca pravidlá výpočtu energetickej hospodárnosti spojené s nástrojom na výpočet uvedeným v článku L. 111-9-1-A stavebného a bytového zákona</w:t>
      </w:r>
    </w:p>
    <w:p w:rsidR="00371CC6" w:rsidRPr="006C397D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i/>
          <w:iCs/>
          <w:kern w:val="2"/>
          <w:sz w:val="24"/>
          <w:szCs w:val="24"/>
          <w:rFonts w:ascii="Times New Roman" w:eastAsia="Times New Roman" w:hAnsi="Times New Roman" w:cs="Times New Roman"/>
        </w:rPr>
      </w:pPr>
      <w:r>
        <w:rPr>
          <w:i/>
          <w:iCs/>
          <w:sz w:val="24"/>
          <w:szCs w:val="24"/>
          <w:rFonts w:ascii="Times New Roman" w:hAnsi="Times New Roman"/>
        </w:rPr>
        <w:t xml:space="preserve">Príloha III:</w:t>
      </w:r>
      <w:r>
        <w:rPr>
          <w:i/>
          <w:iCs/>
          <w:sz w:val="24"/>
          <w:szCs w:val="24"/>
          <w:rFonts w:ascii="Times New Roman" w:hAnsi="Times New Roman"/>
        </w:rPr>
        <w:t xml:space="preserve"> </w:t>
      </w:r>
      <w:r>
        <w:rPr>
          <w:i/>
          <w:iCs/>
          <w:sz w:val="24"/>
          <w:szCs w:val="24"/>
          <w:rFonts w:ascii="Times New Roman" w:hAnsi="Times New Roman"/>
        </w:rPr>
        <w:t xml:space="preserve">Pravidlá „Th-Bat 2020“ umožňujúce stanoviť vstupné údaje pre výpočty energetickej hospodárnosti budovy predpísanej metódy výpočtu</w:t>
      </w:r>
    </w:p>
    <w:p w:rsidR="00121B80" w:rsidRPr="006C397D" w:rsidRDefault="00121B80" w:rsidP="00371CC6">
      <w:pPr>
        <w:spacing w:after="0" w:line="240" w:lineRule="auto"/>
        <w:jc w:val="both"/>
      </w:pPr>
    </w:p>
    <w:p w:rsidR="00121B80" w:rsidRPr="006C397D" w:rsidRDefault="00121B80">
      <w:pPr>
        <w:jc w:val="both"/>
      </w:pPr>
      <w:r>
        <w:rPr>
          <w:i/>
          <w:iCs/>
          <w:sz w:val="24"/>
          <w:szCs w:val="24"/>
          <w:u w:val="single"/>
          <w:rFonts w:ascii="Times New Roman" w:hAnsi="Times New Roman"/>
        </w:rPr>
        <w:t xml:space="preserve">Odkazy </w:t>
      </w:r>
      <w:r>
        <w:rPr>
          <w:i/>
          <w:iCs/>
          <w:sz w:val="24"/>
          <w:szCs w:val="24"/>
          <w:rFonts w:ascii="Times New Roman" w:hAnsi="Times New Roman"/>
        </w:rPr>
        <w:t xml:space="preserve">text </w:t>
      </w:r>
      <w:r>
        <w:rPr>
          <w:i/>
          <w:iCs/>
          <w:sz w:val="24"/>
          <w:szCs w:val="24"/>
          <w:highlight w:val="yellow"/>
          <w:rFonts w:ascii="Times New Roman" w:hAnsi="Times New Roman"/>
        </w:rPr>
        <w:t xml:space="preserve">zmenený</w:t>
      </w:r>
      <w:r>
        <w:rPr>
          <w:i/>
          <w:iCs/>
          <w:sz w:val="24"/>
          <w:szCs w:val="24"/>
          <w:rFonts w:ascii="Times New Roman" w:hAnsi="Times New Roman"/>
        </w:rPr>
        <w:t xml:space="preserve"> týmto výnosom je v znení, ktoré vyplýva z tejto zmeny, dostupný na stránke Légifrance (</w:t>
      </w:r>
      <w:hyperlink r:id="rId7" w:history="1">
        <w:r>
          <w:rPr>
            <w:rStyle w:val="Hyperlink"/>
            <w:i/>
            <w:iCs/>
            <w:sz w:val="24"/>
            <w:szCs w:val="24"/>
            <w:rFonts w:ascii="Times New Roman" w:hAnsi="Times New Roman"/>
          </w:rPr>
          <w:t xml:space="preserve">www.legifrance.gouv.fr</w:t>
        </w:r>
      </w:hyperlink>
      <w:r>
        <w:rPr>
          <w:i/>
          <w:iCs/>
          <w:sz w:val="24"/>
          <w:szCs w:val="24"/>
          <w:rFonts w:ascii="Times New Roman" w:hAnsi="Times New Roman"/>
        </w:rPr>
        <w:t xml:space="preserve">).</w:t>
      </w:r>
    </w:p>
    <w:p w:rsidR="00121B80" w:rsidRPr="006C397D" w:rsidRDefault="00121B80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6C397D" w:rsidRDefault="00121B80" w:rsidP="00371CC6">
      <w:pPr>
        <w:pStyle w:val="SNAutorit"/>
        <w:pageBreakBefore/>
        <w:suppressAutoHyphens w:val="0"/>
        <w:ind w:firstLine="0"/>
        <w:jc w:val="both"/>
        <w:rPr>
          <w:b w:val="0"/>
        </w:rPr>
      </w:pPr>
      <w:r>
        <w:rPr>
          <w:b w:val="0"/>
          <w:highlight w:val="yellow"/>
        </w:rPr>
        <w:t xml:space="preserve">Ministerka pre ekologickú transformáciu, ministerka pri ministerke pre ekologickú transformáciu, zodpovedná za bývanie,</w:t>
      </w:r>
    </w:p>
    <w:p w:rsidR="000A64C4" w:rsidRPr="006C397D" w:rsidRDefault="00972FD1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smernicu Európskeho parlamentu a Rady (EÚ) 2015/1535 z 9. septembra 2015, ktorou sa stanovuje postup pri poskytovaní informácií v oblasti technických predpisov a pravidiel vzťahujúcich sa na služby informačnej spoločnosti (kodifikované znenie), a najmä na oznámenie č. </w:t>
      </w:r>
      <w:r>
        <w:rPr>
          <w:sz w:val="24"/>
          <w:szCs w:val="24"/>
          <w:highlight w:val="yellow"/>
          <w:rFonts w:ascii="Times New Roman" w:hAnsi="Times New Roman"/>
        </w:rPr>
        <w:t xml:space="preserve">rok/XXX/F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smernicu Európskeho parlamentu a Rady 2010/31/EÚ z 19. mája 2010 o energetickej hospodárnosti budov, zmenenú smernicou Európskeho parlamentu a Rady 2018/844 z 30. mája 2018, najmä jej články 3, 4 a 6,</w:t>
      </w:r>
    </w:p>
    <w:p w:rsidR="00837B47" w:rsidRPr="006C397D" w:rsidRDefault="00837B47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stavebný a bytový zákon, najmä na jeho článok R.111-20-5,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výnos z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 týkajúci sa požiadaviek na energetickú hospodárnosť a environmentálne vlastnosti stavieb obytných budov, kancelárskych budov alebo budov základného alebo stredoškolského vzdelávania v kontinentálnom Francúzsku,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pripomienky vyjadrené počas verejnej konzultácie, ktorá prebiehala od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 do 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 podľa článku L. 120-1 zákonníka o životnom prostredí,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stanovisko </w:t>
      </w:r>
      <w:r>
        <w:rPr>
          <w:sz w:val="24"/>
          <w:szCs w:val="24"/>
          <w:highlight w:val="yellow"/>
          <w:rFonts w:ascii="Times New Roman" w:hAnsi="Times New Roman"/>
        </w:rPr>
        <w:t xml:space="preserve">Štátnej rady pre posudzovanie noriem</w:t>
      </w:r>
      <w:r>
        <w:rPr>
          <w:sz w:val="24"/>
          <w:szCs w:val="24"/>
          <w:rFonts w:ascii="Times New Roman" w:hAnsi="Times New Roman"/>
        </w:rPr>
        <w:t xml:space="preserve"> z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stanovisko </w:t>
      </w:r>
      <w:r>
        <w:rPr>
          <w:sz w:val="24"/>
          <w:szCs w:val="24"/>
          <w:highlight w:val="yellow"/>
          <w:rFonts w:ascii="Times New Roman" w:hAnsi="Times New Roman"/>
        </w:rPr>
        <w:t xml:space="preserve">Najvyššej rady pre energetiku</w:t>
      </w:r>
      <w:r>
        <w:rPr>
          <w:sz w:val="24"/>
          <w:szCs w:val="24"/>
          <w:rFonts w:ascii="Times New Roman" w:hAnsi="Times New Roman"/>
        </w:rPr>
        <w:t xml:space="preserve"> z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stanovisko Najvyššej rady pre stavebníctvo a energetickú účinnosť z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list parlamentu Guyany z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list parlamentu Martiniku z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list zastupiteľstva departementu Guadeloupe z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list zastupiteľstva departementu Réunionu z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list regionálneho zastupiteľstva Guadeloupe z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list regionálneho zastupiteľstva Réunionu z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121B80" w:rsidRPr="006C397D" w:rsidRDefault="00371CC6" w:rsidP="00371CC6">
      <w:pPr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so zreteľom na list zastupiteľstva departementu Mayotte z </w:t>
      </w:r>
      <w:r>
        <w:rPr>
          <w:sz w:val="24"/>
          <w:szCs w:val="24"/>
          <w:highlight w:val="yellow"/>
          <w:rFonts w:ascii="Times New Roman" w:hAnsi="Times New Roman"/>
        </w:rPr>
        <w:t xml:space="preserve">XXX</w:t>
      </w:r>
      <w:r>
        <w:rPr>
          <w:sz w:val="24"/>
          <w:szCs w:val="24"/>
          <w:rFonts w:ascii="Times New Roman" w:hAnsi="Times New Roman"/>
        </w:rPr>
        <w:t xml:space="preserve">,</w:t>
      </w:r>
    </w:p>
    <w:p w:rsidR="00371CC6" w:rsidRPr="006C397D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b/>
          <w:sz w:val="24"/>
          <w:szCs w:val="24"/>
          <w:rFonts w:ascii="Times New Roman" w:hAnsi="Times New Roman"/>
        </w:rPr>
        <w:t xml:space="preserve">vydávajú tento výnos:</w:t>
      </w:r>
    </w:p>
    <w:p w:rsidR="00121B80" w:rsidRPr="006C397D" w:rsidRDefault="00121B80" w:rsidP="006C397D">
      <w:pPr>
        <w:keepNext/>
        <w:widowControl w:val="0"/>
        <w:spacing w:after="0" w:line="240" w:lineRule="auto"/>
      </w:pPr>
      <w:r>
        <w:rPr>
          <w:sz w:val="24"/>
          <w:szCs w:val="24"/>
          <w:rFonts w:ascii="Times New Roman" w:hAnsi="Times New Roman"/>
        </w:rPr>
        <w:t xml:space="preserve"> </w:t>
      </w:r>
    </w:p>
    <w:p w:rsidR="00121B80" w:rsidRPr="006C397D" w:rsidRDefault="00121B80" w:rsidP="006C397D">
      <w:pPr>
        <w:keepNext/>
        <w:widowControl w:val="0"/>
        <w:tabs>
          <w:tab w:val="left" w:pos="3030"/>
        </w:tabs>
        <w:spacing w:after="0" w:line="240" w:lineRule="auto"/>
      </w:pPr>
      <w:r>
        <w:rPr>
          <w:sz w:val="24"/>
          <w:szCs w:val="24"/>
          <w:rFonts w:ascii="Times New Roman" w:hAnsi="Times New Roman"/>
        </w:rPr>
        <w:t xml:space="preserve"> </w:t>
      </w:r>
    </w:p>
    <w:p w:rsidR="00121B80" w:rsidRPr="006C397D" w:rsidRDefault="00121B80" w:rsidP="006C397D">
      <w:pPr>
        <w:pStyle w:val="SNArticle"/>
        <w:keepNext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Článok 1</w:t>
      </w:r>
    </w:p>
    <w:p w:rsidR="00121B80" w:rsidRPr="006C397D" w:rsidRDefault="00371CC6">
      <w:pPr>
        <w:widowControl w:val="0"/>
        <w:spacing w:after="0" w:line="240" w:lineRule="auto"/>
        <w:rPr>
          <w:bCs/>
          <w:sz w:val="24"/>
          <w:szCs w:val="24"/>
          <w:rFonts w:ascii="Times New Roman" w:hAnsi="Times New Roman" w:cs="Times New Roman"/>
        </w:rPr>
      </w:pPr>
      <w:r>
        <w:rPr>
          <w:bCs/>
          <w:sz w:val="24"/>
          <w:szCs w:val="24"/>
          <w:rFonts w:ascii="Times New Roman" w:hAnsi="Times New Roman"/>
        </w:rPr>
        <w:t xml:space="preserve">Metóda výpočtu priložená k tomuto výnosu a stanovená v článku R. 111-20-5 stavebného a bytového zákona je schválená.</w:t>
      </w:r>
    </w:p>
    <w:p w:rsidR="001776C9" w:rsidRPr="006C397D" w:rsidRDefault="001776C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397D" w:rsidRPr="006C397D" w:rsidRDefault="006C397D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</w:pPr>
      <w:r>
        <w:rPr>
          <w:b/>
          <w:bCs/>
          <w:sz w:val="24"/>
          <w:szCs w:val="24"/>
          <w:rFonts w:ascii="Times New Roman" w:hAnsi="Times New Roman"/>
        </w:rPr>
        <w:t xml:space="preserve">Článok 2</w:t>
      </w:r>
    </w:p>
    <w:p w:rsidR="00121B80" w:rsidRPr="006C397D" w:rsidRDefault="00121B80" w:rsidP="006C397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Pr="006C397D" w:rsidRDefault="00371CC6" w:rsidP="006C397D">
      <w:pPr>
        <w:widowControl w:val="0"/>
        <w:spacing w:after="0" w:line="240" w:lineRule="auto"/>
        <w:jc w:val="both"/>
      </w:pPr>
      <w:r>
        <w:rPr>
          <w:color w:val="000000"/>
          <w:sz w:val="24"/>
          <w:szCs w:val="24"/>
          <w:rFonts w:ascii="Times New Roman" w:hAnsi="Times New Roman"/>
        </w:rPr>
        <w:t xml:space="preserve">Vykonaním tohto výnosu, ktorý bude uverejnený v Úradnom vestníku ministerstva pre ekologickú a solidárnu transformáciu, sú poverení riaditeľ pre bývanie, urbanizmus a krajinu a generálny riaditeľ pre energetiku a klímu, každý v rozsahu svojich právomocí.</w:t>
      </w:r>
    </w:p>
    <w:p w:rsidR="00121B80" w:rsidRPr="006C397D" w:rsidRDefault="00121B80">
      <w:pPr>
        <w:widowControl w:val="0"/>
        <w:spacing w:after="0" w:line="240" w:lineRule="auto"/>
        <w:jc w:val="both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widowControl w:val="0"/>
        <w:spacing w:after="0" w:line="240" w:lineRule="auto"/>
      </w:pPr>
    </w:p>
    <w:p w:rsidR="00121B80" w:rsidRPr="006C397D" w:rsidRDefault="00121B80">
      <w:pPr>
        <w:pStyle w:val="SNSignatureDroite"/>
        <w:jc w:val="left"/>
      </w:pPr>
      <w:r>
        <w:t xml:space="preserve">Ministerka pre ekologickú transformáciu</w:t>
      </w:r>
      <w:r>
        <w:t xml:space="preserve"> </w:t>
      </w:r>
    </w:p>
    <w:p w:rsidR="00121B80" w:rsidRPr="006C397D" w:rsidRDefault="00121B80">
      <w:pPr>
        <w:pStyle w:val="SNSignatureDroite"/>
        <w:jc w:val="left"/>
      </w:pPr>
      <w:r>
        <w:t xml:space="preserve">Za ministerku a v zastúpení:</w:t>
      </w:r>
    </w:p>
    <w:p w:rsidR="00371CC6" w:rsidRPr="006C397D" w:rsidRDefault="00121B80">
      <w:pPr>
        <w:pStyle w:val="SNSignatureDroite"/>
        <w:jc w:val="left"/>
      </w:pPr>
      <w:r>
        <w:t xml:space="preserve">Riaditeľ pre bývanie, urbanizmus a krajinu,</w:t>
      </w: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Droite"/>
        <w:jc w:val="lef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  <w:jc w:val="right"/>
      </w:pPr>
      <w:r>
        <w:t xml:space="preserve">Ministerka pre ekologickú transformáciu,</w:t>
      </w:r>
    </w:p>
    <w:p w:rsidR="00121B80" w:rsidRPr="006C397D" w:rsidRDefault="00121B80">
      <w:pPr>
        <w:pStyle w:val="SNSignature"/>
        <w:ind w:firstLine="0"/>
        <w:jc w:val="right"/>
      </w:pPr>
      <w:r>
        <w:t xml:space="preserve">Za ministerku a v zastúpení:</w:t>
      </w:r>
    </w:p>
    <w:p w:rsidR="00121B80" w:rsidRPr="006C397D" w:rsidRDefault="00121B80">
      <w:pPr>
        <w:pStyle w:val="SNSignature"/>
        <w:ind w:firstLine="0"/>
        <w:jc w:val="right"/>
      </w:pPr>
      <w:r>
        <w:t xml:space="preserve">Generálny riaditeľ pre energetiku a klímu,</w:t>
      </w: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  <w:jc w:val="right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"/>
        <w:ind w:firstLine="0"/>
      </w:pPr>
    </w:p>
    <w:p w:rsidR="00121B80" w:rsidRPr="006C397D" w:rsidRDefault="00121B80">
      <w:pPr>
        <w:pStyle w:val="SNSignatureDroite"/>
        <w:jc w:val="left"/>
      </w:pPr>
      <w:r>
        <w:t xml:space="preserve">Ministerka pri ministerke pre ekologickú transformáciu,</w:t>
      </w:r>
      <w:r>
        <w:t xml:space="preserve"> </w:t>
      </w:r>
    </w:p>
    <w:p w:rsidR="00121B80" w:rsidRPr="006C397D" w:rsidRDefault="00121B80">
      <w:pPr>
        <w:pStyle w:val="SNSignatureDroite"/>
        <w:jc w:val="left"/>
      </w:pPr>
      <w:r>
        <w:t xml:space="preserve">zodpovedná za bývanie,</w:t>
      </w:r>
    </w:p>
    <w:p w:rsidR="00121B80" w:rsidRPr="006C397D" w:rsidRDefault="00121B80">
      <w:pPr>
        <w:pStyle w:val="SNSignatureDroite"/>
        <w:jc w:val="left"/>
      </w:pPr>
      <w:r>
        <w:t xml:space="preserve">Za ministerku a v zastúpení:</w:t>
      </w:r>
    </w:p>
    <w:p w:rsidR="00121B80" w:rsidRPr="006C397D" w:rsidRDefault="00121B80">
      <w:pPr>
        <w:pStyle w:val="SNSignatureDroite"/>
        <w:jc w:val="left"/>
      </w:pPr>
      <w:r>
        <w:t xml:space="preserve">Riaditeľ pre bývanie, urbanizmus a krajinu,</w:t>
      </w:r>
    </w:p>
    <w:sectPr w:rsidR="00121B80" w:rsidRPr="006C397D"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A1" w:rsidRDefault="00D269A1" w:rsidP="0079276F">
      <w:pPr>
        <w:spacing w:after="0" w:line="240" w:lineRule="auto"/>
      </w:pPr>
      <w:r>
        <w:separator/>
      </w:r>
    </w:p>
  </w:endnote>
  <w:end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A1" w:rsidRDefault="00D269A1" w:rsidP="0079276F">
      <w:pPr>
        <w:spacing w:after="0" w:line="240" w:lineRule="auto"/>
      </w:pPr>
      <w:r>
        <w:separator/>
      </w:r>
    </w:p>
  </w:footnote>
  <w:footnote w:type="continuationSeparator" w:id="0">
    <w:p w:rsidR="00D269A1" w:rsidRDefault="00D269A1" w:rsidP="0079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dirty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7E"/>
    <w:rsid w:val="000370CB"/>
    <w:rsid w:val="000A64C4"/>
    <w:rsid w:val="00121B80"/>
    <w:rsid w:val="001776C9"/>
    <w:rsid w:val="002B5C7E"/>
    <w:rsid w:val="00304F7E"/>
    <w:rsid w:val="003305DB"/>
    <w:rsid w:val="00371CC6"/>
    <w:rsid w:val="0049409A"/>
    <w:rsid w:val="006C397D"/>
    <w:rsid w:val="0078501D"/>
    <w:rsid w:val="0079276F"/>
    <w:rsid w:val="00837B47"/>
    <w:rsid w:val="00890FE9"/>
    <w:rsid w:val="008F5F95"/>
    <w:rsid w:val="00971E35"/>
    <w:rsid w:val="00972FD1"/>
    <w:rsid w:val="00A73D1D"/>
    <w:rsid w:val="00A92569"/>
    <w:rsid w:val="00AA1C12"/>
    <w:rsid w:val="00D125B4"/>
    <w:rsid w:val="00D269A1"/>
    <w:rsid w:val="00D85F5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BE0C78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BodyText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C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1CC6"/>
    <w:rPr>
      <w:rFonts w:ascii="Calibri" w:eastAsia="font443" w:hAnsi="Calibri" w:cs="font44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4875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Liu, Lei</cp:lastModifiedBy>
  <cp:revision>5</cp:revision>
  <cp:lastPrinted>1899-12-31T23:00:00Z</cp:lastPrinted>
  <dcterms:created xsi:type="dcterms:W3CDTF">2020-12-11T13:33:00Z</dcterms:created>
  <dcterms:modified xsi:type="dcterms:W3CDTF">2020-12-14T13:00:00Z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