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71E35" w:rsidRPr="00A92569" w:rsidRDefault="00971E35" w:rsidP="00971E35">
      <w:pPr>
        <w:jc w:val="center"/>
        <w:rPr>
          <w:sz w:val="20"/>
          <w:rFonts w:ascii="Courier New" w:hAnsi="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------IND- 2020 0791 F-- SL- ------ 20201221 --- --- PROJET</w:t>
      </w:r>
    </w:p>
    <w:tbl>
      <w:tblPr>
        <w:tblW w:w="0" w:type="auto"/>
        <w:tblInd w:w="114"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121B80" w:rsidRPr="006C397D">
        <w:trPr>
          <w:cantSplit/>
        </w:trPr>
        <w:tc>
          <w:tcPr>
            <w:tcW w:w="3982" w:type="dxa"/>
            <w:gridSpan w:val="3"/>
            <w:shd w:val="clear" w:color="auto" w:fill="auto"/>
          </w:tcPr>
          <w:bookmarkEnd w:id="0"/>
          <w:p w:rsidR="00121B80" w:rsidRPr="006C397D" w:rsidRDefault="00121B80">
            <w:pPr>
              <w:pStyle w:val="SNREPUBLIQUE"/>
              <w:snapToGrid w:val="0"/>
            </w:pPr>
            <w:r>
              <w:t xml:space="preserve">FRANCOSKA REPUBLIKA</w:t>
            </w:r>
          </w:p>
        </w:tc>
      </w:tr>
      <w:tr w:rsidR="00D85F5D" w:rsidRPr="006C397D" w:rsidTr="00A73D1D">
        <w:trPr>
          <w:cantSplit/>
          <w:trHeight w:hRule="exact" w:val="113"/>
        </w:trPr>
        <w:tc>
          <w:tcPr>
            <w:tcW w:w="1527" w:type="dxa"/>
            <w:shd w:val="clear" w:color="auto" w:fill="auto"/>
          </w:tcPr>
          <w:p w:rsidR="00121B80" w:rsidRPr="006C397D" w:rsidRDefault="00121B80">
            <w:pPr>
              <w:snapToGrid w:val="0"/>
            </w:pPr>
          </w:p>
        </w:tc>
        <w:tc>
          <w:tcPr>
            <w:tcW w:w="968" w:type="dxa"/>
            <w:tcBorders>
              <w:bottom w:val="single" w:sz="4" w:space="0" w:color="auto"/>
            </w:tcBorders>
            <w:shd w:val="clear" w:color="auto" w:fill="auto"/>
          </w:tcPr>
          <w:p w:rsidR="00121B80" w:rsidRPr="006C397D" w:rsidRDefault="00121B80">
            <w:pPr>
              <w:snapToGrid w:val="0"/>
            </w:pPr>
          </w:p>
        </w:tc>
        <w:tc>
          <w:tcPr>
            <w:tcW w:w="1487" w:type="dxa"/>
            <w:shd w:val="clear" w:color="auto" w:fill="auto"/>
          </w:tcPr>
          <w:p w:rsidR="00121B80" w:rsidRPr="006C397D" w:rsidRDefault="00121B80">
            <w:pPr>
              <w:snapToGrid w:val="0"/>
            </w:pPr>
          </w:p>
        </w:tc>
      </w:tr>
      <w:tr w:rsidR="00121B80" w:rsidRPr="006C397D">
        <w:trPr>
          <w:cantSplit/>
        </w:trPr>
        <w:tc>
          <w:tcPr>
            <w:tcW w:w="3982" w:type="dxa"/>
            <w:gridSpan w:val="3"/>
            <w:shd w:val="clear" w:color="auto" w:fill="auto"/>
          </w:tcPr>
          <w:p w:rsidR="00121B80" w:rsidRPr="006C397D" w:rsidRDefault="00121B80">
            <w:pPr>
              <w:pStyle w:val="SNTimbre"/>
            </w:pPr>
            <w:r>
              <w:t xml:space="preserve">Ministrstvo za ekološko preoblikovanje</w:t>
            </w:r>
            <w:r>
              <w:t xml:space="preserve"> </w:t>
            </w:r>
          </w:p>
        </w:tc>
      </w:tr>
      <w:tr w:rsidR="00121B80" w:rsidRPr="006C397D">
        <w:trPr>
          <w:cantSplit/>
        </w:trPr>
        <w:tc>
          <w:tcPr>
            <w:tcW w:w="3982" w:type="dxa"/>
            <w:gridSpan w:val="3"/>
            <w:shd w:val="clear" w:color="auto" w:fill="auto"/>
          </w:tcPr>
          <w:p w:rsidR="00121B80" w:rsidRPr="006C397D" w:rsidRDefault="00304F7E">
            <w:pPr>
              <w:pStyle w:val="SNTimbre"/>
              <w:jc w:val="left"/>
            </w:pPr>
            <w:r>
              <mc:AlternateContent>
                <mc:Choice Requires="wps">
                  <w:drawing>
                    <wp:anchor distT="0" distB="0" distL="114300" distR="114300" simplePos="0" relativeHeight="251657728" behindDoc="0" locked="0" layoutInCell="1" allowOverlap="1">
                      <wp:simplePos x="0" y="0"/>
                      <wp:positionH relativeFrom="column">
                        <wp:posOffset>977900</wp:posOffset>
                      </wp:positionH>
                      <wp:positionV relativeFrom="paragraph">
                        <wp:posOffset>129540</wp:posOffset>
                      </wp:positionV>
                      <wp:extent cx="613410" cy="635"/>
                      <wp:effectExtent l="7620" t="12065" r="7620" b="635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D6C169" id="Connecteur droit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10.2pt" to="125.3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" strokeweight=".18mm">
                      <v:stroke joinstyle="miter"/>
                    </v:line>
                  </w:pict>
                </mc:Fallback>
              </mc:AlternateContent>
            </w:r>
          </w:p>
        </w:tc>
      </w:tr>
      <w:tr w:rsidR="00121B80" w:rsidRPr="006C397D">
        <w:trPr>
          <w:cantSplit/>
        </w:trPr>
        <w:tc>
          <w:tcPr>
            <w:tcW w:w="3982" w:type="dxa"/>
            <w:gridSpan w:val="3"/>
            <w:shd w:val="clear" w:color="auto" w:fill="auto"/>
          </w:tcPr>
          <w:p w:rsidR="00121B80" w:rsidRPr="006C397D" w:rsidRDefault="00121B80">
            <w:pPr>
              <w:pStyle w:val="SNTimbre"/>
              <w:spacing w:before="0" w:after="160"/>
            </w:pPr>
            <w:r>
              <w:t xml:space="preserve">Stanovanjska vprašanja</w:t>
            </w:r>
          </w:p>
        </w:tc>
      </w:tr>
      <w:tr w:rsidR="00121B80" w:rsidRPr="006C397D">
        <w:trPr>
          <w:cantSplit/>
        </w:trPr>
        <w:tc>
          <w:tcPr>
            <w:tcW w:w="3982" w:type="dxa"/>
            <w:gridSpan w:val="3"/>
            <w:shd w:val="clear" w:color="auto" w:fill="auto"/>
          </w:tcPr>
          <w:p w:rsidR="00121B80" w:rsidRPr="006C397D" w:rsidRDefault="00121B80">
            <w:pPr>
              <w:pStyle w:val="SNTimbre"/>
              <w:jc w:val="left"/>
              <w:rPr>
                <w:highlight w:val="yellow"/>
              </w:rPr>
            </w:pPr>
          </w:p>
        </w:tc>
      </w:tr>
    </w:tbl>
    <w:p w:rsidR="00121B80" w:rsidRPr="006C397D" w:rsidRDefault="00121B80">
      <w:pPr>
        <w:widowControl w:val="0"/>
        <w:spacing w:after="0" w:line="240" w:lineRule="auto"/>
        <w:jc w:val="center"/>
      </w:pPr>
      <w:r>
        <w:rPr>
          <w:b/>
          <w:bCs/>
          <w:sz w:val="24"/>
          <w:szCs w:val="24"/>
          <w:rFonts w:ascii="Times New Roman" w:hAnsi="Times New Roman"/>
        </w:rPr>
        <w:t xml:space="preserve">Odredba z dne [...]</w:t>
      </w:r>
    </w:p>
    <w:p w:rsidR="00121B80" w:rsidRPr="006C397D" w:rsidRDefault="00371CC6" w:rsidP="00D125B4">
      <w:pPr>
        <w:widowControl w:val="0"/>
        <w:spacing w:after="0" w:line="240" w:lineRule="auto"/>
        <w:jc w:val="center"/>
      </w:pPr>
      <w:r>
        <w:rPr>
          <w:b/>
          <w:bCs/>
          <w:sz w:val="24"/>
          <w:szCs w:val="24"/>
          <w:rFonts w:ascii="Times New Roman" w:hAnsi="Times New Roman"/>
        </w:rPr>
        <w:t xml:space="preserve">o odobritvi metode za izračun iz člena R. 111-20-5 Zakonika o gradnji in stanovanjih</w:t>
      </w:r>
    </w:p>
    <w:p w:rsidR="00121B80" w:rsidRPr="006C397D" w:rsidRDefault="00121B80">
      <w:pPr>
        <w:pStyle w:val="SNNORCentr"/>
      </w:pPr>
      <w:r>
        <w:t xml:space="preserve">NOR:</w:t>
      </w:r>
      <w:r>
        <w:t xml:space="preserve"> </w:t>
      </w:r>
    </w:p>
    <w:p w:rsidR="00121B80" w:rsidRPr="006C397D" w:rsidRDefault="00121B80">
      <w:pPr>
        <w:jc w:val="both"/>
        <w:rPr>
          <w:rFonts w:ascii="Times New Roman" w:eastAsia="Arial" w:hAnsi="Times New Roman" w:cs="Times New Roman"/>
          <w:bCs/>
          <w:i/>
          <w:iCs/>
          <w:sz w:val="24"/>
          <w:szCs w:val="24"/>
          <w:u w:val="single"/>
        </w:rPr>
      </w:pPr>
    </w:p>
    <w:p w:rsidR="00121B80" w:rsidRPr="006C397D" w:rsidRDefault="00121B80" w:rsidP="00371CC6">
      <w:pPr>
        <w:jc w:val="both"/>
      </w:pPr>
      <w:r>
        <w:rPr>
          <w:i/>
          <w:iCs/>
          <w:sz w:val="24"/>
          <w:szCs w:val="24"/>
          <w:bCs/>
          <w:u w:val="single"/>
          <w:rFonts w:ascii="Times New Roman" w:hAnsi="Times New Roman"/>
        </w:rPr>
        <w:t xml:space="preserve">Zadevna javnost</w:t>
      </w:r>
      <w:r>
        <w:rPr>
          <w:i/>
          <w:iCs/>
          <w:sz w:val="24"/>
          <w:szCs w:val="24"/>
          <w:bCs/>
          <w:rFonts w:ascii="Times New Roman" w:hAnsi="Times New Roman"/>
        </w:rPr>
        <w:t xml:space="preserve">:</w:t>
      </w:r>
      <w:r>
        <w:rPr>
          <w:i/>
          <w:iCs/>
          <w:sz w:val="24"/>
          <w:szCs w:val="24"/>
          <w:bCs/>
          <w:rFonts w:ascii="Times New Roman" w:hAnsi="Times New Roman"/>
        </w:rPr>
        <w:t xml:space="preserve"> </w:t>
      </w:r>
      <w:r>
        <w:rPr>
          <w:i/>
          <w:iCs/>
          <w:sz w:val="24"/>
          <w:szCs w:val="24"/>
          <w:rFonts w:ascii="Times New Roman" w:hAnsi="Times New Roman"/>
        </w:rPr>
        <w:t xml:space="preserve">nosilci projektov, glavni izvajalci, konstruktorji in promotorji, arhitekti, prostori za študije toplotne obdelave in okolje, gospodarstveniki stavbe, tehnični kontrolorji, gradbena podjetja, industrijske družbe za gradbene materiale in tehnične stavbne sisteme, dobavitelji energije v matični Franciji.</w:t>
      </w:r>
    </w:p>
    <w:p w:rsidR="00121B80" w:rsidRPr="006C397D" w:rsidRDefault="00121B80">
      <w:pPr>
        <w:jc w:val="both"/>
      </w:pPr>
      <w:r>
        <w:rPr>
          <w:i/>
          <w:iCs/>
          <w:sz w:val="24"/>
          <w:szCs w:val="24"/>
          <w:u w:val="single"/>
          <w:rFonts w:ascii="Times New Roman" w:hAnsi="Times New Roman"/>
        </w:rPr>
        <w:t xml:space="preserve">Predmet</w:t>
      </w:r>
      <w:r>
        <w:rPr>
          <w:i/>
          <w:iCs/>
          <w:sz w:val="24"/>
          <w:szCs w:val="24"/>
          <w:u w:val="single"/>
          <w:u w:val="single"/>
          <w:rFonts w:ascii="Times New Roman" w:hAnsi="Times New Roman"/>
        </w:rPr>
        <w:t xml:space="preserve">:</w:t>
      </w:r>
      <w:r>
        <w:rPr>
          <w:i/>
          <w:iCs/>
          <w:sz w:val="24"/>
          <w:szCs w:val="24"/>
          <w:rFonts w:ascii="Times New Roman" w:hAnsi="Times New Roman"/>
        </w:rPr>
        <w:t xml:space="preserve"> določitev metode za izračun energetske in okoljske učinkovitosti stanovanjskih zgradb, pisarn ali osnovnih oziroma srednjih šol v matični Franciji, za izvajanje odredbe z dne </w:t>
      </w:r>
      <w:r>
        <w:rPr>
          <w:i/>
          <w:iCs/>
          <w:sz w:val="24"/>
          <w:szCs w:val="24"/>
          <w:highlight w:val="yellow"/>
          <w:rFonts w:ascii="Times New Roman" w:hAnsi="Times New Roman"/>
        </w:rPr>
        <w:t xml:space="preserve">XXX</w:t>
      </w:r>
      <w:r>
        <w:rPr>
          <w:i/>
          <w:iCs/>
          <w:sz w:val="24"/>
          <w:szCs w:val="24"/>
          <w:rFonts w:ascii="Times New Roman" w:hAnsi="Times New Roman"/>
        </w:rPr>
        <w:t xml:space="preserve"> o zahtevah po energetski in okoljski učinkovitosti stanovanjskih zgradb, pisarn ali osnovnih oziroma srednjih šol v matični Franciji</w:t>
      </w:r>
    </w:p>
    <w:p w:rsidR="00371CC6" w:rsidRPr="006C397D" w:rsidRDefault="00121B80">
      <w:pPr>
        <w:spacing w:after="0" w:line="240" w:lineRule="auto"/>
        <w:jc w:val="both"/>
        <w:rPr>
          <w:i/>
          <w:iCs/>
          <w:kern w:val="2"/>
          <w:sz w:val="24"/>
          <w:szCs w:val="24"/>
          <w:rFonts w:ascii="Times New Roman" w:eastAsia="Times New Roman" w:hAnsi="Times New Roman" w:cs="Times New Roman"/>
        </w:rPr>
      </w:pPr>
      <w:r>
        <w:rPr>
          <w:i/>
          <w:iCs/>
          <w:sz w:val="24"/>
          <w:szCs w:val="24"/>
          <w:u w:val="single"/>
          <w:rFonts w:ascii="Times New Roman" w:hAnsi="Times New Roman"/>
        </w:rPr>
        <w:t xml:space="preserve">Začetek veljavnosti</w:t>
      </w:r>
      <w:r>
        <w:rPr>
          <w:i/>
          <w:iCs/>
          <w:sz w:val="24"/>
          <w:szCs w:val="24"/>
          <w:rFonts w:ascii="Times New Roman" w:hAnsi="Times New Roman"/>
        </w:rPr>
        <w:t xml:space="preserve">:</w:t>
      </w:r>
      <w:r>
        <w:rPr>
          <w:i/>
          <w:iCs/>
          <w:sz w:val="24"/>
          <w:szCs w:val="24"/>
          <w:rFonts w:ascii="Times New Roman" w:hAnsi="Times New Roman"/>
        </w:rPr>
        <w:t xml:space="preserve"> </w:t>
      </w:r>
      <w:r>
        <w:rPr>
          <w:i/>
          <w:iCs/>
          <w:sz w:val="24"/>
          <w:szCs w:val="24"/>
          <w:rFonts w:ascii="Times New Roman" w:hAnsi="Times New Roman"/>
        </w:rPr>
        <w:t xml:space="preserve">ta odredba se uporablja od 1. julija 2021.</w:t>
      </w:r>
    </w:p>
    <w:p w:rsidR="00371CC6" w:rsidRPr="006C397D" w:rsidRDefault="00371CC6">
      <w:pPr>
        <w:spacing w:after="0" w:line="240" w:lineRule="auto"/>
        <w:jc w:val="both"/>
        <w:rPr>
          <w:rFonts w:ascii="Times New Roman" w:eastAsia="Times New Roman" w:hAnsi="Times New Roman" w:cs="Times New Roman"/>
          <w:i/>
          <w:iCs/>
          <w:kern w:val="2"/>
          <w:sz w:val="24"/>
          <w:szCs w:val="24"/>
          <w:lang w:eastAsia="zh-CN"/>
        </w:rPr>
      </w:pPr>
    </w:p>
    <w:p w:rsidR="00371CC6" w:rsidRPr="006C397D" w:rsidRDefault="00121B80" w:rsidP="006C397D">
      <w:pPr>
        <w:keepNext/>
        <w:spacing w:after="0" w:line="240" w:lineRule="auto"/>
        <w:jc w:val="both"/>
        <w:rPr>
          <w:i/>
          <w:iCs/>
          <w:sz w:val="24"/>
          <w:szCs w:val="24"/>
          <w:rFonts w:ascii="Times New Roman" w:hAnsi="Times New Roman" w:cs="Times New Roman"/>
        </w:rPr>
      </w:pPr>
      <w:r>
        <w:rPr>
          <w:i/>
          <w:iCs/>
          <w:sz w:val="24"/>
          <w:szCs w:val="24"/>
          <w:u w:val="single"/>
          <w:rFonts w:ascii="Times New Roman" w:hAnsi="Times New Roman"/>
        </w:rPr>
        <w:t xml:space="preserve">Obvestilo</w:t>
      </w:r>
      <w:r>
        <w:rPr>
          <w:i/>
          <w:iCs/>
          <w:sz w:val="24"/>
          <w:szCs w:val="24"/>
          <w:rFonts w:ascii="Times New Roman" w:hAnsi="Times New Roman"/>
        </w:rPr>
        <w:t xml:space="preserve">:</w:t>
      </w:r>
      <w:r>
        <w:rPr>
          <w:i/>
          <w:iCs/>
          <w:sz w:val="24"/>
          <w:szCs w:val="24"/>
          <w:rFonts w:ascii="Times New Roman" w:hAnsi="Times New Roman"/>
        </w:rPr>
        <w:t xml:space="preserve"> </w:t>
      </w:r>
      <w:r>
        <w:rPr>
          <w:i/>
          <w:iCs/>
          <w:sz w:val="24"/>
          <w:szCs w:val="24"/>
          <w:rFonts w:ascii="Times New Roman" w:hAnsi="Times New Roman"/>
        </w:rPr>
        <w:t xml:space="preserve">odredba določa metodo za izračun energetske in okoljske učinkovitosti stanovanjskih zgradb, pisarn ali osnovnih oziroma srednjih šol v matični Franciji v naslednjih treh prilogah:</w:t>
      </w:r>
    </w:p>
    <w:p w:rsidR="00371CC6" w:rsidRPr="006C397D" w:rsidRDefault="00371CC6" w:rsidP="00371CC6">
      <w:pPr>
        <w:numPr>
          <w:ilvl w:val="0"/>
          <w:numId w:val="1"/>
        </w:numPr>
        <w:spacing w:after="0" w:line="240" w:lineRule="auto"/>
        <w:jc w:val="both"/>
        <w:rPr>
          <w:i/>
          <w:iCs/>
          <w:kern w:val="2"/>
          <w:sz w:val="24"/>
          <w:szCs w:val="24"/>
          <w:rFonts w:ascii="Times New Roman" w:eastAsia="Times New Roman" w:hAnsi="Times New Roman" w:cs="Times New Roman"/>
        </w:rPr>
      </w:pPr>
      <w:r>
        <w:rPr>
          <w:i/>
          <w:iCs/>
          <w:sz w:val="24"/>
          <w:szCs w:val="24"/>
          <w:rFonts w:ascii="Times New Roman" w:hAnsi="Times New Roman"/>
        </w:rPr>
        <w:t xml:space="preserve">Priloga I:</w:t>
      </w:r>
      <w:r>
        <w:rPr>
          <w:i/>
          <w:iCs/>
          <w:sz w:val="24"/>
          <w:szCs w:val="24"/>
          <w:rFonts w:ascii="Times New Roman" w:hAnsi="Times New Roman"/>
        </w:rPr>
        <w:t xml:space="preserve"> </w:t>
      </w:r>
      <w:r>
        <w:rPr>
          <w:i/>
          <w:iCs/>
          <w:sz w:val="24"/>
          <w:szCs w:val="24"/>
          <w:rFonts w:ascii="Times New Roman" w:hAnsi="Times New Roman"/>
        </w:rPr>
        <w:t xml:space="preserve">Splošna pravila za izračun energetske in okoljske učinkovitosti</w:t>
      </w:r>
    </w:p>
    <w:p w:rsidR="00371CC6" w:rsidRPr="006C397D" w:rsidRDefault="00371CC6" w:rsidP="00371CC6">
      <w:pPr>
        <w:numPr>
          <w:ilvl w:val="0"/>
          <w:numId w:val="1"/>
        </w:numPr>
        <w:spacing w:after="0" w:line="240" w:lineRule="auto"/>
        <w:jc w:val="both"/>
        <w:rPr>
          <w:i/>
          <w:iCs/>
          <w:kern w:val="2"/>
          <w:sz w:val="24"/>
          <w:szCs w:val="24"/>
          <w:rFonts w:ascii="Times New Roman" w:eastAsia="Times New Roman" w:hAnsi="Times New Roman" w:cs="Times New Roman"/>
        </w:rPr>
      </w:pPr>
      <w:r>
        <w:rPr>
          <w:i/>
          <w:iCs/>
          <w:sz w:val="24"/>
          <w:szCs w:val="24"/>
          <w:rFonts w:ascii="Times New Roman" w:hAnsi="Times New Roman"/>
        </w:rPr>
        <w:t xml:space="preserve">Priloga II:</w:t>
      </w:r>
      <w:r>
        <w:rPr>
          <w:i/>
          <w:iCs/>
          <w:sz w:val="24"/>
          <w:szCs w:val="24"/>
          <w:rFonts w:ascii="Times New Roman" w:hAnsi="Times New Roman"/>
        </w:rPr>
        <w:t xml:space="preserve"> </w:t>
      </w:r>
      <w:r>
        <w:rPr>
          <w:i/>
          <w:iCs/>
          <w:sz w:val="24"/>
          <w:szCs w:val="24"/>
          <w:rFonts w:ascii="Times New Roman" w:hAnsi="Times New Roman"/>
        </w:rPr>
        <w:t xml:space="preserve">Metoda za izračun „Th-BCE 2020“z natančno določitvijo pravil za izračun energetske učinkovitosti, povezanih z orodjem za izračun iz člena L.111-9-1-A Zakonika o gradnji in stanovanjih</w:t>
      </w:r>
    </w:p>
    <w:p w:rsidR="00371CC6" w:rsidRPr="006C397D" w:rsidRDefault="00371CC6" w:rsidP="00371CC6">
      <w:pPr>
        <w:numPr>
          <w:ilvl w:val="0"/>
          <w:numId w:val="1"/>
        </w:numPr>
        <w:spacing w:after="0" w:line="240" w:lineRule="auto"/>
        <w:jc w:val="both"/>
        <w:rPr>
          <w:i/>
          <w:iCs/>
          <w:kern w:val="2"/>
          <w:sz w:val="24"/>
          <w:szCs w:val="24"/>
          <w:rFonts w:ascii="Times New Roman" w:eastAsia="Times New Roman" w:hAnsi="Times New Roman" w:cs="Times New Roman"/>
        </w:rPr>
      </w:pPr>
      <w:r>
        <w:rPr>
          <w:i/>
          <w:iCs/>
          <w:sz w:val="24"/>
          <w:szCs w:val="24"/>
          <w:rFonts w:ascii="Times New Roman" w:hAnsi="Times New Roman"/>
        </w:rPr>
        <w:t xml:space="preserve">Priloga III:</w:t>
      </w:r>
      <w:r>
        <w:rPr>
          <w:i/>
          <w:iCs/>
          <w:sz w:val="24"/>
          <w:szCs w:val="24"/>
          <w:rFonts w:ascii="Times New Roman" w:hAnsi="Times New Roman"/>
        </w:rPr>
        <w:t xml:space="preserve"> </w:t>
      </w:r>
      <w:r>
        <w:rPr>
          <w:i/>
          <w:iCs/>
          <w:sz w:val="24"/>
          <w:szCs w:val="24"/>
          <w:rFonts w:ascii="Times New Roman" w:hAnsi="Times New Roman"/>
        </w:rPr>
        <w:t xml:space="preserve">Pravila „Th-Bat 2020“ ki omogočajo opredelitev vhodnih podatkov za izračune energetske učinkovitosti za predpisani izračun</w:t>
      </w:r>
    </w:p>
    <w:p w:rsidR="00121B80" w:rsidRPr="006C397D" w:rsidRDefault="00121B80" w:rsidP="00371CC6">
      <w:pPr>
        <w:spacing w:after="0" w:line="240" w:lineRule="auto"/>
        <w:jc w:val="both"/>
      </w:pPr>
    </w:p>
    <w:p w:rsidR="00121B80" w:rsidRPr="006C397D" w:rsidRDefault="00121B80">
      <w:pPr>
        <w:jc w:val="both"/>
      </w:pPr>
      <w:r>
        <w:rPr>
          <w:i/>
          <w:iCs/>
          <w:sz w:val="24"/>
          <w:szCs w:val="24"/>
          <w:u w:val="single"/>
          <w:rFonts w:ascii="Times New Roman" w:hAnsi="Times New Roman"/>
        </w:rPr>
        <w:t xml:space="preserve">Referenčna besedila</w:t>
      </w:r>
      <w:r>
        <w:rPr>
          <w:i/>
          <w:iCs/>
          <w:sz w:val="24"/>
          <w:szCs w:val="24"/>
          <w:u w:val="single"/>
          <w:u w:val="single"/>
          <w:u w:val="single"/>
          <w:rFonts w:ascii="Times New Roman" w:hAnsi="Times New Roman"/>
        </w:rPr>
        <w:t xml:space="preserve">:</w:t>
      </w:r>
      <w:r>
        <w:rPr>
          <w:i/>
          <w:iCs/>
          <w:sz w:val="24"/>
          <w:szCs w:val="24"/>
          <w:u w:val="single"/>
          <w:u w:val="single"/>
          <w:rFonts w:ascii="Times New Roman" w:hAnsi="Times New Roman"/>
        </w:rPr>
        <w:t xml:space="preserve"> </w:t>
      </w:r>
      <w:r>
        <w:rPr>
          <w:i/>
          <w:iCs/>
          <w:sz w:val="24"/>
          <w:szCs w:val="24"/>
          <w:rFonts w:ascii="Times New Roman" w:hAnsi="Times New Roman"/>
        </w:rPr>
        <w:t xml:space="preserve">besedilo, </w:t>
      </w:r>
      <w:r>
        <w:rPr>
          <w:i/>
          <w:iCs/>
          <w:sz w:val="24"/>
          <w:szCs w:val="24"/>
          <w:highlight w:val="yellow"/>
          <w:rFonts w:ascii="Times New Roman" w:hAnsi="Times New Roman"/>
        </w:rPr>
        <w:t xml:space="preserve">ki ga spreminja </w:t>
      </w:r>
      <w:r>
        <w:rPr>
          <w:i/>
          <w:iCs/>
          <w:sz w:val="24"/>
          <w:szCs w:val="24"/>
          <w:rFonts w:ascii="Times New Roman" w:hAnsi="Times New Roman"/>
        </w:rPr>
        <w:t xml:space="preserve">ta odredba, je na voljo na spletni strani Legifrance (</w:t>
      </w:r>
      <w:hyperlink r:id="rId7" w:history="1">
        <w:r>
          <w:rPr>
            <w:rStyle w:val="Hyperlink"/>
            <w:i/>
            <w:iCs/>
            <w:sz w:val="24"/>
            <w:szCs w:val="24"/>
            <w:rFonts w:ascii="Times New Roman" w:hAnsi="Times New Roman"/>
          </w:rPr>
          <w:t xml:space="preserve">www.legifrance.gouv.fr</w:t>
        </w:r>
      </w:hyperlink>
      <w:r>
        <w:rPr>
          <w:i/>
          <w:iCs/>
          <w:sz w:val="24"/>
          <w:szCs w:val="24"/>
          <w:rFonts w:ascii="Times New Roman" w:hAnsi="Times New Roman"/>
        </w:rPr>
        <w:t xml:space="preserve">).</w:t>
      </w:r>
    </w:p>
    <w:p w:rsidR="00121B80" w:rsidRPr="006C397D" w:rsidRDefault="00121B80">
      <w:pPr>
        <w:rPr>
          <w:rFonts w:ascii="Times New Roman" w:eastAsia="Times New Roman" w:hAnsi="Times New Roman" w:cs="Times New Roman"/>
          <w:kern w:val="2"/>
          <w:sz w:val="24"/>
          <w:szCs w:val="24"/>
        </w:rPr>
      </w:pPr>
    </w:p>
    <w:p w:rsidR="00371CC6" w:rsidRPr="006C397D" w:rsidRDefault="00121B80" w:rsidP="00371CC6">
      <w:pPr>
        <w:pStyle w:val="SNAutorit"/>
        <w:pageBreakBefore/>
        <w:suppressAutoHyphens w:val="0"/>
        <w:ind w:firstLine="0"/>
        <w:jc w:val="both"/>
        <w:rPr>
          <w:b w:val="0"/>
        </w:rPr>
      </w:pPr>
      <w:r>
        <w:rPr>
          <w:b w:val="0"/>
          <w:highlight w:val="yellow"/>
        </w:rPr>
        <w:t xml:space="preserve">Ministrica za ekološko preoblikovanje in pooblaščenec ministrice za ekološko preoblikovanje, odgovoren za stanovanjska vprašanja –</w:t>
      </w:r>
    </w:p>
    <w:p w:rsidR="000A64C4" w:rsidRPr="006C397D" w:rsidRDefault="00972FD1" w:rsidP="00371CC6">
      <w:pPr>
        <w:jc w:val="both"/>
        <w:rPr>
          <w:sz w:val="24"/>
          <w:szCs w:val="24"/>
          <w:rFonts w:ascii="Times New Roman" w:hAnsi="Times New Roman" w:cs="Times New Roman"/>
        </w:rPr>
      </w:pPr>
      <w:r>
        <w:rPr>
          <w:sz w:val="24"/>
          <w:szCs w:val="24"/>
          <w:rFonts w:ascii="Times New Roman" w:hAnsi="Times New Roman"/>
        </w:rPr>
        <w:t xml:space="preserve">ob upoštevanju Direktive (EU) 2015/1535 Evropskega parlamenta in Sveta z dne 9. septembra 2015 o določitvi postopka za zbiranje informacij na področju tehničnih predpisov in pravil za storitve informacijske družbe (kodificirano besedilo), zlasti uradnega obvestila št. </w:t>
      </w:r>
      <w:r>
        <w:rPr>
          <w:sz w:val="24"/>
          <w:szCs w:val="24"/>
          <w:highlight w:val="yellow"/>
          <w:rFonts w:ascii="Times New Roman" w:hAnsi="Times New Roman"/>
        </w:rPr>
        <w:t xml:space="preserve">leto/XXX/F,</w:t>
      </w:r>
    </w:p>
    <w:p w:rsidR="00371CC6"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ob upoštevanju Direktive 2010/31/EU Evropskega parlamenta in Sveta z dne 19. maja 2010 o energetski učinkovitosti stavb, kakor je bila spremenjena z Direktivo 2018/844 Evropskega parlamenta in Sveta z dne 30. maja 2018, zlasti členov 3, 4 in 6,</w:t>
      </w:r>
    </w:p>
    <w:p w:rsidR="00837B47" w:rsidRPr="006C397D" w:rsidRDefault="00837B47" w:rsidP="00371CC6">
      <w:pPr>
        <w:jc w:val="both"/>
        <w:rPr>
          <w:sz w:val="24"/>
          <w:szCs w:val="24"/>
          <w:rFonts w:ascii="Times New Roman" w:hAnsi="Times New Roman" w:cs="Times New Roman"/>
        </w:rPr>
      </w:pPr>
      <w:r>
        <w:rPr>
          <w:sz w:val="24"/>
          <w:szCs w:val="24"/>
          <w:rFonts w:ascii="Times New Roman" w:hAnsi="Times New Roman"/>
        </w:rPr>
        <w:t xml:space="preserve">ob upoštevanju Zakonika o gradnji in stanovanjih, zlasti člena R 111-20-5,</w:t>
      </w:r>
    </w:p>
    <w:p w:rsidR="00371CC6"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ob upoštevanju Odredbe z dne </w:t>
      </w:r>
      <w:r>
        <w:rPr>
          <w:sz w:val="24"/>
          <w:szCs w:val="24"/>
          <w:highlight w:val="yellow"/>
          <w:rFonts w:ascii="Times New Roman" w:hAnsi="Times New Roman"/>
        </w:rPr>
        <w:t xml:space="preserve">XXX</w:t>
      </w:r>
      <w:r>
        <w:rPr>
          <w:sz w:val="24"/>
          <w:szCs w:val="24"/>
          <w:rFonts w:ascii="Times New Roman" w:hAnsi="Times New Roman"/>
        </w:rPr>
        <w:t xml:space="preserve"> o zahtevah glede energetske in okoljske učinkovitosti stanovanjskih zgradb, pisarn ali osnovnih oziroma srednjih šol v matični Franciji,</w:t>
      </w:r>
    </w:p>
    <w:p w:rsidR="00371CC6"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ob upoštevanju pripomb, podanih med javnim posvetovanjem, ki je potekalo od </w:t>
      </w:r>
      <w:r>
        <w:rPr>
          <w:sz w:val="24"/>
          <w:szCs w:val="24"/>
          <w:highlight w:val="yellow"/>
          <w:rFonts w:ascii="Times New Roman" w:hAnsi="Times New Roman"/>
        </w:rPr>
        <w:t xml:space="preserve">xxx</w:t>
      </w:r>
      <w:r>
        <w:rPr>
          <w:sz w:val="24"/>
          <w:szCs w:val="24"/>
          <w:rFonts w:ascii="Times New Roman" w:hAnsi="Times New Roman"/>
        </w:rPr>
        <w:t xml:space="preserve"> do </w:t>
      </w:r>
      <w:r>
        <w:rPr>
          <w:sz w:val="24"/>
          <w:szCs w:val="24"/>
          <w:highlight w:val="yellow"/>
          <w:rFonts w:ascii="Times New Roman" w:hAnsi="Times New Roman"/>
        </w:rPr>
        <w:t xml:space="preserve">xxx</w:t>
      </w:r>
      <w:r>
        <w:rPr>
          <w:sz w:val="24"/>
          <w:szCs w:val="24"/>
          <w:rFonts w:ascii="Times New Roman" w:hAnsi="Times New Roman"/>
        </w:rPr>
        <w:t xml:space="preserve">, na podlagi člena L. 120-1 Okoljskega zakonika,</w:t>
      </w:r>
    </w:p>
    <w:p w:rsidR="00371CC6"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ob upoštevanju mnenja </w:t>
      </w:r>
      <w:r>
        <w:rPr>
          <w:sz w:val="24"/>
          <w:szCs w:val="24"/>
          <w:highlight w:val="yellow"/>
          <w:rFonts w:ascii="Times New Roman" w:hAnsi="Times New Roman"/>
        </w:rPr>
        <w:t xml:space="preserve">Nacionalnega sveta za oceno standardov</w:t>
      </w:r>
      <w:r>
        <w:rPr>
          <w:sz w:val="24"/>
          <w:szCs w:val="24"/>
          <w:rFonts w:ascii="Times New Roman" w:hAnsi="Times New Roman"/>
        </w:rPr>
        <w:t xml:space="preserve"> z dne </w:t>
      </w:r>
      <w:r>
        <w:rPr>
          <w:sz w:val="24"/>
          <w:szCs w:val="24"/>
          <w:highlight w:val="yellow"/>
          <w:rFonts w:ascii="Times New Roman" w:hAnsi="Times New Roman"/>
        </w:rPr>
        <w:t xml:space="preserve">XXX</w:t>
      </w:r>
      <w:r>
        <w:rPr>
          <w:sz w:val="24"/>
          <w:szCs w:val="24"/>
          <w:rFonts w:ascii="Times New Roman" w:hAnsi="Times New Roman"/>
        </w:rPr>
        <w:t xml:space="preserve">,</w:t>
      </w:r>
    </w:p>
    <w:p w:rsidR="00371CC6"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ob upoštevanju mnenja </w:t>
      </w:r>
      <w:r>
        <w:rPr>
          <w:sz w:val="24"/>
          <w:szCs w:val="24"/>
          <w:highlight w:val="yellow"/>
          <w:rFonts w:ascii="Times New Roman" w:hAnsi="Times New Roman"/>
        </w:rPr>
        <w:t xml:space="preserve">Vrhovnega sveta za energijo</w:t>
      </w:r>
      <w:r>
        <w:rPr>
          <w:sz w:val="24"/>
          <w:szCs w:val="24"/>
          <w:rFonts w:ascii="Times New Roman" w:hAnsi="Times New Roman"/>
        </w:rPr>
        <w:t xml:space="preserve"> z dne </w:t>
      </w:r>
      <w:r>
        <w:rPr>
          <w:sz w:val="24"/>
          <w:szCs w:val="24"/>
          <w:highlight w:val="yellow"/>
          <w:rFonts w:ascii="Times New Roman" w:hAnsi="Times New Roman"/>
        </w:rPr>
        <w:t xml:space="preserve">XXX</w:t>
      </w:r>
      <w:r>
        <w:rPr>
          <w:sz w:val="24"/>
          <w:szCs w:val="24"/>
          <w:rFonts w:ascii="Times New Roman" w:hAnsi="Times New Roman"/>
        </w:rPr>
        <w:t xml:space="preserve">,</w:t>
      </w:r>
    </w:p>
    <w:p w:rsidR="00371CC6"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ob upoštevanju mnenja Vrhovnega sveta za gradbeništvo in energetsko učinkovitost z dne </w:t>
      </w:r>
      <w:r>
        <w:rPr>
          <w:sz w:val="24"/>
          <w:szCs w:val="24"/>
          <w:highlight w:val="yellow"/>
          <w:rFonts w:ascii="Times New Roman" w:hAnsi="Times New Roman"/>
        </w:rPr>
        <w:t xml:space="preserve">XXX</w:t>
      </w:r>
      <w:r>
        <w:rPr>
          <w:sz w:val="24"/>
          <w:szCs w:val="24"/>
          <w:rFonts w:ascii="Times New Roman" w:hAnsi="Times New Roman"/>
        </w:rPr>
        <w:t xml:space="preserve">,</w:t>
      </w:r>
    </w:p>
    <w:p w:rsidR="00371CC6"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ob upoštevanju pisma Skupščine Gvajane z dne </w:t>
      </w:r>
      <w:r>
        <w:rPr>
          <w:sz w:val="24"/>
          <w:szCs w:val="24"/>
          <w:highlight w:val="yellow"/>
          <w:rFonts w:ascii="Times New Roman" w:hAnsi="Times New Roman"/>
        </w:rPr>
        <w:t xml:space="preserve">XXX</w:t>
      </w:r>
      <w:r>
        <w:rPr>
          <w:sz w:val="24"/>
          <w:szCs w:val="24"/>
          <w:rFonts w:ascii="Times New Roman" w:hAnsi="Times New Roman"/>
        </w:rPr>
        <w:t xml:space="preserve">,</w:t>
      </w:r>
    </w:p>
    <w:p w:rsidR="00371CC6"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ob upoštevanju pisma Skupščine Martinika z dne </w:t>
      </w:r>
      <w:r>
        <w:rPr>
          <w:sz w:val="24"/>
          <w:szCs w:val="24"/>
          <w:highlight w:val="yellow"/>
          <w:rFonts w:ascii="Times New Roman" w:hAnsi="Times New Roman"/>
        </w:rPr>
        <w:t xml:space="preserve">XXX</w:t>
      </w:r>
      <w:r>
        <w:rPr>
          <w:sz w:val="24"/>
          <w:szCs w:val="24"/>
          <w:rFonts w:ascii="Times New Roman" w:hAnsi="Times New Roman"/>
        </w:rPr>
        <w:t xml:space="preserve">,</w:t>
      </w:r>
    </w:p>
    <w:p w:rsidR="00371CC6"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ob upoštevanju pisma Departmajskega sveta Gvadelupa z dne </w:t>
      </w:r>
      <w:r>
        <w:rPr>
          <w:sz w:val="24"/>
          <w:szCs w:val="24"/>
          <w:highlight w:val="yellow"/>
          <w:rFonts w:ascii="Times New Roman" w:hAnsi="Times New Roman"/>
        </w:rPr>
        <w:t xml:space="preserve">XXX</w:t>
      </w:r>
      <w:r>
        <w:rPr>
          <w:sz w:val="24"/>
          <w:szCs w:val="24"/>
          <w:rFonts w:ascii="Times New Roman" w:hAnsi="Times New Roman"/>
        </w:rPr>
        <w:t xml:space="preserve">,</w:t>
      </w:r>
    </w:p>
    <w:p w:rsidR="00371CC6"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ob upoštevanju pisma Departmajskega sveta Reuniona z dne </w:t>
      </w:r>
      <w:r>
        <w:rPr>
          <w:sz w:val="24"/>
          <w:szCs w:val="24"/>
          <w:highlight w:val="yellow"/>
          <w:rFonts w:ascii="Times New Roman" w:hAnsi="Times New Roman"/>
        </w:rPr>
        <w:t xml:space="preserve">XXX</w:t>
      </w:r>
      <w:r>
        <w:rPr>
          <w:sz w:val="24"/>
          <w:szCs w:val="24"/>
          <w:rFonts w:ascii="Times New Roman" w:hAnsi="Times New Roman"/>
        </w:rPr>
        <w:t xml:space="preserve">,</w:t>
      </w:r>
    </w:p>
    <w:p w:rsidR="00371CC6"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ob upoštevanju pisma Regionalnega sveta Gvadelupa z dne </w:t>
      </w:r>
      <w:r>
        <w:rPr>
          <w:sz w:val="24"/>
          <w:szCs w:val="24"/>
          <w:highlight w:val="yellow"/>
          <w:rFonts w:ascii="Times New Roman" w:hAnsi="Times New Roman"/>
        </w:rPr>
        <w:t xml:space="preserve">XXX</w:t>
      </w:r>
      <w:r>
        <w:rPr>
          <w:sz w:val="24"/>
          <w:szCs w:val="24"/>
          <w:rFonts w:ascii="Times New Roman" w:hAnsi="Times New Roman"/>
        </w:rPr>
        <w:t xml:space="preserve">,</w:t>
      </w:r>
    </w:p>
    <w:p w:rsidR="00371CC6"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ob upoštevanju pisma Regionalnega sveta Reuniona z dne </w:t>
      </w:r>
      <w:r>
        <w:rPr>
          <w:sz w:val="24"/>
          <w:szCs w:val="24"/>
          <w:highlight w:val="yellow"/>
          <w:rFonts w:ascii="Times New Roman" w:hAnsi="Times New Roman"/>
        </w:rPr>
        <w:t xml:space="preserve">XXX</w:t>
      </w:r>
      <w:r>
        <w:rPr>
          <w:sz w:val="24"/>
          <w:szCs w:val="24"/>
          <w:rFonts w:ascii="Times New Roman" w:hAnsi="Times New Roman"/>
        </w:rPr>
        <w:t xml:space="preserve">,</w:t>
      </w:r>
    </w:p>
    <w:p w:rsidR="00121B80"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ob upoštevanju pisma Departmajskega sveta Mayotta z dne </w:t>
      </w:r>
      <w:r>
        <w:rPr>
          <w:sz w:val="24"/>
          <w:szCs w:val="24"/>
          <w:highlight w:val="yellow"/>
          <w:rFonts w:ascii="Times New Roman" w:hAnsi="Times New Roman"/>
        </w:rPr>
        <w:t xml:space="preserve">XXX</w:t>
      </w:r>
      <w:r>
        <w:rPr>
          <w:sz w:val="24"/>
          <w:szCs w:val="24"/>
          <w:rFonts w:ascii="Times New Roman" w:hAnsi="Times New Roman"/>
        </w:rPr>
        <w:t xml:space="preserve"> –</w:t>
      </w:r>
    </w:p>
    <w:p w:rsidR="00371CC6" w:rsidRPr="006C397D" w:rsidRDefault="00371CC6" w:rsidP="00371CC6">
      <w:pPr>
        <w:jc w:val="both"/>
        <w:rPr>
          <w:rFonts w:ascii="Times New Roman" w:hAnsi="Times New Roman" w:cs="Times New Roman"/>
          <w:sz w:val="24"/>
          <w:szCs w:val="24"/>
        </w:rPr>
      </w:pPr>
    </w:p>
    <w:p w:rsidR="00121B80" w:rsidRPr="006C397D" w:rsidRDefault="00121B80">
      <w:pPr>
        <w:widowControl w:val="0"/>
        <w:spacing w:after="0" w:line="240" w:lineRule="auto"/>
        <w:rPr>
          <w:rFonts w:ascii="Times New Roman" w:hAnsi="Times New Roman" w:cs="Times New Roman"/>
          <w:sz w:val="24"/>
          <w:szCs w:val="24"/>
        </w:rPr>
      </w:pPr>
    </w:p>
    <w:p w:rsidR="00121B80" w:rsidRPr="006C397D" w:rsidRDefault="00121B80" w:rsidP="006C397D">
      <w:pPr>
        <w:keepNext/>
        <w:widowControl w:val="0"/>
        <w:spacing w:after="0" w:line="240" w:lineRule="auto"/>
        <w:jc w:val="center"/>
      </w:pPr>
      <w:r>
        <w:rPr>
          <w:b/>
          <w:sz w:val="24"/>
          <w:szCs w:val="24"/>
          <w:rFonts w:ascii="Times New Roman" w:hAnsi="Times New Roman"/>
        </w:rPr>
        <w:t xml:space="preserve">odrejata:</w:t>
      </w:r>
    </w:p>
    <w:p w:rsidR="00121B80" w:rsidRPr="006C397D" w:rsidRDefault="00121B80" w:rsidP="006C397D">
      <w:pPr>
        <w:keepNext/>
        <w:widowControl w:val="0"/>
        <w:spacing w:after="0" w:line="240" w:lineRule="auto"/>
      </w:pPr>
      <w:r>
        <w:rPr>
          <w:sz w:val="24"/>
          <w:szCs w:val="24"/>
          <w:rFonts w:ascii="Times New Roman" w:hAnsi="Times New Roman"/>
        </w:rPr>
        <w:t xml:space="preserve"> </w:t>
      </w:r>
    </w:p>
    <w:p w:rsidR="00121B80" w:rsidRPr="006C397D" w:rsidRDefault="00121B80" w:rsidP="006C397D">
      <w:pPr>
        <w:keepNext/>
        <w:widowControl w:val="0"/>
        <w:tabs>
          <w:tab w:val="left" w:pos="3030"/>
        </w:tabs>
        <w:spacing w:after="0" w:line="240" w:lineRule="auto"/>
      </w:pPr>
      <w:r>
        <w:rPr>
          <w:sz w:val="24"/>
          <w:szCs w:val="24"/>
          <w:rFonts w:ascii="Times New Roman" w:hAnsi="Times New Roman"/>
        </w:rPr>
        <w:t xml:space="preserve"> </w:t>
      </w:r>
    </w:p>
    <w:p w:rsidR="00121B80" w:rsidRPr="006C397D" w:rsidRDefault="00121B80" w:rsidP="006C397D">
      <w:pPr>
        <w:pStyle w:val="SNArticle"/>
        <w:keepNext/>
        <w:rPr>
          <w:rFonts w:ascii="Times New Roman" w:hAnsi="Times New Roman" w:cs="Times New Roman"/>
        </w:rPr>
      </w:pPr>
      <w:r>
        <w:rPr>
          <w:rFonts w:ascii="Times New Roman" w:hAnsi="Times New Roman"/>
        </w:rPr>
        <w:t xml:space="preserve">Člen 1</w:t>
      </w:r>
    </w:p>
    <w:p w:rsidR="00121B80" w:rsidRPr="006C397D" w:rsidRDefault="00371CC6">
      <w:pPr>
        <w:widowControl w:val="0"/>
        <w:spacing w:after="0" w:line="240" w:lineRule="auto"/>
        <w:rPr>
          <w:bCs/>
          <w:sz w:val="24"/>
          <w:szCs w:val="24"/>
          <w:rFonts w:ascii="Times New Roman" w:hAnsi="Times New Roman" w:cs="Times New Roman"/>
        </w:rPr>
      </w:pPr>
      <w:r>
        <w:rPr>
          <w:bCs/>
          <w:sz w:val="24"/>
          <w:szCs w:val="24"/>
          <w:rFonts w:ascii="Times New Roman" w:hAnsi="Times New Roman"/>
        </w:rPr>
        <w:t xml:space="preserve">Odobri se metoda za izračun, priložena v prilogi k tej odredbi, navedena v členu R.111-20-5 Zakonika o gradnji in stanovanjih.</w:t>
      </w:r>
    </w:p>
    <w:p w:rsidR="001776C9" w:rsidRPr="006C397D" w:rsidRDefault="001776C9">
      <w:pPr>
        <w:widowControl w:val="0"/>
        <w:spacing w:after="0" w:line="240" w:lineRule="auto"/>
        <w:rPr>
          <w:rFonts w:ascii="Times New Roman" w:hAnsi="Times New Roman" w:cs="Times New Roman"/>
          <w:bCs/>
          <w:sz w:val="24"/>
          <w:szCs w:val="24"/>
        </w:rPr>
      </w:pPr>
    </w:p>
    <w:p w:rsidR="006C397D" w:rsidRPr="006C397D" w:rsidRDefault="006C397D">
      <w:pPr>
        <w:widowControl w:val="0"/>
        <w:spacing w:after="0" w:line="240" w:lineRule="auto"/>
        <w:rPr>
          <w:rFonts w:ascii="Times New Roman" w:hAnsi="Times New Roman" w:cs="Times New Roman"/>
          <w:bCs/>
          <w:sz w:val="24"/>
          <w:szCs w:val="24"/>
        </w:rPr>
      </w:pPr>
    </w:p>
    <w:p w:rsidR="00121B80" w:rsidRPr="006C397D" w:rsidRDefault="00121B80" w:rsidP="006C397D">
      <w:pPr>
        <w:keepNext/>
        <w:widowControl w:val="0"/>
        <w:spacing w:after="0" w:line="240" w:lineRule="auto"/>
        <w:jc w:val="center"/>
      </w:pPr>
      <w:r>
        <w:rPr>
          <w:b/>
          <w:bCs/>
          <w:sz w:val="24"/>
          <w:szCs w:val="24"/>
          <w:rFonts w:ascii="Times New Roman" w:hAnsi="Times New Roman"/>
        </w:rPr>
        <w:t xml:space="preserve">Člen 2</w:t>
      </w:r>
    </w:p>
    <w:p w:rsidR="00121B80" w:rsidRPr="006C397D" w:rsidRDefault="00121B80" w:rsidP="006C397D">
      <w:pPr>
        <w:keepNext/>
        <w:widowControl w:val="0"/>
        <w:spacing w:after="0" w:line="240" w:lineRule="auto"/>
        <w:jc w:val="center"/>
        <w:rPr>
          <w:rFonts w:ascii="Times New Roman" w:hAnsi="Times New Roman" w:cs="Times New Roman"/>
          <w:sz w:val="24"/>
          <w:szCs w:val="24"/>
        </w:rPr>
      </w:pPr>
    </w:p>
    <w:p w:rsidR="00121B80" w:rsidRPr="006C397D" w:rsidRDefault="00371CC6" w:rsidP="006C397D">
      <w:pPr>
        <w:widowControl w:val="0"/>
        <w:spacing w:after="0" w:line="240" w:lineRule="auto"/>
        <w:jc w:val="both"/>
      </w:pPr>
      <w:r>
        <w:rPr>
          <w:color w:val="000000"/>
          <w:sz w:val="24"/>
          <w:szCs w:val="24"/>
          <w:rFonts w:ascii="Times New Roman" w:hAnsi="Times New Roman"/>
        </w:rPr>
        <w:t xml:space="preserve">Direktor za stanovanja, urbanizem in pokrajine ter generalni direktor za energijo in podnebje sta vsak v skladu s svojimi pristojnostmi odgovorna za izvajanje te odredbe, ki bo objavljena v Uradnem listu ministrstva za ekološko in solidarnostno preoblikovanje.</w:t>
      </w:r>
    </w:p>
    <w:p w:rsidR="00121B80" w:rsidRPr="006C397D" w:rsidRDefault="00121B80">
      <w:pPr>
        <w:widowControl w:val="0"/>
        <w:spacing w:after="0" w:line="240" w:lineRule="auto"/>
        <w:jc w:val="both"/>
      </w:pPr>
    </w:p>
    <w:p w:rsidR="00121B80" w:rsidRPr="006C397D" w:rsidRDefault="00121B80">
      <w:pPr>
        <w:widowControl w:val="0"/>
        <w:spacing w:after="0" w:line="240" w:lineRule="auto"/>
      </w:pPr>
    </w:p>
    <w:p w:rsidR="00121B80" w:rsidRPr="006C397D" w:rsidRDefault="00121B80">
      <w:pPr>
        <w:pStyle w:val="SNSignature"/>
        <w:ind w:firstLine="0"/>
        <w:jc w:val="right"/>
      </w:pPr>
    </w:p>
    <w:p w:rsidR="00121B80" w:rsidRPr="006C397D" w:rsidRDefault="00121B80">
      <w:pPr>
        <w:pStyle w:val="SNSignature"/>
        <w:ind w:firstLine="0"/>
        <w:jc w:val="right"/>
      </w:pPr>
    </w:p>
    <w:p w:rsidR="00121B80" w:rsidRPr="006C397D" w:rsidRDefault="00121B80">
      <w:pPr>
        <w:pStyle w:val="SNSignature"/>
        <w:ind w:firstLine="0"/>
      </w:pPr>
    </w:p>
    <w:p w:rsidR="00121B80" w:rsidRPr="006C397D" w:rsidRDefault="00121B80">
      <w:pPr>
        <w:widowControl w:val="0"/>
        <w:spacing w:after="0" w:line="240" w:lineRule="auto"/>
      </w:pPr>
    </w:p>
    <w:p w:rsidR="00121B80" w:rsidRPr="006C397D" w:rsidRDefault="00121B80">
      <w:pPr>
        <w:pStyle w:val="SNSignatureDroite"/>
        <w:jc w:val="left"/>
      </w:pPr>
      <w:r>
        <w:t xml:space="preserve">Ministrica za ekološko preoblikovanje</w:t>
      </w:r>
      <w:r>
        <w:t xml:space="preserve"> </w:t>
      </w:r>
    </w:p>
    <w:p w:rsidR="00121B80" w:rsidRPr="006C397D" w:rsidRDefault="00121B80">
      <w:pPr>
        <w:pStyle w:val="SNSignatureDroite"/>
        <w:jc w:val="left"/>
      </w:pPr>
      <w:r>
        <w:t xml:space="preserve">Za ministrico in po njenem pooblastilu:</w:t>
      </w:r>
    </w:p>
    <w:p w:rsidR="00371CC6" w:rsidRPr="006C397D" w:rsidRDefault="00121B80">
      <w:pPr>
        <w:pStyle w:val="SNSignatureDroite"/>
        <w:jc w:val="left"/>
      </w:pPr>
      <w:r>
        <w:t xml:space="preserve">direktor za stanovanja, urbanizem in pokrajine,</w:t>
      </w:r>
    </w:p>
    <w:p w:rsidR="00121B80" w:rsidRPr="006C397D" w:rsidRDefault="00121B80">
      <w:pPr>
        <w:pStyle w:val="SNSignatureDroite"/>
        <w:jc w:val="left"/>
      </w:pPr>
    </w:p>
    <w:p w:rsidR="00121B80" w:rsidRPr="006C397D" w:rsidRDefault="00121B80">
      <w:pPr>
        <w:pStyle w:val="SNSignatureDroite"/>
        <w:jc w:val="left"/>
      </w:pPr>
    </w:p>
    <w:p w:rsidR="00121B80" w:rsidRPr="006C397D" w:rsidRDefault="00121B80">
      <w:pPr>
        <w:pStyle w:val="SNSignatureDroite"/>
        <w:jc w:val="left"/>
      </w:pPr>
    </w:p>
    <w:p w:rsidR="00121B80" w:rsidRPr="006C397D" w:rsidRDefault="00121B80">
      <w:pPr>
        <w:pStyle w:val="SNSignatureDroite"/>
        <w:jc w:val="left"/>
      </w:pPr>
    </w:p>
    <w:p w:rsidR="00121B80" w:rsidRPr="006C397D" w:rsidRDefault="00121B80">
      <w:pPr>
        <w:pStyle w:val="SNSignatureDroite"/>
        <w:jc w:val="left"/>
      </w:pPr>
    </w:p>
    <w:p w:rsidR="00121B80" w:rsidRPr="006C397D" w:rsidRDefault="00121B80">
      <w:pPr>
        <w:pStyle w:val="SNSignature"/>
        <w:ind w:firstLine="0"/>
      </w:pPr>
    </w:p>
    <w:p w:rsidR="00121B80" w:rsidRPr="006C397D" w:rsidRDefault="00121B80">
      <w:pPr>
        <w:pStyle w:val="SNSignature"/>
        <w:ind w:firstLine="0"/>
        <w:jc w:val="right"/>
      </w:pPr>
      <w:r>
        <w:t xml:space="preserve">Ministrica za ekološko preoblikovanje</w:t>
      </w:r>
    </w:p>
    <w:p w:rsidR="00121B80" w:rsidRPr="006C397D" w:rsidRDefault="00121B80">
      <w:pPr>
        <w:pStyle w:val="SNSignature"/>
        <w:ind w:firstLine="0"/>
        <w:jc w:val="right"/>
      </w:pPr>
      <w:r>
        <w:t xml:space="preserve">Za ministrico in po njenem pooblastilu:</w:t>
      </w:r>
    </w:p>
    <w:p w:rsidR="00121B80" w:rsidRPr="006C397D" w:rsidRDefault="00121B80">
      <w:pPr>
        <w:pStyle w:val="SNSignature"/>
        <w:ind w:firstLine="0"/>
        <w:jc w:val="right"/>
      </w:pPr>
      <w:r>
        <w:t xml:space="preserve">generalni direktor za energijo in podnebje,</w:t>
      </w:r>
    </w:p>
    <w:p w:rsidR="00121B80" w:rsidRPr="006C397D" w:rsidRDefault="00121B80">
      <w:pPr>
        <w:pStyle w:val="SNSignature"/>
        <w:ind w:firstLine="0"/>
        <w:jc w:val="right"/>
      </w:pPr>
    </w:p>
    <w:p w:rsidR="00121B80" w:rsidRPr="006C397D" w:rsidRDefault="00121B80">
      <w:pPr>
        <w:pStyle w:val="SNSignature"/>
        <w:ind w:firstLine="0"/>
        <w:jc w:val="right"/>
      </w:pPr>
    </w:p>
    <w:p w:rsidR="00121B80" w:rsidRPr="006C397D" w:rsidRDefault="00121B80">
      <w:pPr>
        <w:pStyle w:val="SNSignature"/>
        <w:ind w:firstLine="0"/>
        <w:jc w:val="right"/>
      </w:pPr>
    </w:p>
    <w:p w:rsidR="00121B80" w:rsidRPr="006C397D" w:rsidRDefault="00121B80">
      <w:pPr>
        <w:pStyle w:val="SNSignature"/>
        <w:ind w:firstLine="0"/>
      </w:pPr>
    </w:p>
    <w:p w:rsidR="00121B80" w:rsidRPr="006C397D" w:rsidRDefault="00121B80">
      <w:pPr>
        <w:pStyle w:val="SNSignature"/>
        <w:ind w:firstLine="0"/>
      </w:pPr>
    </w:p>
    <w:p w:rsidR="00121B80" w:rsidRPr="006C397D" w:rsidRDefault="00121B80">
      <w:pPr>
        <w:pStyle w:val="SNSignatureDroite"/>
        <w:jc w:val="left"/>
      </w:pPr>
      <w:r>
        <w:t xml:space="preserve">pooblaščenec ministrice za ekološko preoblikovanje,</w:t>
      </w:r>
      <w:r>
        <w:t xml:space="preserve"> </w:t>
      </w:r>
    </w:p>
    <w:p w:rsidR="00121B80" w:rsidRPr="006C397D" w:rsidRDefault="00121B80">
      <w:pPr>
        <w:pStyle w:val="SNSignatureDroite"/>
        <w:jc w:val="left"/>
      </w:pPr>
      <w:r>
        <w:t xml:space="preserve">odgovoren za stanovanjska vprašanja</w:t>
      </w:r>
    </w:p>
    <w:p w:rsidR="00121B80" w:rsidRPr="006C397D" w:rsidRDefault="00121B80">
      <w:pPr>
        <w:pStyle w:val="SNSignatureDroite"/>
        <w:jc w:val="left"/>
      </w:pPr>
      <w:r>
        <w:t xml:space="preserve">Za ministrico in po njenem pooblastilu:</w:t>
      </w:r>
    </w:p>
    <w:p w:rsidR="00121B80" w:rsidRPr="006C397D" w:rsidRDefault="00121B80">
      <w:pPr>
        <w:pStyle w:val="SNSignatureDroite"/>
        <w:jc w:val="left"/>
      </w:pPr>
      <w:r>
        <w:t xml:space="preserve">direktor za stanovanja, urbanizem in pokrajine,</w:t>
      </w:r>
    </w:p>
    <w:sectPr w:rsidR="00121B80" w:rsidRPr="006C397D">
      <w:pgSz w:w="11906" w:h="16838"/>
      <w:pgMar w:top="1133" w:right="1133" w:bottom="1133" w:left="1133" w:header="720" w:footer="720" w:gutter="0"/>
      <w:cols w:space="72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9A1" w:rsidRDefault="00D269A1" w:rsidP="0079276F">
      <w:pPr>
        <w:spacing w:after="0" w:line="240" w:lineRule="auto"/>
      </w:pPr>
      <w:r>
        <w:separator/>
      </w:r>
    </w:p>
  </w:endnote>
  <w:endnote w:type="continuationSeparator" w:id="0">
    <w:p w:rsidR="00D269A1" w:rsidRDefault="00D269A1" w:rsidP="00792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ont443">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微软雅黑">
    <w:altName w:val="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9A1" w:rsidRDefault="00D269A1" w:rsidP="0079276F">
      <w:pPr>
        <w:spacing w:after="0" w:line="240" w:lineRule="auto"/>
      </w:pPr>
      <w:r>
        <w:separator/>
      </w:r>
    </w:p>
  </w:footnote>
  <w:footnote w:type="continuationSeparator" w:id="0">
    <w:p w:rsidR="00D269A1" w:rsidRDefault="00D269A1" w:rsidP="00792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48612A"/>
    <w:multiLevelType w:val="hybridMultilevel"/>
    <w:tmpl w:val="596E649E"/>
    <w:lvl w:ilvl="0" w:tplc="DC8EE016">
      <w:start w:val="2"/>
      <w:numFmt w:val="bullet"/>
      <w:lvlText w:val="-"/>
      <w:lvlJc w:val="left"/>
      <w:pPr>
        <w:ind w:left="720" w:hanging="360"/>
      </w:pPr>
      <w:rPr>
        <w:rFonts w:ascii="Times New Roman" w:eastAsia="font443"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dirty"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C7E"/>
    <w:rsid w:val="000370CB"/>
    <w:rsid w:val="000A64C4"/>
    <w:rsid w:val="00121B80"/>
    <w:rsid w:val="001776C9"/>
    <w:rsid w:val="002B5C7E"/>
    <w:rsid w:val="00304F7E"/>
    <w:rsid w:val="003305DB"/>
    <w:rsid w:val="00371CC6"/>
    <w:rsid w:val="0049409A"/>
    <w:rsid w:val="006C397D"/>
    <w:rsid w:val="0078501D"/>
    <w:rsid w:val="0079276F"/>
    <w:rsid w:val="00837B47"/>
    <w:rsid w:val="00890FE9"/>
    <w:rsid w:val="008F5F95"/>
    <w:rsid w:val="00971E35"/>
    <w:rsid w:val="00972FD1"/>
    <w:rsid w:val="00A73D1D"/>
    <w:rsid w:val="00A92569"/>
    <w:rsid w:val="00AA1C12"/>
    <w:rsid w:val="00D125B4"/>
    <w:rsid w:val="00D269A1"/>
    <w:rsid w:val="00D85F5D"/>
    <w:rsid w:val="00F475E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5BE0C78"/>
  <w15:chartTrackingRefBased/>
  <w15:docId w15:val="{43D3994F-6DA6-47FF-AAD0-60A77FDF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60" w:line="252" w:lineRule="auto"/>
    </w:pPr>
    <w:rPr>
      <w:rFonts w:ascii="Calibri" w:eastAsia="font443" w:hAnsi="Calibri" w:cs="font44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style>
  <w:style w:type="character" w:customStyle="1" w:styleId="lev1">
    <w:name w:val="Élevé1"/>
    <w:rPr>
      <w:b/>
      <w:bCs/>
    </w:rPr>
  </w:style>
  <w:style w:type="character" w:customStyle="1" w:styleId="CorpsdetexteCar">
    <w:name w:val="Corps de texte Car"/>
    <w:rPr>
      <w:rFonts w:ascii="Times New Roman" w:eastAsia="Times New Roman" w:hAnsi="Times New Roman" w:cs="Times New Roman"/>
      <w:kern w:val="2"/>
      <w:sz w:val="24"/>
      <w:szCs w:val="24"/>
      <w:lang w:eastAsia="zh-CN"/>
    </w:rPr>
  </w:style>
  <w:style w:type="character" w:customStyle="1" w:styleId="SNArticleCar">
    <w:name w:val="SNArticle Car"/>
    <w:rPr>
      <w:b/>
      <w:sz w:val="24"/>
      <w:szCs w:val="24"/>
    </w:rPr>
  </w:style>
  <w:style w:type="character" w:styleId="Hyperlink">
    <w:name w:val="Hyperlink"/>
    <w:rPr>
      <w:color w:val="0563C1"/>
      <w:u w:val="single"/>
    </w:rPr>
  </w:style>
  <w:style w:type="character" w:customStyle="1" w:styleId="Marquedecommentaire1">
    <w:name w:val="Marque de commentaire1"/>
    <w:rPr>
      <w:sz w:val="16"/>
      <w:szCs w:val="16"/>
    </w:rPr>
  </w:style>
  <w:style w:type="character" w:customStyle="1" w:styleId="CommentaireCar">
    <w:name w:val="Commentaire Car"/>
    <w:rPr>
      <w:sz w:val="20"/>
      <w:szCs w:val="20"/>
    </w:rPr>
  </w:style>
  <w:style w:type="character" w:customStyle="1" w:styleId="ObjetducommentaireCar">
    <w:name w:val="Objet du commentaire Car"/>
    <w:rPr>
      <w:b/>
      <w:bCs/>
      <w:sz w:val="20"/>
      <w:szCs w:val="20"/>
    </w:rPr>
  </w:style>
  <w:style w:type="character" w:customStyle="1" w:styleId="TextedebullesCar">
    <w:name w:val="Texte de bulles Car"/>
    <w:rPr>
      <w:rFonts w:ascii="Segoe UI" w:hAnsi="Segoe UI" w:cs="Segoe UI"/>
      <w:sz w:val="18"/>
      <w:szCs w:val="18"/>
    </w:rPr>
  </w:style>
  <w:style w:type="character" w:customStyle="1" w:styleId="En-tteCar">
    <w:name w:val="En-tête Car"/>
    <w:basedOn w:val="Policepardfaut1"/>
  </w:style>
  <w:style w:type="character" w:customStyle="1" w:styleId="PieddepageCar">
    <w:name w:val="Pied de page Car"/>
    <w:basedOn w:val="Policepardfaut1"/>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eastAsia="font443" w:cs="Times New Roman"/>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eastAsia="font443" w:cs="Times New Roman"/>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ascii="Times New Roman" w:hAnsi="Times New Roman" w:cs="Times New Roman"/>
      <w:i/>
      <w:iCs/>
      <w:sz w:val="24"/>
      <w:szCs w:val="24"/>
    </w:rPr>
  </w:style>
  <w:style w:type="paragraph" w:customStyle="1" w:styleId="Titre1">
    <w:name w:val="Titre1"/>
    <w:basedOn w:val="Normal"/>
    <w:next w:val="BodyText"/>
    <w:pPr>
      <w:keepNext/>
      <w:spacing w:before="240" w:after="120"/>
    </w:pPr>
    <w:rPr>
      <w:rFonts w:ascii="Liberation Sans" w:eastAsia="微软雅黑" w:hAnsi="Liberation Sans" w:cs="Lucida Sans"/>
      <w:sz w:val="28"/>
      <w:szCs w:val="28"/>
    </w:rPr>
  </w:style>
  <w:style w:type="paragraph" w:styleId="BodyText">
    <w:name w:val="Body Text"/>
    <w:basedOn w:val="Normal"/>
    <w:pPr>
      <w:spacing w:after="120" w:line="240" w:lineRule="auto"/>
      <w:jc w:val="both"/>
    </w:pPr>
    <w:rPr>
      <w:rFonts w:ascii="Times New Roman" w:eastAsia="Times New Roman" w:hAnsi="Times New Roman" w:cs="Times New Roman"/>
      <w:kern w:val="2"/>
      <w:sz w:val="24"/>
      <w:szCs w:val="24"/>
      <w:lang w:eastAsia="zh-CN"/>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SNNORCentr">
    <w:name w:val="SNNOR+Centré"/>
    <w:next w:val="Normal"/>
    <w:pPr>
      <w:suppressAutoHyphens/>
      <w:jc w:val="center"/>
    </w:pPr>
    <w:rPr>
      <w:bCs/>
      <w:kern w:val="2"/>
      <w:sz w:val="24"/>
      <w:lang w:eastAsia="zh-CN"/>
    </w:rPr>
  </w:style>
  <w:style w:type="paragraph" w:customStyle="1" w:styleId="Corpsdetexte21">
    <w:name w:val="Corps de texte 21"/>
    <w:basedOn w:val="Normal"/>
    <w:pPr>
      <w:spacing w:after="0" w:line="240" w:lineRule="auto"/>
      <w:jc w:val="center"/>
    </w:pPr>
    <w:rPr>
      <w:rFonts w:ascii="Times New Roman" w:eastAsia="Times New Roman" w:hAnsi="Times New Roman" w:cs="Times New Roman"/>
      <w:b/>
      <w:bCs/>
      <w:kern w:val="2"/>
      <w:sz w:val="24"/>
      <w:szCs w:val="24"/>
      <w:lang w:eastAsia="zh-CN"/>
    </w:rPr>
  </w:style>
  <w:style w:type="paragraph" w:customStyle="1" w:styleId="western">
    <w:name w:val="western"/>
    <w:basedOn w:val="Normal"/>
    <w:pPr>
      <w:spacing w:before="100" w:after="119" w:line="240" w:lineRule="auto"/>
      <w:jc w:val="both"/>
    </w:pPr>
    <w:rPr>
      <w:rFonts w:ascii="Times New Roman" w:eastAsia="Times New Roman" w:hAnsi="Times New Roman" w:cs="Times New Roman"/>
      <w:kern w:val="2"/>
      <w:sz w:val="24"/>
      <w:szCs w:val="24"/>
      <w:lang w:eastAsia="zh-CN"/>
    </w:rPr>
  </w:style>
  <w:style w:type="paragraph" w:customStyle="1" w:styleId="SNSignature">
    <w:name w:val="SNSignature"/>
    <w:basedOn w:val="Normal"/>
    <w:pPr>
      <w:spacing w:after="0" w:line="240" w:lineRule="auto"/>
      <w:ind w:firstLine="720"/>
    </w:pPr>
    <w:rPr>
      <w:rFonts w:ascii="Times New Roman" w:eastAsia="Times New Roman" w:hAnsi="Times New Roman" w:cs="Times New Roman"/>
      <w:kern w:val="2"/>
      <w:sz w:val="24"/>
      <w:szCs w:val="24"/>
      <w:lang w:eastAsia="zh-CN"/>
    </w:rPr>
  </w:style>
  <w:style w:type="paragraph" w:customStyle="1" w:styleId="SNSignatureDroite">
    <w:name w:val="SNSignature Droite"/>
    <w:basedOn w:val="Normal"/>
    <w:pPr>
      <w:spacing w:after="0" w:line="240" w:lineRule="auto"/>
      <w:jc w:val="right"/>
    </w:pPr>
    <w:rPr>
      <w:rFonts w:ascii="Times New Roman" w:eastAsia="Times New Roman" w:hAnsi="Times New Roman" w:cs="Times New Roman"/>
      <w:kern w:val="2"/>
      <w:sz w:val="24"/>
      <w:szCs w:val="24"/>
      <w:lang w:eastAsia="zh-CN"/>
    </w:rPr>
  </w:style>
  <w:style w:type="paragraph" w:customStyle="1" w:styleId="SNAutorit">
    <w:name w:val="SNAutorité"/>
    <w:basedOn w:val="Normal"/>
    <w:pPr>
      <w:spacing w:before="720" w:after="240" w:line="240" w:lineRule="auto"/>
      <w:ind w:firstLine="720"/>
    </w:pPr>
    <w:rPr>
      <w:rFonts w:ascii="Times New Roman" w:eastAsia="Times New Roman" w:hAnsi="Times New Roman" w:cs="Times New Roman"/>
      <w:b/>
      <w:kern w:val="2"/>
      <w:sz w:val="24"/>
      <w:szCs w:val="24"/>
      <w:lang w:eastAsia="zh-CN"/>
    </w:rPr>
  </w:style>
  <w:style w:type="paragraph" w:customStyle="1" w:styleId="SNVisa">
    <w:name w:val="SNVisa"/>
    <w:basedOn w:val="Normal"/>
    <w:pPr>
      <w:spacing w:before="120" w:after="120" w:line="240" w:lineRule="auto"/>
      <w:ind w:firstLine="720"/>
    </w:pPr>
    <w:rPr>
      <w:rFonts w:ascii="Times New Roman" w:eastAsia="Times New Roman" w:hAnsi="Times New Roman" w:cs="Times New Roman"/>
      <w:sz w:val="24"/>
      <w:szCs w:val="24"/>
    </w:rPr>
  </w:style>
  <w:style w:type="paragraph" w:styleId="NormalWeb">
    <w:name w:val="Normal (Web)"/>
    <w:basedOn w:val="Normal"/>
    <w:pPr>
      <w:spacing w:before="280" w:after="142" w:line="288" w:lineRule="auto"/>
    </w:pPr>
    <w:rPr>
      <w:rFonts w:ascii="Times New Roman" w:eastAsia="Times New Roman" w:hAnsi="Times New Roman" w:cs="Times New Roman"/>
      <w:sz w:val="24"/>
      <w:szCs w:val="24"/>
    </w:rPr>
  </w:style>
  <w:style w:type="paragraph" w:customStyle="1" w:styleId="SNArticle">
    <w:name w:val="SNArticle"/>
    <w:basedOn w:val="Normal"/>
    <w:next w:val="BodyText"/>
    <w:pPr>
      <w:spacing w:before="240" w:after="240" w:line="240" w:lineRule="auto"/>
      <w:jc w:val="center"/>
    </w:pPr>
    <w:rPr>
      <w:b/>
      <w:sz w:val="24"/>
      <w:szCs w:val="24"/>
    </w:rPr>
  </w:style>
  <w:style w:type="paragraph" w:customStyle="1" w:styleId="Paragraphedeliste1">
    <w:name w:val="Paragraphe de liste1"/>
    <w:basedOn w:val="Normal"/>
    <w:pPr>
      <w:ind w:left="720"/>
      <w:contextualSpacing/>
    </w:pPr>
  </w:style>
  <w:style w:type="paragraph" w:customStyle="1" w:styleId="SNREPUBLIQUE">
    <w:name w:val="SNREPUBLIQUE"/>
    <w:basedOn w:val="Normal"/>
    <w:pPr>
      <w:spacing w:after="0" w:line="240" w:lineRule="auto"/>
      <w:jc w:val="center"/>
    </w:pPr>
    <w:rPr>
      <w:rFonts w:ascii="Times New Roman" w:eastAsia="Times New Roman" w:hAnsi="Times New Roman" w:cs="Times New Roman"/>
      <w:b/>
      <w:bCs/>
      <w:kern w:val="2"/>
      <w:sz w:val="24"/>
      <w:szCs w:val="20"/>
      <w:lang w:eastAsia="zh-CN"/>
    </w:rPr>
  </w:style>
  <w:style w:type="paragraph" w:customStyle="1" w:styleId="SNTimbre">
    <w:name w:val="SNTimbre"/>
    <w:basedOn w:val="Normal"/>
    <w:pPr>
      <w:widowControl w:val="0"/>
      <w:snapToGrid w:val="0"/>
      <w:spacing w:before="120" w:after="0" w:line="240" w:lineRule="auto"/>
      <w:jc w:val="center"/>
    </w:pPr>
    <w:rPr>
      <w:rFonts w:ascii="Times New Roman" w:eastAsia="Lucida Sans Unicode" w:hAnsi="Times New Roman" w:cs="Times New Roman"/>
      <w:kern w:val="2"/>
      <w:sz w:val="24"/>
      <w:szCs w:val="24"/>
      <w:lang w:eastAsia="zh-CN"/>
    </w:rPr>
  </w:style>
  <w:style w:type="paragraph" w:customStyle="1" w:styleId="Commentaire1">
    <w:name w:val="Commentaire1"/>
    <w:basedOn w:val="Normal"/>
    <w:pPr>
      <w:spacing w:line="240" w:lineRule="auto"/>
    </w:pPr>
    <w:rPr>
      <w:sz w:val="20"/>
      <w:szCs w:val="20"/>
    </w:rPr>
  </w:style>
  <w:style w:type="paragraph" w:customStyle="1" w:styleId="Objetducommentaire1">
    <w:name w:val="Objet du commentaire1"/>
    <w:basedOn w:val="Commentaire1"/>
    <w:next w:val="Commentaire1"/>
    <w:rPr>
      <w:b/>
      <w:bCs/>
    </w:rPr>
  </w:style>
  <w:style w:type="paragraph" w:customStyle="1" w:styleId="Textedebulles1">
    <w:name w:val="Texte de bulles1"/>
    <w:basedOn w:val="Normal"/>
    <w:pPr>
      <w:spacing w:after="0" w:line="240" w:lineRule="auto"/>
    </w:pPr>
    <w:rPr>
      <w:rFonts w:ascii="Segoe UI" w:hAnsi="Segoe UI" w:cs="Segoe UI"/>
      <w:sz w:val="18"/>
      <w:szCs w:val="18"/>
    </w:rPr>
  </w:style>
  <w:style w:type="paragraph" w:styleId="Header">
    <w:name w:val="header"/>
    <w:basedOn w:val="Normal"/>
    <w:pPr>
      <w:tabs>
        <w:tab w:val="center" w:pos="4536"/>
        <w:tab w:val="right" w:pos="9072"/>
      </w:tabs>
      <w:spacing w:after="0" w:line="240" w:lineRule="auto"/>
    </w:pPr>
  </w:style>
  <w:style w:type="paragraph" w:styleId="Footer">
    <w:name w:val="footer"/>
    <w:basedOn w:val="Normal"/>
    <w:pPr>
      <w:tabs>
        <w:tab w:val="center" w:pos="4536"/>
        <w:tab w:val="right" w:pos="9072"/>
      </w:tabs>
      <w:spacing w:after="0" w:line="240" w:lineRule="auto"/>
    </w:pPr>
  </w:style>
  <w:style w:type="paragraph" w:customStyle="1" w:styleId="Rvision1">
    <w:name w:val="Révision1"/>
    <w:pPr>
      <w:suppressAutoHyphens/>
    </w:pPr>
    <w:rPr>
      <w:rFonts w:ascii="Calibri" w:eastAsia="font443" w:hAnsi="Calibri" w:cs="font443"/>
      <w:sz w:val="22"/>
      <w:szCs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styleId="CommentReference">
    <w:name w:val="annotation reference"/>
    <w:uiPriority w:val="99"/>
    <w:semiHidden/>
    <w:unhideWhenUsed/>
    <w:rsid w:val="00371CC6"/>
    <w:rPr>
      <w:sz w:val="16"/>
      <w:szCs w:val="16"/>
    </w:rPr>
  </w:style>
  <w:style w:type="paragraph" w:styleId="CommentText">
    <w:name w:val="annotation text"/>
    <w:basedOn w:val="Normal"/>
    <w:link w:val="CommentTextChar"/>
    <w:uiPriority w:val="99"/>
    <w:semiHidden/>
    <w:unhideWhenUsed/>
    <w:rsid w:val="00371CC6"/>
    <w:rPr>
      <w:sz w:val="20"/>
      <w:szCs w:val="20"/>
    </w:rPr>
  </w:style>
  <w:style w:type="character" w:customStyle="1" w:styleId="CommentTextChar">
    <w:name w:val="Comment Text Char"/>
    <w:link w:val="CommentText"/>
    <w:uiPriority w:val="99"/>
    <w:semiHidden/>
    <w:rsid w:val="00371CC6"/>
    <w:rPr>
      <w:rFonts w:ascii="Calibri" w:eastAsia="font443" w:hAnsi="Calibri" w:cs="font443"/>
    </w:rPr>
  </w:style>
  <w:style w:type="paragraph" w:styleId="CommentSubject">
    <w:name w:val="annotation subject"/>
    <w:basedOn w:val="CommentText"/>
    <w:next w:val="CommentText"/>
    <w:link w:val="CommentSubjectChar"/>
    <w:uiPriority w:val="99"/>
    <w:semiHidden/>
    <w:unhideWhenUsed/>
    <w:rsid w:val="00371CC6"/>
    <w:rPr>
      <w:b/>
      <w:bCs/>
    </w:rPr>
  </w:style>
  <w:style w:type="character" w:customStyle="1" w:styleId="CommentSubjectChar">
    <w:name w:val="Comment Subject Char"/>
    <w:link w:val="CommentSubject"/>
    <w:uiPriority w:val="99"/>
    <w:semiHidden/>
    <w:rsid w:val="00371CC6"/>
    <w:rPr>
      <w:rFonts w:ascii="Calibri" w:eastAsia="font443" w:hAnsi="Calibri" w:cs="font443"/>
      <w:b/>
      <w:bCs/>
    </w:rPr>
  </w:style>
  <w:style w:type="paragraph" w:styleId="BalloonText">
    <w:name w:val="Balloon Text"/>
    <w:basedOn w:val="Normal"/>
    <w:link w:val="BalloonTextChar"/>
    <w:uiPriority w:val="99"/>
    <w:semiHidden/>
    <w:unhideWhenUsed/>
    <w:rsid w:val="00371CC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71CC6"/>
    <w:rPr>
      <w:rFonts w:ascii="Segoe UI" w:eastAsia="font443"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85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franc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728</Words>
  <Characters>4156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4875</CharactersWithSpaces>
  <SharedDoc>false</SharedDoc>
  <HLinks>
    <vt:vector size="6" baseType="variant">
      <vt:variant>
        <vt:i4>3801195</vt:i4>
      </vt:variant>
      <vt:variant>
        <vt:i4>0</vt:i4>
      </vt:variant>
      <vt:variant>
        <vt:i4>0</vt:i4>
      </vt:variant>
      <vt:variant>
        <vt:i4>5</vt:i4>
      </vt:variant>
      <vt:variant>
        <vt:lpwstr>http://www.legifrance.gouv.fr/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THIEBAUT Alois V0.10</dc:creator>
  <cp:keywords/>
  <cp:lastModifiedBy>Liu, Lei</cp:lastModifiedBy>
  <cp:revision>5</cp:revision>
  <cp:lastPrinted>1899-12-31T23:00:00Z</cp:lastPrinted>
  <dcterms:created xsi:type="dcterms:W3CDTF">2020-12-11T13:33:00Z</dcterms:created>
  <dcterms:modified xsi:type="dcterms:W3CDTF">2020-12-14T13:00:00Z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jforCreatedThisOn">
    <vt:lpwstr>Wed Jan 15 14:01:39 CET 2020</vt:lpwstr>
  </property>
  <property fmtid="{D5CDD505-2E9C-101B-9397-08002B2CF9AE}" pid="9" name="jforVersion">
    <vt:lpwstr>jfor V0.7.2rc1 - see http://www.jfor.org</vt:lpwstr>
  </property>
</Properties>
</file>