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B94136">
      <w:pPr>
        <w:pStyle w:val="BodyText"/>
        <w:rPr>
          <w:rFonts w:eastAsia="Times New Roman" w:cs="Times New Roman"/>
          <w:bCs/>
          <w:szCs w:val="36"/>
        </w:rPr>
      </w:pPr>
      <w:r>
        <w:t xml:space="preserve">Orden del 4 de </w:t>
      </w:r>
      <w:proofErr w:type="gramStart"/>
      <w:r>
        <w:t>Agosto</w:t>
      </w:r>
      <w:proofErr w:type="gramEnd"/>
      <w:r>
        <w:t xml:space="preserve"> de 2021 relativa a los requisitos de desempeño medioambiental y energético para construcciones en la Francia metropolitana e por la que se aprueba el método de cálculo previsto en el artículo R. 172-6 del Código de la construcción y la vivienda</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 DISPOSICIONES GENERALES (artículos 1 a 7)</w:t>
      </w:r>
    </w:p>
    <w:p w14:paraId="6FFF2A3F"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II: ESPECIFICACIONES SOBRE LA EXPRESIÓN DE LOS REQUISITOS DE DESEMPEÑO MEDIOAMBIENTAL E ENERGÉTICO (artículos 8 a 18)</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III: CARACTERÍSTICAS TÉRMICAS Y REQUISITOS PARA LAS MEDIDAS (POR COMPONENTE) (artículos 19 a 40)</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IV: PROPUESTA DE MÉTODOS DE APLICACIÓN SIMPLIFICADA EN CASAS INDIVIDUALES (artículos 41 a 42)</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V CASOS ESPECIALES (artículos 43 a 44)</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VI: DISPOSICIONES VARIAS (artículos 45 a 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Anexo</w:t>
      </w:r>
    </w:p>
    <w:p w14:paraId="3DE0623C" w14:textId="3316A24B"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Personas a las que </w:t>
      </w:r>
      <w:proofErr w:type="gramStart"/>
      <w:r>
        <w:rPr>
          <w:rFonts w:ascii="Times New Roman" w:hAnsi="Times New Roman"/>
          <w:sz w:val="24"/>
        </w:rPr>
        <w:t>afecta :</w:t>
      </w:r>
      <w:proofErr w:type="gramEnd"/>
      <w:r>
        <w:rPr>
          <w:rFonts w:ascii="Times New Roman" w:hAnsi="Times New Roman"/>
          <w:sz w:val="24"/>
        </w:rPr>
        <w:t xml:space="preserve"> Dueños de la obra, directores de obra, constructores y promotores, arquitectos, oficinas de proyectos térmicos y medioambientales, economistas de la construcción, inspectores técnicos, empresas de construcción, fabricantes de materiales de construcción y de sistemas técnicos de construcción, proveedores de energía, en la Francia metropolitana, editores de software. </w:t>
      </w:r>
      <w:r>
        <w:rPr>
          <w:rFonts w:ascii="Times New Roman" w:hAnsi="Times New Roman"/>
          <w:sz w:val="24"/>
        </w:rPr>
        <w:br/>
        <w:t xml:space="preserve">Objeto: para nuevas construcciones y extensiones de construcciones en la Francia metropolitana, estableciendo requisitos relativos a sus características medioambientales y de energía; precisiones para fijar su desempeño energético y medioambiental; estableciendo el método de cálculo de su desempeño energético y medioambiental. </w:t>
      </w:r>
      <w:r>
        <w:rPr>
          <w:rFonts w:ascii="Times New Roman" w:hAnsi="Times New Roman"/>
          <w:sz w:val="24"/>
        </w:rPr>
        <w:br/>
        <w:t xml:space="preserve">Entrada en vigor: estos requisitos, así como el método de cálculo, se aplicarán a partir del 1 de enero de 2022 a la construcción de edificios o partes de edificios para uso residencial, y a partir del 1 de julio de 2022 a la construcción de edificios o partes de edificios para uso de oficinas o de enseñanza primaria o secundaria. También se aplican a las construcciones y extensiones temporales, en función de su superficie, utilizadas para los mismos fines a partir del 1 de enero de 2023. Estos requisitos también se aplican a las construcciones, incluidas las que no requieren un permiso de construcción o una declaración previa. </w:t>
      </w:r>
      <w:r>
        <w:rPr>
          <w:rFonts w:ascii="Times New Roman" w:hAnsi="Times New Roman"/>
          <w:sz w:val="24"/>
        </w:rPr>
        <w:br/>
        <w:t xml:space="preserve">Aviso: esta orden establece los requisitos de recursos (o por componente) que deben cumplir los citados edificios situados en la Francia metropolitana. Especifica cómo fijar los siguientes cinco (o generales) requisitos de resultados: (1) optimización del diseño energético del edificio independientemente de los sistemas energéticos implementados; 2) limitación del consumo de energía primaria, 3) limitación del impacto sobre el cambio climático asociado a estos consumos; 4) limitación del impacto de los componentes del edificio en el cambio climático; (5) limitar situaciones de incomodidad en el edificio durante el verano. Nota explicativa: la Orden establece el método de cálculo de la eficiencia energética y del comportamiento medioambiental de las construcciones para edificios de viviendas, de oficinas o de educación primaria o secundaria en la Francia metropolitana, mediante tres anexos: </w:t>
      </w:r>
      <w:r>
        <w:rPr>
          <w:rFonts w:ascii="Times New Roman" w:hAnsi="Times New Roman"/>
          <w:sz w:val="24"/>
        </w:rPr>
        <w:br/>
      </w:r>
      <w:r w:rsidR="00B94136">
        <w:rPr>
          <w:rFonts w:ascii="Times New Roman" w:hAnsi="Times New Roman"/>
          <w:sz w:val="24"/>
        </w:rPr>
        <w:t>- ANEXO </w:t>
      </w:r>
      <w:r>
        <w:rPr>
          <w:rFonts w:ascii="Times New Roman" w:hAnsi="Times New Roman"/>
          <w:sz w:val="24"/>
        </w:rPr>
        <w:t xml:space="preserve">II: Normas generales para el cálculo del desempeño medioambiental y energético; </w:t>
      </w:r>
      <w:r>
        <w:rPr>
          <w:rFonts w:ascii="Times New Roman" w:hAnsi="Times New Roman"/>
          <w:sz w:val="24"/>
        </w:rPr>
        <w:br/>
      </w:r>
      <w:r w:rsidR="00B94136">
        <w:rPr>
          <w:rFonts w:ascii="Times New Roman" w:hAnsi="Times New Roman"/>
          <w:sz w:val="24"/>
        </w:rPr>
        <w:t>- ANEXO </w:t>
      </w:r>
      <w:r>
        <w:rPr>
          <w:rFonts w:ascii="Times New Roman" w:hAnsi="Times New Roman"/>
          <w:sz w:val="24"/>
        </w:rPr>
        <w:t xml:space="preserve">III: Método de cálculo «Th-ECB 2020», en el que se detallan las normas para calcular el desempeño energético; </w:t>
      </w:r>
      <w:r>
        <w:rPr>
          <w:rFonts w:ascii="Times New Roman" w:hAnsi="Times New Roman"/>
          <w:sz w:val="24"/>
        </w:rPr>
        <w:br/>
        <w:t xml:space="preserve">- ANEXO IV: Normas «Th-Bat 2020», para determinar los datos de entrada para los cálculos </w:t>
      </w:r>
      <w:r>
        <w:rPr>
          <w:rFonts w:ascii="Times New Roman" w:hAnsi="Times New Roman"/>
          <w:sz w:val="24"/>
        </w:rPr>
        <w:lastRenderedPageBreak/>
        <w:t xml:space="preserve">del desempeño energético. </w:t>
      </w:r>
      <w:r>
        <w:rPr>
          <w:rFonts w:ascii="Times New Roman" w:hAnsi="Times New Roman"/>
          <w:sz w:val="24"/>
        </w:rPr>
        <w:br/>
        <w:t xml:space="preserve">Referencias: el texto modificado por la presente Orden puede consultarse, con la redacción de esta modificación, en el sitio web de </w:t>
      </w:r>
      <w:proofErr w:type="spellStart"/>
      <w:r>
        <w:rPr>
          <w:rFonts w:ascii="Times New Roman" w:hAnsi="Times New Roman"/>
          <w:sz w:val="24"/>
        </w:rPr>
        <w:t>Légifrance</w:t>
      </w:r>
      <w:proofErr w:type="spellEnd"/>
      <w:r>
        <w:rPr>
          <w:rFonts w:ascii="Times New Roman" w:hAnsi="Times New Roman"/>
          <w:sz w:val="24"/>
        </w:rPr>
        <w:t xml:space="preserve"> (www.legifrance.gouv.fr). </w:t>
      </w:r>
    </w:p>
    <w:p w14:paraId="642569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La Ministra de la Transición Ecológica, la Ministra Delegada de la Ministra de la Transición Ecológica, responsable de Vivienda,</w:t>
      </w:r>
      <w:r>
        <w:rPr>
          <w:rFonts w:ascii="Times New Roman" w:hAnsi="Times New Roman"/>
          <w:sz w:val="24"/>
        </w:rPr>
        <w:br/>
        <w:t>Vista la Directiva (UE) 2010/31/UE del Parlamento Europeo y del Consejo, de 19 de mayo de 2010 relativa al desempeño energético de construcciones, con la redacción de la modificación por la Directiva 2018/844 del Parlamento Europeo y del Consejo, de 30 de mayo de 2018, en particular su artículo 3;</w:t>
      </w:r>
      <w:r>
        <w:rPr>
          <w:rFonts w:ascii="Times New Roman" w:hAnsi="Times New Roman"/>
          <w:sz w:val="24"/>
        </w:rPr>
        <w:br/>
        <w:t>Vista la Directiva (UE) 2015/1535 del Parlamento Europeo y del Consejo, de 9 de septiembre de 2015, por la que se establece un procedimiento de información en materia de reglamentaciones técnicas y de reglas relativas a los servicios de la sociedad de la información (texto codificado);</w:t>
      </w:r>
      <w:r>
        <w:rPr>
          <w:rFonts w:ascii="Times New Roman" w:hAnsi="Times New Roman"/>
          <w:sz w:val="24"/>
        </w:rPr>
        <w:br/>
        <w:t>Visto el Código de la Construcción y la Vivienda, en particular los artículos L. 181-1, R. 172-1 a R. 172-9 y R. 126-16;</w:t>
      </w:r>
      <w:r>
        <w:rPr>
          <w:rFonts w:ascii="Times New Roman" w:hAnsi="Times New Roman"/>
          <w:sz w:val="24"/>
        </w:rPr>
        <w:br/>
        <w:t>Vista el Código de la Energía, y en particular los artículos R. 241-26 y R. 241-30;</w:t>
      </w:r>
      <w:r>
        <w:rPr>
          <w:rFonts w:ascii="Times New Roman" w:hAnsi="Times New Roman"/>
          <w:sz w:val="24"/>
        </w:rPr>
        <w:br/>
        <w:t>Visto el Código de Urbanismo, y en particular los artículos L. 151-19, R*. 421-2 y R*. 421-5;</w:t>
      </w:r>
      <w:r>
        <w:rPr>
          <w:rFonts w:ascii="Times New Roman" w:hAnsi="Times New Roman"/>
          <w:sz w:val="24"/>
        </w:rPr>
        <w:br/>
        <w:t>Vista la Orden de 3 de mayo de 2007 relativa a las características térmicas y al desempeño energético de las construcciones existentes en la que se enumeran todas las obras en cuestión y se establecen los requisitos correspondientes, modificada por la Orden de 22 de marzo de 2017;</w:t>
      </w:r>
      <w:r>
        <w:rPr>
          <w:rFonts w:ascii="Times New Roman" w:hAnsi="Times New Roman"/>
          <w:sz w:val="24"/>
        </w:rPr>
        <w:br/>
        <w:t>Vista la Orden, de 13 de junio de 2008 relativa a los requisitos de desempeño energético de las construcciones con una superficie superior a 1 000 m², cuando sean objeto de reformas importantes;</w:t>
      </w:r>
      <w:r>
        <w:rPr>
          <w:rFonts w:ascii="Times New Roman" w:hAnsi="Times New Roman"/>
          <w:sz w:val="24"/>
        </w:rPr>
        <w:br/>
        <w:t>Vista la Orden de 26 de octubre de 2010 sobre los requisitos de desempeño energético y las características térmicas de las nuevas construcciones y de las nuevas partes de los edificios;</w:t>
      </w:r>
      <w:r>
        <w:rPr>
          <w:rFonts w:ascii="Times New Roman" w:hAnsi="Times New Roman"/>
          <w:sz w:val="24"/>
        </w:rPr>
        <w:br/>
        <w:t>Vista la orden de 28 de diciembre de 2012 relativa a los requisitos de desempeño energético y las características térmicas de las nuevas construcciones y de las partes nuevas de edificios distintos de los contemplados en el artículo 2 del Decreto de 26 de octubre de 2010 relativo a las características térmicas y al desempeño energético de las construcciones,</w:t>
      </w:r>
      <w:r>
        <w:rPr>
          <w:rFonts w:ascii="Times New Roman" w:hAnsi="Times New Roman"/>
          <w:sz w:val="24"/>
        </w:rPr>
        <w:br/>
        <w:t>Visto el Dictamen del Consejo Superior de Energía de 25 de marzo de 2021;</w:t>
      </w:r>
      <w:r>
        <w:rPr>
          <w:rFonts w:ascii="Times New Roman" w:hAnsi="Times New Roman"/>
          <w:sz w:val="24"/>
        </w:rPr>
        <w:br/>
        <w:t>Visto el Dictamen del Consejo superior de la construcción y de la eficiencia energética con fecha de 13 de abril de 2021</w:t>
      </w:r>
      <w:r>
        <w:rPr>
          <w:rFonts w:ascii="Times New Roman" w:hAnsi="Times New Roman"/>
          <w:sz w:val="24"/>
        </w:rPr>
        <w:br/>
        <w:t>Visto el Dictamen del Consejo de Evaluación de Normas Nacionales de 1 de abril y 6 de mayo de 2021;</w:t>
      </w:r>
      <w:r>
        <w:rPr>
          <w:rFonts w:ascii="Times New Roman" w:hAnsi="Times New Roman"/>
          <w:sz w:val="24"/>
        </w:rPr>
        <w:br/>
        <w:t>Vistas las notificaciones n.º 2020/791/F y n.º 2020/792/F enviadas a la Comisión Europea el 14 de diciembre de 2020 y la respuesta de la Comisión de 15 de junio de 2021,</w:t>
      </w:r>
      <w:r>
        <w:rPr>
          <w:rFonts w:ascii="Times New Roman" w:hAnsi="Times New Roman"/>
          <w:sz w:val="24"/>
        </w:rPr>
        <w:br/>
        <w:t>Vistas las observaciones formuladas durante la consulta pública realizada del 23 de marzo de 2021 al 13 de abril de 2021, en aplicación del artículo L. 123-19-1 del Código de Medio Ambiente;</w:t>
      </w:r>
      <w:r>
        <w:rPr>
          <w:rFonts w:ascii="Times New Roman" w:hAnsi="Times New Roman"/>
          <w:sz w:val="24"/>
        </w:rPr>
        <w:br/>
        <w:t>Decreto:</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 DISPOSICIONES GENERALES (artículos 1 a 7)</w:t>
      </w:r>
    </w:p>
    <w:p w14:paraId="0E0870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 ÁMBITO DE APLICACIÓN (artículos 1 a 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1</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xml:space="preserve">Las disposiciones de esta Orden se aplicarán a la construcción de edificios y de partes de edificios para uso residencial, oficinas </w:t>
      </w:r>
      <w:proofErr w:type="gramStart"/>
      <w:r>
        <w:rPr>
          <w:rFonts w:ascii="Times New Roman" w:hAnsi="Times New Roman"/>
          <w:sz w:val="24"/>
        </w:rPr>
        <w:t>e</w:t>
      </w:r>
      <w:proofErr w:type="gramEnd"/>
      <w:r>
        <w:rPr>
          <w:rFonts w:ascii="Times New Roman" w:hAnsi="Times New Roman"/>
          <w:sz w:val="24"/>
        </w:rPr>
        <w:t xml:space="preserve"> educación primaria o secundaria sujetas al artículo R.172-1 del Código de la construcción y la vivienda, bien como a la construcción de aparcamientos para coches asociados a esas construcciones.</w:t>
      </w:r>
      <w:r>
        <w:rPr>
          <w:rFonts w:ascii="Times New Roman" w:hAnsi="Times New Roman"/>
          <w:sz w:val="24"/>
        </w:rPr>
        <w:br/>
        <w:t>No se aplicarán a los edificios situados en Guadalupe, Guyana, Martinica, Reunión y Mayotte.</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2</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Parte de un edificio puede asimilarse al uso principal del edificio, con aplicación de los requisitos asociados, cuando se cumplen las siguientes condiciones acumulativas:</w:t>
      </w:r>
    </w:p>
    <w:p w14:paraId="4F4022D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la superficie de referencia de la parte del edificio en cuestión sea inferior a 150 m² y menos del 10 % de la superficie de referencia del uso principal del edificio;</w:t>
      </w:r>
      <w:r>
        <w:rPr>
          <w:rFonts w:ascii="Times New Roman" w:hAnsi="Times New Roman"/>
          <w:sz w:val="24"/>
        </w:rPr>
        <w:br/>
        <w:t>- la parte del edificio correspondiente al uso principal estará sujeta a la presente Orden, o a la citada Orden de 26 de octubre de 2010, o a la citada Orden de 28 de diciembre de 2012.</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Una parte de un edificio utilizado como vivienda individual no puede asimilarse a otro uso.</w:t>
      </w:r>
      <w:r>
        <w:rPr>
          <w:rFonts w:ascii="Times New Roman" w:hAnsi="Times New Roman"/>
          <w:sz w:val="24"/>
        </w:rPr>
        <w:br/>
        <w:t>La superficie de referencia del edificio, denominada SREF, se define en la X del capítulo I del anexo del artículo R. 172-4 del Código de la Construcción y la Vivienda. A menos que se indique lo contrario, esta será la superficie utilizada a lo largo de esta Orden.</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II: PROCEDIMIENTOS DE APLICACIÓN TEMPORARIA (artículo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w:t>
      </w:r>
    </w:p>
    <w:p w14:paraId="7490DDB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De conformidad con el artículo R. 172-1(II) del Código de Construcción y Vivienda, las disposiciones de esta Orden solo se aplicarán a partir del 1 de enero de 2023 a las viviendas recreativas ligeras en el sentido del artículo R.* 421-2 del Código urbanístico y a las construcciones temporales en el sentido del artículo R.* 421-5 del mismo Código.</w:t>
      </w:r>
      <w:r>
        <w:rPr>
          <w:rFonts w:ascii="Times New Roman" w:hAnsi="Times New Roman"/>
          <w:sz w:val="24"/>
        </w:rPr>
        <w:br/>
        <w:t>II. - De conformidad con el artículo R. 172-3 del Código de la Construcción y la Vivienda, las disposiciones de esta Orden solo se aplicarán a partir del 1 de enero de 2023 a:</w:t>
      </w:r>
    </w:p>
    <w:p w14:paraId="7496307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edificios y ampliaciones de edificios con una superficie de referencia inferior a 50 m²;</w:t>
      </w:r>
      <w:r>
        <w:rPr>
          <w:rFonts w:ascii="Times New Roman" w:hAnsi="Times New Roman"/>
          <w:sz w:val="24"/>
        </w:rPr>
        <w:br/>
        <w:t>- ampliaciones de viviendas individuales o contiguas con una superficie de referencia estrictamente comprendida entre 50 m² y 100 m²;</w:t>
      </w:r>
      <w:r>
        <w:rPr>
          <w:rFonts w:ascii="Times New Roman" w:hAnsi="Times New Roman"/>
          <w:sz w:val="24"/>
        </w:rPr>
        <w:br/>
      </w:r>
      <w:r>
        <w:rPr>
          <w:rFonts w:ascii="Times New Roman" w:hAnsi="Times New Roman"/>
          <w:sz w:val="24"/>
        </w:rPr>
        <w:lastRenderedPageBreak/>
        <w:t>- ampliaciones para usos distintos de las viviendas individuales con una superficie de referencia inferior a 150 m² y el 30 % de la superficie de referencia de los locales existentes.</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Para estos edificios, hasta el 31 de diciembre de 2022, solo se aplicarán las disposiciones de la citada Orden de 26 de octubre de 2010.</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III: DEFINICIONES (artículo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4</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Los términos necesarios para comprender esta Orden se definen en el Anexo I. Los indicadores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DH, </w:t>
      </w:r>
      <w:proofErr w:type="spellStart"/>
      <w:r>
        <w:rPr>
          <w:rFonts w:ascii="Times New Roman" w:hAnsi="Times New Roman"/>
          <w:sz w:val="24"/>
        </w:rPr>
        <w:t>Icbuilding</w:t>
      </w:r>
      <w:proofErr w:type="spellEnd"/>
      <w:r>
        <w:rPr>
          <w:rFonts w:ascii="Times New Roman" w:hAnsi="Times New Roman"/>
          <w:sz w:val="24"/>
        </w:rPr>
        <w:t xml:space="preserve">, </w:t>
      </w:r>
      <w:proofErr w:type="spellStart"/>
      <w:r>
        <w:rPr>
          <w:rFonts w:ascii="Times New Roman" w:hAnsi="Times New Roman"/>
          <w:sz w:val="24"/>
        </w:rPr>
        <w:t>StockC</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e </w:t>
      </w:r>
      <w:proofErr w:type="spellStart"/>
      <w:r>
        <w:rPr>
          <w:rFonts w:ascii="Times New Roman" w:hAnsi="Times New Roman"/>
          <w:sz w:val="24"/>
        </w:rPr>
        <w:t>Icded</w:t>
      </w:r>
      <w:proofErr w:type="spellEnd"/>
      <w:r>
        <w:rPr>
          <w:rFonts w:ascii="Times New Roman" w:hAnsi="Times New Roman"/>
          <w:sz w:val="24"/>
        </w:rPr>
        <w:t xml:space="preserve">, así como los valores máximos </w:t>
      </w:r>
      <w:proofErr w:type="spellStart"/>
      <w:r>
        <w:rPr>
          <w:rFonts w:ascii="Times New Roman" w:hAnsi="Times New Roman"/>
          <w:sz w:val="24"/>
        </w:rPr>
        <w:t>Bbio_max</w:t>
      </w:r>
      <w:proofErr w:type="spellEnd"/>
      <w:r>
        <w:rPr>
          <w:rFonts w:ascii="Times New Roman" w:hAnsi="Times New Roman"/>
          <w:sz w:val="24"/>
        </w:rPr>
        <w:t xml:space="preserve">, </w:t>
      </w:r>
      <w:proofErr w:type="spellStart"/>
      <w:r>
        <w:rPr>
          <w:rFonts w:ascii="Times New Roman" w:hAnsi="Times New Roman"/>
          <w:sz w:val="24"/>
        </w:rPr>
        <w:t>Cep_max</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nr_max</w:t>
      </w:r>
      <w:proofErr w:type="spellEnd"/>
      <w:r>
        <w:rPr>
          <w:rFonts w:ascii="Times New Roman" w:hAnsi="Times New Roman"/>
          <w:sz w:val="24"/>
        </w:rPr>
        <w:t xml:space="preserve">, </w:t>
      </w:r>
      <w:proofErr w:type="spellStart"/>
      <w:r>
        <w:rPr>
          <w:rFonts w:ascii="Times New Roman" w:hAnsi="Times New Roman"/>
          <w:sz w:val="24"/>
        </w:rPr>
        <w:t>Icenergy_max</w:t>
      </w:r>
      <w:proofErr w:type="spellEnd"/>
      <w:r>
        <w:rPr>
          <w:rFonts w:ascii="Times New Roman" w:hAnsi="Times New Roman"/>
          <w:sz w:val="24"/>
        </w:rPr>
        <w:t xml:space="preserve">, </w:t>
      </w:r>
      <w:proofErr w:type="spellStart"/>
      <w:r>
        <w:rPr>
          <w:rFonts w:ascii="Times New Roman" w:hAnsi="Times New Roman"/>
          <w:sz w:val="24"/>
        </w:rPr>
        <w:t>Icconstruction_max</w:t>
      </w:r>
      <w:proofErr w:type="spellEnd"/>
      <w:r>
        <w:rPr>
          <w:rFonts w:ascii="Times New Roman" w:hAnsi="Times New Roman"/>
          <w:sz w:val="24"/>
        </w:rPr>
        <w:t xml:space="preserve"> y </w:t>
      </w:r>
      <w:proofErr w:type="spellStart"/>
      <w:r>
        <w:rPr>
          <w:rFonts w:ascii="Times New Roman" w:hAnsi="Times New Roman"/>
          <w:sz w:val="24"/>
        </w:rPr>
        <w:t>DH_max</w:t>
      </w:r>
      <w:proofErr w:type="spellEnd"/>
      <w:r>
        <w:rPr>
          <w:rFonts w:ascii="Times New Roman" w:hAnsi="Times New Roman"/>
          <w:sz w:val="24"/>
        </w:rPr>
        <w:t>, mencionados en esta Orden, se definen en el capítulo I al IX del anexo del artículo R. 172-4 del Código de Construcción y Vivienda.</w:t>
      </w:r>
    </w:p>
    <w:p w14:paraId="19F123F0" w14:textId="445B1F11"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IV: CARACTERÍSTICAS TÉCNICAS MÍNIMAS Y REQUISITOS DE DESEMPEÑO ENERGÉTICO Y MEDIOAMBIENTAL (artículos 5 a 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5</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Los edificios o partes de edificios sujetos a esta Orden cumplirán los requisitos establecidos en el artículo R. 172-4 del Código de la Construcción y Vivienda y se determinarán de conformidad con los procedimientos establecidos en el Anexo de dicho artículo y en el artículo 8 de la presente Orden.</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Las características técnicas mínimas de determinados componentes o conjuntos de componentes de edificios sujetos a esta Orden deberán cumplir con los requisitos establecidos en el Título III de la presente Orden.</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Los edificios cuyas características se ajusten a los métodos de aplicación simplificada, aprobados en las condiciones descritas en el Título IV de la presente Orden, se considerarán conformes con los requisitos de la presente Orden.</w:t>
      </w:r>
    </w:p>
    <w:p w14:paraId="47CB4C1A"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II: ESPECIFICACIONES SOBRE LA EXPRESIÓN DE LOS REQUISITOS DE DESEMPEÑO MEDIOAMBIENTAL E ENERGÉTICO (artículos 8 a 18)</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Capítulo V: EVALUACIÓN DE LA CONFORMIDAD CON LOS REQUISITOS (artículos 8 a 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8</w:t>
      </w:r>
    </w:p>
    <w:p w14:paraId="5251B7C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Se aprueba el método de cálculo adjunto en los anexos II a IV de la presente Orden y previsto en el artículo R.172-6 del Código de la construcción y la vivienda.</w:t>
      </w:r>
      <w:r>
        <w:rPr>
          <w:rFonts w:ascii="Times New Roman" w:hAnsi="Times New Roman"/>
          <w:sz w:val="24"/>
        </w:rPr>
        <w:br/>
        <w:t>De conformidad con el apartado I del mismo artículo, este método de cálculo determina el rendimiento energético y medioambiental del edificio, con especial referencia a los indicadores descritos en los puntos I a IX del capítulo I del anexo del artículo R. 172-4 del mismo código, sobre la base de las características del edificio y de sus componentes.</w:t>
      </w:r>
      <w:r>
        <w:rPr>
          <w:rFonts w:ascii="Times New Roman" w:hAnsi="Times New Roman"/>
          <w:sz w:val="24"/>
        </w:rPr>
        <w:br/>
        <w:t>En particular:</w:t>
      </w:r>
    </w:p>
    <w:p w14:paraId="240366C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estos indicadores se calcularán haciendo hincapié en los datos climáticos convencionales y la intensidad de uso;</w:t>
      </w:r>
      <w:r>
        <w:rPr>
          <w:rFonts w:ascii="Times New Roman" w:hAnsi="Times New Roman"/>
          <w:sz w:val="24"/>
        </w:rPr>
        <w:br/>
        <w:t xml:space="preserve">- los indicadores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y </w:t>
      </w:r>
      <w:proofErr w:type="spellStart"/>
      <w:r>
        <w:rPr>
          <w:rFonts w:ascii="Times New Roman" w:hAnsi="Times New Roman"/>
          <w:sz w:val="24"/>
        </w:rPr>
        <w:t>Cep</w:t>
      </w:r>
      <w:proofErr w:type="spellEnd"/>
      <w:r>
        <w:rPr>
          <w:rFonts w:ascii="Times New Roman" w:hAnsi="Times New Roman"/>
          <w:sz w:val="24"/>
        </w:rPr>
        <w:t xml:space="preserve"> se calcularán a lo largo de un año;</w:t>
      </w:r>
      <w:r>
        <w:rPr>
          <w:rFonts w:ascii="Times New Roman" w:hAnsi="Times New Roman"/>
          <w:sz w:val="24"/>
        </w:rPr>
        <w:br/>
        <w:t xml:space="preserve">- los indicadores de impacto del cambio climático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y </w:t>
      </w:r>
      <w:proofErr w:type="spellStart"/>
      <w:r>
        <w:rPr>
          <w:rFonts w:ascii="Times New Roman" w:hAnsi="Times New Roman"/>
          <w:sz w:val="24"/>
        </w:rPr>
        <w:t>Icbuilding</w:t>
      </w:r>
      <w:proofErr w:type="spellEnd"/>
      <w:r>
        <w:rPr>
          <w:rFonts w:ascii="Times New Roman" w:hAnsi="Times New Roman"/>
          <w:sz w:val="24"/>
        </w:rPr>
        <w:t xml:space="preserve"> se calcularán utilizando los coeficientes especificados en el artículo 11 y tomando la vida útil del edificio hasta 50 años, por convenio;</w:t>
      </w:r>
      <w:r>
        <w:rPr>
          <w:rFonts w:ascii="Times New Roman" w:hAnsi="Times New Roman"/>
          <w:sz w:val="24"/>
        </w:rPr>
        <w:br/>
        <w:t xml:space="preserve">- el cálculo del indicador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tendrá en cuenta los coeficientes definidos en el artículo 9 I;</w:t>
      </w:r>
      <w:r>
        <w:rPr>
          <w:rFonts w:ascii="Times New Roman" w:hAnsi="Times New Roman"/>
          <w:sz w:val="24"/>
        </w:rPr>
        <w:br/>
        <w:t xml:space="preserve">- el cálculo del indicador </w:t>
      </w:r>
      <w:proofErr w:type="spellStart"/>
      <w:r>
        <w:rPr>
          <w:rFonts w:ascii="Times New Roman" w:hAnsi="Times New Roman"/>
          <w:sz w:val="24"/>
        </w:rPr>
        <w:t>Cep</w:t>
      </w:r>
      <w:proofErr w:type="spellEnd"/>
      <w:r>
        <w:rPr>
          <w:rFonts w:ascii="Times New Roman" w:hAnsi="Times New Roman"/>
          <w:sz w:val="24"/>
        </w:rPr>
        <w:t xml:space="preserve"> tendrá en cuenta los coeficientes definidos en el artículo 9 II;</w:t>
      </w:r>
      <w:r>
        <w:rPr>
          <w:rFonts w:ascii="Times New Roman" w:hAnsi="Times New Roman"/>
          <w:sz w:val="24"/>
        </w:rPr>
        <w:br/>
        <w:t xml:space="preserve">- el cálculo del indicador </w:t>
      </w:r>
      <w:proofErr w:type="spellStart"/>
      <w:r>
        <w:rPr>
          <w:rFonts w:ascii="Times New Roman" w:hAnsi="Times New Roman"/>
          <w:sz w:val="24"/>
        </w:rPr>
        <w:t>Icenergy</w:t>
      </w:r>
      <w:proofErr w:type="spellEnd"/>
      <w:r>
        <w:rPr>
          <w:rFonts w:ascii="Times New Roman" w:hAnsi="Times New Roman"/>
          <w:sz w:val="24"/>
        </w:rPr>
        <w:t xml:space="preserve"> tendrá en cuenta los coeficientes definidos en el artículo 10.</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9</w:t>
      </w:r>
    </w:p>
    <w:p w14:paraId="4649933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Los coeficientes de transformación de la energía que entra en el edificio como energía primaria no renovable se utilizarán al determinar el indicador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descrito en esta Orden y se consideran por convención iguales al:</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3"/>
        <w:gridCol w:w="5863"/>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Tipo de energía importada por el edificio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Coeficientes de transformación de la energía que entra en el edificio como energía primaria no renovable</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Madera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Electricidad.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Red de calefacción urbana (calor)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 Relación de energía renovable o recuperación de la red (calor)</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Red de calefacción urbana (fría)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Gas metano (natural) procedente de redes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Energía renovable captada en el edificio o en la parcela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Otras energías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El coeficiente de recuperación de la energía renovable o de la red de calefacción urbana se definirá mediante el orden de cada infraestructura existente.</w:t>
      </w:r>
      <w:r>
        <w:rPr>
          <w:rFonts w:ascii="Times New Roman" w:hAnsi="Times New Roman"/>
          <w:sz w:val="24"/>
        </w:rPr>
        <w:br/>
        <w:t xml:space="preserve">II. - Los coeficientes de transformación de la energía que entre en el edificio como energía primaria se utilizarán a la hora de determinar el indicador </w:t>
      </w:r>
      <w:proofErr w:type="spellStart"/>
      <w:r>
        <w:rPr>
          <w:rFonts w:ascii="Times New Roman" w:hAnsi="Times New Roman"/>
          <w:sz w:val="24"/>
        </w:rPr>
        <w:t>Cep</w:t>
      </w:r>
      <w:proofErr w:type="spellEnd"/>
      <w:r>
        <w:rPr>
          <w:rFonts w:ascii="Times New Roman" w:hAnsi="Times New Roman"/>
          <w:sz w:val="24"/>
        </w:rPr>
        <w:t xml:space="preserve"> y se considerarán por convención iguales 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22"/>
        <w:gridCol w:w="5634"/>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Tipo de energía importada por el edificio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Coeficientes de transformación de la energía que entra en el edificio como energía primaria</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Madera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Electricidad.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Red pública (calefacción)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Red pública (frío)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Gas metano (natural) procedente de redes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Energía renovable captada en el edificio o en la parcela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Otras energías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Por convención, la energía producida por el edificio en nombre de una red, así como la posible cantidad de energía importada por el edificio para producir esta energía, no afectan a los indicadores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e </w:t>
      </w:r>
      <w:proofErr w:type="spellStart"/>
      <w:r>
        <w:rPr>
          <w:rFonts w:ascii="Times New Roman" w:hAnsi="Times New Roman"/>
          <w:sz w:val="24"/>
        </w:rPr>
        <w:t>Icenergía</w:t>
      </w:r>
      <w:proofErr w:type="spellEnd"/>
      <w:r>
        <w:rPr>
          <w:rFonts w:ascii="Times New Roman" w:hAnsi="Times New Roman"/>
          <w:sz w:val="24"/>
        </w:rPr>
        <w:t xml:space="preserve"> del edificio.</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xml:space="preserve">Los coeficientes de transformación de la energía que entre en el edificio como cantidades de gases de efecto invernadero emitidos se utilizarán para determinar el indicador de </w:t>
      </w:r>
      <w:proofErr w:type="spellStart"/>
      <w:r>
        <w:rPr>
          <w:rFonts w:ascii="Times New Roman" w:hAnsi="Times New Roman"/>
          <w:sz w:val="24"/>
        </w:rPr>
        <w:t>Icenergía</w:t>
      </w:r>
      <w:proofErr w:type="spellEnd"/>
      <w:r>
        <w:rPr>
          <w:rFonts w:ascii="Times New Roman" w:hAnsi="Times New Roman"/>
          <w:sz w:val="24"/>
        </w:rPr>
        <w:t xml:space="preserve"> y, por convenio, serán iguales 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1"/>
        <w:gridCol w:w="5245"/>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Tipo de energía por 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equivalente de CO2 por kilovatio hora de energía final en LCV</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Madera, biomasa - astillas de madera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Madera, biomasa - Gránulos (pellets) o briquetas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Madera, biomasa - Tronco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Electricidad para calefacción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Electricidad para refrigeración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Electricidad DHW</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Electricidad para iluminación terciaria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Electricidad para iluminación residencial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Electricidad para otros usos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Gas metano (natural) procedente de redes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Gas butano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Gas propano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Otros combustibles fósiles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El factor de emisión para las redes urbanas de calefacción o refrigeración se define por el orden de cada infraestructura existente.</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xml:space="preserve">Los coeficientes de ponderación utilizados para calcular los indicadores de impacto del cambio climático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y </w:t>
      </w:r>
      <w:proofErr w:type="spellStart"/>
      <w:r>
        <w:rPr>
          <w:rFonts w:ascii="Times New Roman" w:hAnsi="Times New Roman"/>
          <w:sz w:val="24"/>
        </w:rPr>
        <w:t>Icbuilding</w:t>
      </w:r>
      <w:proofErr w:type="spellEnd"/>
      <w:r>
        <w:rPr>
          <w:rFonts w:ascii="Times New Roman" w:hAnsi="Times New Roman"/>
          <w:sz w:val="24"/>
        </w:rPr>
        <w:t xml:space="preserve"> dependiendo del año de emisión y del tipo de gas emitido, se considerarán iguales a:</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Se puede consultar el texto completo con sus imágenes del extracto del Boletín Oficial electrónico autenticado, accesible en la parte inferior de la página.</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12</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Los programas informáticos que permitan el cálculo total o parcial de los indicadores descritos en los puntos I a IX del Capítulo I del Anexo al artículo R. 172-4 del Código de la Construcción y Vivienda, para verificar el cumplimiento del citado artículo, deberán ajustarse al método de cálculo mencionado en el artículo 8.</w:t>
      </w:r>
      <w:r>
        <w:rPr>
          <w:rFonts w:ascii="Times New Roman" w:hAnsi="Times New Roman"/>
          <w:sz w:val="24"/>
        </w:rPr>
        <w:br/>
        <w:t xml:space="preserve">Para ello, debe basarse en una herramienta de cálculo para los indicadores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y DH, puestos a disposición previa solicitud, de conformidad con el artículo L. 121-2 del Código de la Construcción y la Vivienda. Las actualizaciones de esta herramienta se integrarán en el plazo de un mes a partir de su lanzamiento en el software de que se trate.</w:t>
      </w:r>
      <w:r>
        <w:rPr>
          <w:rFonts w:ascii="Times New Roman" w:hAnsi="Times New Roman"/>
          <w:sz w:val="24"/>
        </w:rPr>
        <w:br/>
        <w:t>Cualquier uso reglamentario de este software será aprobado en primer lugar por el Ministro de Energía y el Ministro responsable de la Construcción, en particular para verificar que los resultados obtenidos cumplen el método de cálculo y que la interfaz de entrada minimiza el riesgo de errores de entrada del modelador.</w:t>
      </w:r>
      <w:r>
        <w:rPr>
          <w:rFonts w:ascii="Times New Roman" w:hAnsi="Times New Roman"/>
          <w:sz w:val="24"/>
        </w:rPr>
        <w:br/>
        <w:t>Como medida transitoria, los programas informáticos que hayan realizado autocontroles podrán utilizarse con fines reglamentarios para simulaciones realizadas hasta el 30 de junio de 2022.</w:t>
      </w:r>
      <w:r>
        <w:rPr>
          <w:rFonts w:ascii="Times New Roman" w:hAnsi="Times New Roman"/>
          <w:sz w:val="24"/>
        </w:rPr>
        <w:br/>
        <w:t>En el anexo V se describen los procedimientos de autocontrol y el procedimiento de aprobación de dichos programas informáticos.</w:t>
      </w:r>
      <w:r>
        <w:rPr>
          <w:rFonts w:ascii="Times New Roman" w:hAnsi="Times New Roman"/>
          <w:sz w:val="24"/>
        </w:rPr>
        <w:br/>
        <w:t>La aprobación se renovará tras una revisión periódica, con arreglo a las siguientes condiciones:</w:t>
      </w:r>
    </w:p>
    <w:p w14:paraId="0C449CC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el período de validez de la primera inspección será de dos años;</w:t>
      </w:r>
      <w:r>
        <w:rPr>
          <w:rFonts w:ascii="Times New Roman" w:hAnsi="Times New Roman"/>
          <w:sz w:val="24"/>
        </w:rPr>
        <w:br/>
        <w:t>- el período de validez de la aprobación se prorrogará cinco años después de una revisión que no detecte desviaciones importantes del método de cálculo en vigor en el momento de la presentación del expediente de revisión;</w:t>
      </w:r>
      <w:r>
        <w:rPr>
          <w:rFonts w:ascii="Times New Roman" w:hAnsi="Times New Roman"/>
          <w:sz w:val="24"/>
        </w:rPr>
        <w:br/>
        <w:t>- el período de validez de la aprobación se ampliará entre dos y cinco años después de una revisión que haya dado lugar a la corrección de las desviaciones importantes con respecto al método de cálculo en vigor en el momento de la presentación del expediente de revisión.</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La aprobación podrá retirarse en cualquier momento, en particular tras la constatación de una desviación importante del método de cálculo en vigor en el momento de la observación, o tras la observación de al menos tres fallos en la </w:t>
      </w:r>
      <w:r>
        <w:rPr>
          <w:rFonts w:ascii="Times New Roman" w:hAnsi="Times New Roman"/>
          <w:sz w:val="24"/>
        </w:rPr>
        <w:lastRenderedPageBreak/>
        <w:t>integración de determinados sistemas presentes en el método de cálculo en vigor en el momento de dicha constatación.</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Los valores utilizados como datos de cálculo para el cálculo especificado en el artículo 8 y que describan las características geométricas del edificio deberán corresponder a los planos de construcción cuando el edificio no se haya completado, o a las cantidades realmente utilizadas una vez finalizada la obra.</w:t>
      </w:r>
      <w:r>
        <w:rPr>
          <w:rFonts w:ascii="Times New Roman" w:hAnsi="Times New Roman"/>
          <w:sz w:val="24"/>
        </w:rPr>
        <w:br/>
        <w:t>Las longitudes, áreas u orientaciones del edificio y sus componentes forman parte de los datos que describen las características geométricas del edificio.</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Los valores utilizados como datos de cálculo para el cálculo especificado en el artículo 8 y que describan las cantidades de productos o equipos de construcción utilizados en el edificio deberán corresponder a las cantidades estimadas necesarias para la construcción del edificio cuando no se haya completado, o a las cantidades efectivamente utilizadas una vez finalizada la obra.</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15</w:t>
      </w:r>
    </w:p>
    <w:p w14:paraId="5B4D90D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 Los valores utilizados como datos de cálculo para el cálculo especificado en el artículo 8 y que describan las características térmicas de los componentes </w:t>
      </w:r>
      <w:proofErr w:type="spellStart"/>
      <w:r>
        <w:rPr>
          <w:rFonts w:ascii="Times New Roman" w:hAnsi="Times New Roman"/>
          <w:sz w:val="24"/>
        </w:rPr>
        <w:t>deledificio</w:t>
      </w:r>
      <w:proofErr w:type="spellEnd"/>
      <w:r>
        <w:rPr>
          <w:rFonts w:ascii="Times New Roman" w:hAnsi="Times New Roman"/>
          <w:sz w:val="24"/>
        </w:rPr>
        <w:t xml:space="preserve"> deberán corresponder a las características de los componentes previstos para la construcción del edificio cuando no se haya completado, o a las características de los componentes realmente utilizados una vez terminada la obra.</w:t>
      </w:r>
      <w:r>
        <w:rPr>
          <w:rFonts w:ascii="Times New Roman" w:hAnsi="Times New Roman"/>
          <w:sz w:val="24"/>
        </w:rPr>
        <w:br/>
        <w:t>Estas características térmicas se obtienen de la siguiente manera, para cada componente:</w:t>
      </w:r>
    </w:p>
    <w:p w14:paraId="49B964E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si el componente está cubierto por las especificaciones técnicas armonizadas del Reglamento n.º 305/2001, de 9 de marzo de 2011, las normas armonizadas o los documentos de evaluación europeos, en cuyo caso los productos llevarán el marcado CE, y si el valor de la característica térmica se establece en dichas especificaciones, dicho valor se utilizará de conformidad con los procedimientos establecidos en el artículo 8;</w:t>
      </w:r>
      <w:r>
        <w:rPr>
          <w:rFonts w:ascii="Times New Roman" w:hAnsi="Times New Roman"/>
          <w:sz w:val="24"/>
        </w:rPr>
        <w:br/>
        <w:t xml:space="preserve">- en caso contrario, si la característica térmica se obtiene por referencia a normas francesas, dictámenes técnicos o normas nacionales equivalentes aceptadas por un Estado miembro de la Unión Europea o parte en el Acuerdo EEE, o por Turquía, y son emitidas por un organismo tercero independiente notificado con arreglo a la Directiva 305/2011 reconocida por un Estado miembro de la Unión Europea o un Estado parte en el Acuerdo por el que se crea el Espacio Económico Europeo, este valor se utilizará de conformidad con los procedimientos establecidos en el artículo 8. La ventaja de esta disposición solo se aplicará durante el período anterior a la aplicación de una norma europea armonizada o de una homologación técnica europea. Cualesquiera que sean las reglas de redondeo establecidas por </w:t>
      </w:r>
      <w:r>
        <w:rPr>
          <w:rFonts w:ascii="Times New Roman" w:hAnsi="Times New Roman"/>
          <w:sz w:val="24"/>
        </w:rPr>
        <w:lastRenderedPageBreak/>
        <w:t>estas diferentes normas o dictámenes técnicos, el valor utilizado como datos de cálculo no puede ser más favorable que el valor obtenido de la medición realizada, en su caso.</w:t>
      </w:r>
    </w:p>
    <w:p w14:paraId="68612751" w14:textId="5AE565B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Si no es posible obtener un valor característico con arreglo a los procedimientos anteriores, el valor que se utilizará será el valor por defecto definido por el método de cálculo contemplado en el artículo 8, a excepción del valor de conductividad térmica útil por defecto para el aislamiento biológico, tal como se define en el anexo XII de la presente Orden.</w:t>
      </w:r>
      <w:r>
        <w:rPr>
          <w:rFonts w:ascii="Times New Roman" w:hAnsi="Times New Roman"/>
          <w:sz w:val="24"/>
        </w:rPr>
        <w:br/>
        <w:t xml:space="preserve">II. </w:t>
      </w:r>
      <w:r w:rsidR="00521766">
        <w:rPr>
          <w:rFonts w:ascii="Times New Roman" w:hAnsi="Times New Roman"/>
          <w:sz w:val="24"/>
        </w:rPr>
        <w:t>-</w:t>
      </w:r>
      <w:r>
        <w:rPr>
          <w:rFonts w:ascii="Times New Roman" w:hAnsi="Times New Roman"/>
          <w:sz w:val="24"/>
        </w:rPr>
        <w:t>En los edificios de uso residencial, en caso de que, cuando se entregue el edificio, queden por realizar determinadas obras de instalación del sistema energético, los datos por defecto deberán utilizarse de conformidad con el método especificado en el artículo 8.</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16</w:t>
      </w:r>
    </w:p>
    <w:p w14:paraId="2D66855A" w14:textId="77777777" w:rsidR="00521766" w:rsidRDefault="001E2566" w:rsidP="00521766">
      <w:pPr>
        <w:spacing w:after="0" w:line="240" w:lineRule="auto"/>
        <w:ind w:left="1049"/>
        <w:rPr>
          <w:rFonts w:ascii="Times New Roman" w:hAnsi="Times New Roman"/>
          <w:sz w:val="24"/>
        </w:rPr>
      </w:pPr>
      <w:r>
        <w:rPr>
          <w:rFonts w:ascii="Times New Roman" w:hAnsi="Times New Roman"/>
          <w:sz w:val="24"/>
        </w:rPr>
        <w:br/>
        <w:t>I. - Los valores utilizados como datos de entrada para el cálculo de los indicadores de construcción y construcción deben corresponder a las características de los componentes previstos para la construcción cuando el edificio no se haya completado, o a las características de los componentes realmente utilizados al finalizar la obra. No obstante lo dispuesto en esta disposición, es posible utilizar un dato de entrada correspondiente a un componente con características superiores a las del componente previsto o utilizado, siempre que formen parte de la misma gama del mismo fabricante.</w:t>
      </w:r>
      <w:r>
        <w:rPr>
          <w:rFonts w:ascii="Times New Roman" w:hAnsi="Times New Roman"/>
          <w:sz w:val="24"/>
        </w:rPr>
        <w:br/>
        <w:t>Estos valores se obtendrán, para cada componente, sobre la base de declaraciones medioambientales facilitadas por los fabricantes de conformidad con las normas establecidas por decreto, o a falta de tales datos mediante datos medioambientales por defecto facilitados por el Ministro encargado de la construcción.</w:t>
      </w:r>
      <w:r>
        <w:rPr>
          <w:rFonts w:ascii="Times New Roman" w:hAnsi="Times New Roman"/>
          <w:sz w:val="24"/>
        </w:rPr>
        <w:br/>
        <w:t>Cuando, en el caso de un componente del edificio, no se disponga de información que reúna las características mencionadas en el párrafo anterior, el componente se describirá en el cálculo y la información medioambiental definida como «vacío» se asociará a él; además, la solicitud de creación de un dato medioambiental predeterminado correspondiente al componente se presentará a través de un sitio web indicado en el sitio web del Ministerio encargado de la construcción.</w:t>
      </w:r>
      <w:r>
        <w:rPr>
          <w:rFonts w:ascii="Times New Roman" w:hAnsi="Times New Roman"/>
          <w:sz w:val="24"/>
        </w:rPr>
        <w:br/>
        <w:t>II. - En caso de que, tras la entrega del edificio, queden por realizar determinadas obras, se utilizarán datos por defecto para describir dichas obras de conformidad con el método especificado en el artículo 8.</w:t>
      </w:r>
      <w:r>
        <w:rPr>
          <w:rFonts w:ascii="Times New Roman" w:hAnsi="Times New Roman"/>
          <w:sz w:val="24"/>
        </w:rPr>
        <w:br/>
        <w:t xml:space="preserve">III. - En el caso de determinados conjuntos de componentes del edificio y en función del uso del edificio, es posible, sustituyendo los requisitos mencionados en los puntos I y II del presente artículo, describir su impacto sobre el cambio climático mediante valores fijos. Los conjuntos de componentes afectados y los valores correspondientes figuran en el anexo XI. </w:t>
      </w:r>
    </w:p>
    <w:p w14:paraId="741E3895" w14:textId="2D7CF241" w:rsidR="001E2566" w:rsidRPr="001E2566" w:rsidRDefault="001E2566" w:rsidP="007A78ED">
      <w:pPr>
        <w:pStyle w:val="BodyTextIndent"/>
        <w:rPr>
          <w:rFonts w:eastAsia="Times New Roman" w:cs="Times New Roman"/>
          <w:szCs w:val="24"/>
        </w:rPr>
      </w:pPr>
      <w:r>
        <w:t xml:space="preserve">IV. - Los datos que podrán utilizarse de conformidad con el I del presente artículo serán los datos disponibles en la fecha de finalización del cálculo de los indicadores </w:t>
      </w:r>
      <w:proofErr w:type="spellStart"/>
      <w:r>
        <w:t>Icconstruction</w:t>
      </w:r>
      <w:proofErr w:type="spellEnd"/>
      <w:r>
        <w:t xml:space="preserve">, </w:t>
      </w:r>
      <w:proofErr w:type="spellStart"/>
      <w:r>
        <w:t>Icded</w:t>
      </w:r>
      <w:proofErr w:type="spellEnd"/>
      <w:r>
        <w:t xml:space="preserve"> e </w:t>
      </w:r>
      <w:proofErr w:type="spellStart"/>
      <w:r>
        <w:t>Icbuilding</w:t>
      </w:r>
      <w:proofErr w:type="spellEnd"/>
      <w:r>
        <w:t>. No obstante, si se han utilizado datos en un cálculo previo de estos indicadores, actualizados o suprimidos, seguirán siendo utilizables en las condiciones establecidas en el punto I del presente artículo.</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Artículo 17</w:t>
      </w:r>
    </w:p>
    <w:p w14:paraId="765CA2F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El valor de permeabilidad al aire del edificio se obtendrá:</w:t>
      </w:r>
    </w:p>
    <w:p w14:paraId="5AE3B90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para los edificios de uso residencial, ya sea por medición o mediante la adopción de un enfoque de calidad para la hermeticidad del edificio de conformidad con los procedimientos definidos en el anexo VII de la presente Orden;</w:t>
      </w:r>
      <w:r>
        <w:rPr>
          <w:rFonts w:ascii="Times New Roman" w:hAnsi="Times New Roman"/>
          <w:sz w:val="24"/>
        </w:rPr>
        <w:br/>
        <w:t>- para otros tipos de edificios, el valor de la permeabilidad al aire del edificio puede justificarse mediante la medición de acuerdo con los métodos definidos en el anexo VII de la presente Orden. A falta de medición con arreglo a estos métodos, el valor que se utilizará será el valor por defecto definido por el método de cálculo contemplado en el artículo 8;</w:t>
      </w:r>
    </w:p>
    <w:p w14:paraId="6D3E852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 el caso de la medición de la permeabilidad por muestreo, los valores de medición obtenidos se multiplicarán por 1,2.</w:t>
      </w:r>
      <w:r>
        <w:rPr>
          <w:rFonts w:ascii="Times New Roman" w:hAnsi="Times New Roman"/>
          <w:sz w:val="24"/>
        </w:rPr>
        <w:br/>
        <w:t>En caso de que los trabajos que puedan afectar a la permeabilidad al aire de las viviendas queden por realizar después de la entrega, y en ausencia de una reserva que impida la creación de fugas durante este trabajo, los valores de permeabilidad obtenidos se incrementarán en 0,3 m³</w:t>
      </w:r>
      <w:proofErr w:type="gramStart"/>
      <w:r>
        <w:rPr>
          <w:rFonts w:ascii="Times New Roman" w:hAnsi="Times New Roman"/>
          <w:sz w:val="24"/>
        </w:rPr>
        <w:t>/(</w:t>
      </w:r>
      <w:proofErr w:type="gramEnd"/>
      <w:r>
        <w:rPr>
          <w:rFonts w:ascii="Times New Roman" w:hAnsi="Times New Roman"/>
          <w:sz w:val="24"/>
        </w:rPr>
        <w:t>h.m²).</w:t>
      </w:r>
      <w:r>
        <w:rPr>
          <w:rFonts w:ascii="Times New Roman" w:hAnsi="Times New Roman"/>
          <w:sz w:val="24"/>
        </w:rPr>
        <w:br/>
        <w:t>Estos dos aumentos serán acumulativos en este orden.</w:t>
      </w:r>
      <w:r>
        <w:rPr>
          <w:rFonts w:ascii="Times New Roman" w:hAnsi="Times New Roman"/>
          <w:sz w:val="24"/>
        </w:rPr>
        <w:br/>
        <w:t xml:space="preserve">II. - Para todos los edificios, el valor de permeabilidad de las redes </w:t>
      </w:r>
      <w:proofErr w:type="spellStart"/>
      <w:r>
        <w:rPr>
          <w:rFonts w:ascii="Times New Roman" w:hAnsi="Times New Roman"/>
          <w:sz w:val="24"/>
        </w:rPr>
        <w:t>aerólicas</w:t>
      </w:r>
      <w:proofErr w:type="spellEnd"/>
      <w:r>
        <w:rPr>
          <w:rFonts w:ascii="Times New Roman" w:hAnsi="Times New Roman"/>
          <w:sz w:val="24"/>
        </w:rPr>
        <w:t xml:space="preserve"> se obtendrá mediante medición o mediante la adopción de un enfoque de calidad para la hermeticidad de las redes </w:t>
      </w:r>
      <w:proofErr w:type="spellStart"/>
      <w:r>
        <w:rPr>
          <w:rFonts w:ascii="Times New Roman" w:hAnsi="Times New Roman"/>
          <w:sz w:val="24"/>
        </w:rPr>
        <w:t>aerólicas</w:t>
      </w:r>
      <w:proofErr w:type="spellEnd"/>
      <w:r>
        <w:rPr>
          <w:rFonts w:ascii="Times New Roman" w:hAnsi="Times New Roman"/>
          <w:sz w:val="24"/>
        </w:rPr>
        <w:t>, de conformidad con los procedimientos definidos en el anexo VII de la presente Orden. A falta de medición y de un enfoque de calidad con arreglo a estos métodos, el valor que se utilizará será el valor por defecto definido por el método de cálculo contemplado en el artículo 8.</w:t>
      </w:r>
      <w:r>
        <w:rPr>
          <w:rFonts w:ascii="Times New Roman" w:hAnsi="Times New Roman"/>
          <w:sz w:val="24"/>
        </w:rPr>
        <w:br/>
        <w:t xml:space="preserve">Si la permeabilidad al aire del edificio o la permeabilidad de las redes </w:t>
      </w:r>
      <w:proofErr w:type="spellStart"/>
      <w:r>
        <w:rPr>
          <w:rFonts w:ascii="Times New Roman" w:hAnsi="Times New Roman"/>
          <w:sz w:val="24"/>
        </w:rPr>
        <w:t>aerólicas</w:t>
      </w:r>
      <w:proofErr w:type="spellEnd"/>
      <w:r>
        <w:rPr>
          <w:rFonts w:ascii="Times New Roman" w:hAnsi="Times New Roman"/>
          <w:sz w:val="24"/>
        </w:rPr>
        <w:t xml:space="preserve"> está justificada por la medición, la persona que realice la medición deberá ser una persona reconocida como competente por el Ministro responsable de la construcción, independiente del solicitante y de las organizaciones que participan en la ejecución o gestión de proyectos de los edificios a los que se dirigen.</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VI: JUSTIFICACIÓN DE LA APLICACIÓN DE REQUISITOS (Artículo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18</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El propietario del edificio elaborará un resumen digital normalizado del estudio energético y medioambiental a partir de programas informáticos que cumplan los requisitos del artículo 12, a más tardar, una vez finalizada la obra.</w:t>
      </w:r>
      <w:r>
        <w:rPr>
          <w:rFonts w:ascii="Times New Roman" w:hAnsi="Times New Roman"/>
          <w:sz w:val="24"/>
        </w:rPr>
        <w:br/>
        <w:t>El contenido y el formato del resumen normalizado del estudio energético y medioambiental que debe elaborarse se describen en el anexo VI. En el caso, cubierto por el Título IV de esta Orden, de que los requisitos de esta Orden se apliquen de acuerdo con un proceso o modo de aplicación simplificado aprobado, el proceso simplificado o modo de aplicación especificará el contenido y formato del resumen estandarizado del estudio energético y ambiental que se establezca.</w:t>
      </w:r>
      <w:r>
        <w:rPr>
          <w:rFonts w:ascii="Times New Roman" w:hAnsi="Times New Roman"/>
          <w:sz w:val="24"/>
        </w:rPr>
        <w:br/>
      </w:r>
      <w:r>
        <w:rPr>
          <w:rFonts w:ascii="Times New Roman" w:hAnsi="Times New Roman"/>
          <w:sz w:val="24"/>
        </w:rPr>
        <w:lastRenderedPageBreak/>
        <w:t>Estos datos serán conservados y transmitidos por el propietario del edificio de conformidad con el artículo R. 172-8 del Código de construcción y vivienda.</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III: CARACTERÍSTICAS TÉRMICAS Y REQUISITOS PARA LAS MEDIDAS (POR COMPONENTE) (artículos 19 a 40)</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VII: VERIFICACIÓN DEL DESEMPEÑO DESPUÉS DE LA CONSTRUCCIÓN (Artículos 19 a 20)</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 el caso de las casas individuales o contiguas y los edificios residenciales colectivos, la permeabilidad al aire de la envolvente del edificio con arreglo a 4 </w:t>
      </w:r>
      <w:proofErr w:type="spellStart"/>
      <w:r>
        <w:rPr>
          <w:rFonts w:ascii="Times New Roman" w:hAnsi="Times New Roman"/>
          <w:sz w:val="24"/>
        </w:rPr>
        <w:t>Pa</w:t>
      </w:r>
      <w:proofErr w:type="spellEnd"/>
      <w:r>
        <w:rPr>
          <w:rFonts w:ascii="Times New Roman" w:hAnsi="Times New Roman"/>
          <w:sz w:val="24"/>
        </w:rPr>
        <w:t>, Q4Pa-surf, determinada de conformidad con el artículo 17, será inferior o igual a:</w:t>
      </w:r>
      <w:r>
        <w:rPr>
          <w:rFonts w:ascii="Times New Roman" w:hAnsi="Times New Roman"/>
          <w:sz w:val="24"/>
        </w:rPr>
        <w:br/>
        <w:t>0,60 m³</w:t>
      </w:r>
      <w:proofErr w:type="gramStart"/>
      <w:r>
        <w:rPr>
          <w:rFonts w:ascii="Times New Roman" w:hAnsi="Times New Roman"/>
          <w:sz w:val="24"/>
        </w:rPr>
        <w:t>/(</w:t>
      </w:r>
      <w:proofErr w:type="gramEnd"/>
      <w:r>
        <w:rPr>
          <w:rFonts w:ascii="Times New Roman" w:hAnsi="Times New Roman"/>
          <w:sz w:val="24"/>
        </w:rPr>
        <w:t>h.m²) de paredes agotadas, excluida una planta baja, en una casa unifamiliar o contigua.</w:t>
      </w:r>
      <w:r>
        <w:rPr>
          <w:rFonts w:ascii="Times New Roman" w:hAnsi="Times New Roman"/>
          <w:sz w:val="24"/>
        </w:rPr>
        <w:br/>
        <w:t>1,00 m³/(h.m²) de paredes resistentes a la pérdida, excluida una planta baja, en un edificio residencial colectivo.</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En los edificios y partes de edificios destinados a uso residencial, con el fin de garantizar su buen funcionamiento, todo sistema de ventilación del edificio será controlado y medido por una persona reconocida como competente por el </w:t>
      </w:r>
      <w:proofErr w:type="gramStart"/>
      <w:r>
        <w:rPr>
          <w:rFonts w:ascii="Times New Roman" w:hAnsi="Times New Roman"/>
          <w:sz w:val="24"/>
        </w:rPr>
        <w:t>Ministro</w:t>
      </w:r>
      <w:proofErr w:type="gramEnd"/>
      <w:r>
        <w:rPr>
          <w:rFonts w:ascii="Times New Roman" w:hAnsi="Times New Roman"/>
          <w:sz w:val="24"/>
        </w:rPr>
        <w:t xml:space="preserve"> encargado de la construcción, de conformidad con lo dispuesto en el anexo VIII. Cumplirá el protocolo de verificación del sistema de ventilación mencionado en el mismo anexo.</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VIII: INSTALACIÓN TÉRMICA (artículos 21 a 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Los tabiques que separan las partes continuamente ocupadas del edificio de las partes del edificio ocupadas de forma discontinua deberán tener un coeficiente de transmisión de calor U, tal como se define en el método de cálculo a que se refiere el artículo 8, que no podrá superar un valor medio de 0,36 W</w:t>
      </w:r>
      <w:proofErr w:type="gramStart"/>
      <w:r>
        <w:rPr>
          <w:rFonts w:ascii="Times New Roman" w:hAnsi="Times New Roman"/>
          <w:sz w:val="24"/>
        </w:rPr>
        <w:t>/(</w:t>
      </w:r>
      <w:proofErr w:type="gramEnd"/>
      <w:r>
        <w:rPr>
          <w:rFonts w:ascii="Times New Roman" w:hAnsi="Times New Roman"/>
          <w:sz w:val="24"/>
        </w:rPr>
        <w:t>m².K). La superficie considerada aquí es la superficie de los tabiques antes mencionados.</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22</w:t>
      </w:r>
    </w:p>
    <w:p w14:paraId="3B7CB3F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Con el fin de evitar cualquier riesgo de degradación física o microbiológica de los materiales, como la compactación del aislamiento o el desarrollo de moldes, cualquier edificio o parte de un edificio se diseñará y construirá de manera que se evite, en condiciones normales de ocupación, cualquier situación que pueda dar lugar a la aparición de condensación en la superficie o en el interior de las paredes, ya sea de forma única o distribuida, a menos que dicha condensación sea temporal.</w:t>
      </w:r>
      <w:r>
        <w:rPr>
          <w:rFonts w:ascii="Times New Roman" w:hAnsi="Times New Roman"/>
          <w:sz w:val="24"/>
        </w:rPr>
        <w:br/>
      </w:r>
      <w:r>
        <w:rPr>
          <w:rFonts w:ascii="Times New Roman" w:hAnsi="Times New Roman"/>
          <w:sz w:val="24"/>
        </w:rPr>
        <w:lastRenderedPageBreak/>
        <w:t>A tal efecto, cumplirá uno de los requisitos de I o II del presente artículo:</w:t>
      </w:r>
      <w:r>
        <w:rPr>
          <w:rFonts w:ascii="Times New Roman" w:hAnsi="Times New Roman"/>
          <w:sz w:val="24"/>
        </w:rPr>
        <w:br/>
        <w:t>I. - Tendrá una temperatura superficial inferior a 15.°C, en condiciones invernales, en el interior desnudo y en el interior desnudo del aislamiento, en cualquier punto de estas superficies.</w:t>
      </w:r>
      <w:r>
        <w:rPr>
          <w:rFonts w:ascii="Times New Roman" w:hAnsi="Times New Roman"/>
          <w:sz w:val="24"/>
        </w:rPr>
        <w:br/>
        <w:t>II. - Simultáneamente cumple los siguientes requisitos:</w:t>
      </w:r>
    </w:p>
    <w:p w14:paraId="3A1005B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la relación media de transmisión de calor lineal global, ratio δ, de los puentes térmicos del edificio no debe superar 0,33 W</w:t>
      </w:r>
      <w:proofErr w:type="gramStart"/>
      <w:r>
        <w:rPr>
          <w:rFonts w:ascii="Times New Roman" w:hAnsi="Times New Roman"/>
          <w:sz w:val="24"/>
        </w:rPr>
        <w:t>/(</w:t>
      </w:r>
      <w:proofErr w:type="gramEnd"/>
      <w:r>
        <w:rPr>
          <w:rFonts w:ascii="Times New Roman" w:hAnsi="Times New Roman"/>
          <w:sz w:val="24"/>
        </w:rPr>
        <w:t>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Esta relación representa las pérdidas de calor de todos los puentes térmicos de los edificios, en relación con la superficie de referencia del edificio. Se determinará con arreglo al método de cálculo contemplado en el artículo 8.</w:t>
      </w:r>
    </w:p>
    <w:p w14:paraId="32C3A6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el coeficiente medio lineal de transmisión de calor de las conexiones entre los pisos intermedios y las paredes o paredes exteriores que dan a las habitaciones no calentadas, δ 9, no excederá de 0,6 W</w:t>
      </w:r>
      <w:proofErr w:type="gramStart"/>
      <w:r>
        <w:rPr>
          <w:rFonts w:ascii="Times New Roman" w:hAnsi="Times New Roman"/>
          <w:sz w:val="24"/>
        </w:rPr>
        <w:t>/(</w:t>
      </w:r>
      <w:proofErr w:type="gramEnd"/>
      <w:r>
        <w:rPr>
          <w:rFonts w:ascii="Times New Roman" w:hAnsi="Times New Roman"/>
          <w:sz w:val="24"/>
        </w:rPr>
        <w:t>m lineal. K).</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IX: ACCESO A LA ILUMINACIÓN NATURAL (artículo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23</w:t>
      </w:r>
    </w:p>
    <w:p w14:paraId="6019846A"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Con el fin de garantizar una iluminación natural suficiente y una visión del exterior, los edificios residenciales cumplirán uno de los requisitos especificados en los apartados I o II del presente artículo.</w:t>
      </w:r>
      <w:r>
        <w:rPr>
          <w:rFonts w:ascii="Times New Roman" w:hAnsi="Times New Roman"/>
          <w:sz w:val="24"/>
        </w:rPr>
        <w:br/>
        <w:t>I.- Cada residencia tendrá todas las características siguientes:</w:t>
      </w:r>
    </w:p>
    <w:p w14:paraId="4DF9AF2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un nivel de iluminación de al menos 300 lx en el 50 % de las zonas de estar, excepto en los locales con ocupación temporal, durante más de la mitad de las horas de luz del año;</w:t>
      </w:r>
      <w:r>
        <w:rPr>
          <w:rFonts w:ascii="Times New Roman" w:hAnsi="Times New Roman"/>
          <w:sz w:val="24"/>
        </w:rPr>
        <w:br/>
        <w:t>- un nivel de iluminación de al menos 100 lx en el 95% de las zonas de estar, excepto en los locales con ocupación temporal, durante más de la mitad de las horas de luz del año;</w:t>
      </w:r>
      <w:r>
        <w:rPr>
          <w:rFonts w:ascii="Times New Roman" w:hAnsi="Times New Roman"/>
          <w:sz w:val="24"/>
        </w:rPr>
        <w:br/>
        <w:t>- al menos en una zona habitable, en el sentido del Reglamento (CE) n.º 111-1 del Código de Construcción y Vivienda, el ocupante tiene, a una distancia de al menos 1 metro de la fachada, una vista del exterior que incluye tanto el cielo como el horizonte.</w:t>
      </w:r>
    </w:p>
    <w:p w14:paraId="7EC11A1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II. - La superficie total de las aperturas, medida en un cuadro, es superior o igual a 1/6 de la superficie de referencia.</w:t>
      </w:r>
      <w:r>
        <w:rPr>
          <w:rFonts w:ascii="Times New Roman" w:hAnsi="Times New Roman"/>
          <w:sz w:val="24"/>
        </w:rPr>
        <w:br/>
        <w:t>Si la superficie disponible de la fachada del edificio es inferior a la mitad de la superficie habitable del edificio, o la superficie habitable media de los alojamientos en el edificio es inferior a 25 m², puede, en lugar de los requisitos previos, tener una superficie total de apertura, medida en una tabla, superior o igual a un tercio de la superficie disponible de la fachada.</w:t>
      </w:r>
      <w:r>
        <w:rPr>
          <w:rFonts w:ascii="Times New Roman" w:hAnsi="Times New Roman"/>
          <w:sz w:val="24"/>
        </w:rPr>
        <w:br/>
      </w:r>
      <w:r>
        <w:rPr>
          <w:rFonts w:ascii="Times New Roman" w:hAnsi="Times New Roman"/>
          <w:sz w:val="24"/>
        </w:rPr>
        <w:lastRenderedPageBreak/>
        <w:t>El presente artículo no se aplicará en los casos en que su cumplimiento sea contrario a las autorizaciones de planificación en zonas protegidas, zonas de protección del patrimonio arquitectónico, urbano y paisajístico o zonas promovidas arquitectónicas y patrimoniales, el entorno de monumentos históricos, sitios registrados y clasificados, sitios incluidos en la lista del patrimonio mundial de la UNESCO o cualquier otro tipo de conservación decretado por las autoridades locales, así como en los lugares y sectores designados en virtud del artículo L. 151-19 del Código de Ordenación Urbana.</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X: COMFORT EN VERANO (artículos 24 a 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Con excepción de las aperturas en salas con ocupación temporal, las aperturas tienen un factor solar inferior o igual al factor solar definido en el cuadro siguiente, con el dispositivo de sombreado solar, en su caso, considerado en posición totalmente extendida: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2"/>
        <w:gridCol w:w="1777"/>
        <w:gridCol w:w="1881"/>
        <w:gridCol w:w="1896"/>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Todas las altitudes</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H1a, H1b y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 &lt; o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H1c y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 &lt; o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H2d y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 &lt; o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Aperturas a la vista BR1 - habitaciones para dormir</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Apertura vertical orientada al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Apertura vertical no orientada al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Apertura horizontal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 Aperturas a la vista BR2 o BR3 - habitaciones para dormir</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Apertura vertical orientada al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Apertura vertical no orientada al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Apertura horizontal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3. Aperturas a la vista BR1 - excepto en habitaciones para dormir</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Apertura vertical no orientada al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Apertura horizontal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4. Aperturas expuestas - BR2 o BR3 distintas de las habitaciones para dormir</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Apertura vertical no orientada al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Apertura horizontal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Las aperturas que no están expuestas a la luz solar directa de abril a octubre, debido al sombreado solar distante, solo pueden aplicar los requisitos para las aperturas orientadas al norte.</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Las aperturas dentro de la misma habitación, distintas de las salas de ocupación temporal, deben abrirse al menos al 30 % de su superficie, a menos que las normas de higiene o seguridad lo prohíban. Este límite se reducirá al 10 % para las estancias en las que la diferencia de altitud entre el punto más bajo de su apertura más baja y el punto más alto de su apertura más alta sea igual o superior a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XI: CONSUMO ENERGÉTICO (artículos 26 a 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Cualquier automatización que dé lugar a un aumento del consumo de energía:</w:t>
      </w:r>
    </w:p>
    <w:p w14:paraId="56C2F6B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se diseñarán e implementarán de manera que la automatización solo se active cuando sea necesario;</w:t>
      </w:r>
      <w:r>
        <w:rPr>
          <w:rFonts w:ascii="Times New Roman" w:hAnsi="Times New Roman"/>
          <w:sz w:val="24"/>
        </w:rPr>
        <w:br/>
        <w:t>- se programarán o programarán para detener automáticamente el aumento del consumo de energía tan pronto como ya no sea necesario;</w:t>
      </w:r>
      <w:r>
        <w:rPr>
          <w:rFonts w:ascii="Times New Roman" w:hAnsi="Times New Roman"/>
          <w:sz w:val="24"/>
        </w:rPr>
        <w:br/>
      </w:r>
      <w:r>
        <w:rPr>
          <w:rFonts w:ascii="Times New Roman" w:hAnsi="Times New Roman"/>
          <w:sz w:val="24"/>
        </w:rPr>
        <w:lastRenderedPageBreak/>
        <w:t>- puede ser adaptado por el futuro administrador del edificio de acuerdo con las condiciones de ocupación del edificio.</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 automatización solo permitirá la activación automática de la iluminación artificial en hogares, oficinas, salas de reuniones, aulas y salas polivalentes, solo tras la intervención manual del ocupante en la sala de que se trate o en sus inmediaciones, menos de seis horas antes.</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Los edificios residenciales o sus partes estarán equipados con sistemas que permitan medir o estimar el consumo de energía de cada residencia, excepto el consumo de sistemas de madera individuales en casas individuales o contiguas.</w:t>
      </w:r>
      <w:r>
        <w:rPr>
          <w:rFonts w:ascii="Times New Roman" w:hAnsi="Times New Roman"/>
          <w:sz w:val="24"/>
        </w:rPr>
        <w:br/>
        <w:t>En el caso de la producción colectiva de energía, se entiende por «energía consumida por la vivienda» la parte del consumo total de energía dedicada a esta vivienda según una clave de distribución que debe definir el propietario del edificio durante la construcción del edificio.</w:t>
      </w:r>
      <w:r>
        <w:rPr>
          <w:rFonts w:ascii="Times New Roman" w:hAnsi="Times New Roman"/>
          <w:sz w:val="24"/>
        </w:rPr>
        <w:br/>
        <w:t>Estos sistemas permitirán a los ocupantes ser informados de su consumo de energía al menos mensualmente.</w:t>
      </w:r>
      <w:r>
        <w:rPr>
          <w:rFonts w:ascii="Times New Roman" w:hAnsi="Times New Roman"/>
          <w:sz w:val="24"/>
        </w:rPr>
        <w:br/>
        <w:t>Esta información se entregará en el espacio habitable, por tipo de energía, desglosada en al menos lo siguiente:</w:t>
      </w:r>
    </w:p>
    <w:p w14:paraId="4891DCE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calefacción;</w:t>
      </w:r>
      <w:r>
        <w:rPr>
          <w:rFonts w:ascii="Times New Roman" w:hAnsi="Times New Roman"/>
          <w:sz w:val="24"/>
        </w:rPr>
        <w:br/>
        <w:t>- refrigeración;</w:t>
      </w:r>
      <w:r>
        <w:rPr>
          <w:rFonts w:ascii="Times New Roman" w:hAnsi="Times New Roman"/>
          <w:sz w:val="24"/>
        </w:rPr>
        <w:br/>
        <w:t>- producción de agua caliente doméstica;</w:t>
      </w:r>
      <w:r>
        <w:rPr>
          <w:rFonts w:ascii="Times New Roman" w:hAnsi="Times New Roman"/>
          <w:sz w:val="24"/>
        </w:rPr>
        <w:br/>
        <w:t>- tomas de corriente;</w:t>
      </w:r>
      <w:r>
        <w:rPr>
          <w:rFonts w:ascii="Times New Roman" w:hAnsi="Times New Roman"/>
          <w:sz w:val="24"/>
        </w:rPr>
        <w:br/>
        <w:t>- otros.</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Este desglose puede basarse en datos medidos o en datos estimados basados en ajustes predefinidos.</w:t>
      </w:r>
      <w:r>
        <w:rPr>
          <w:rFonts w:ascii="Times New Roman" w:hAnsi="Times New Roman"/>
          <w:sz w:val="24"/>
        </w:rPr>
        <w:br/>
        <w:t>No obstante, en el caso de un propietario del proyecto que sea también el futuro propietario y arrendador del edificio construido; en particular, los propietarios de viviendas sociales de alquiler, esta información puede entregarse a los ocupantes, al menos mensualmente, por medios electrónicos o postales en lugar de directamente en el espacio habitable.</w:t>
      </w:r>
      <w:r>
        <w:rPr>
          <w:rFonts w:ascii="Times New Roman" w:hAnsi="Times New Roman"/>
          <w:sz w:val="24"/>
        </w:rPr>
        <w:br/>
        <w:t>Las pruebas de que se ha tenido en cuenta el presente artículo se facilitarán de conformidad con las directrices tituladas Sistemas de medición o estimación del consumo en viviendas, en las que se especificarán los procedimientos para su aplicación.</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Los edificios no residenciales o sus partes estarán equipados con sistemas que permitan medir o calcular el consumo de energía:</w:t>
      </w:r>
    </w:p>
    <w:p w14:paraId="16BE002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para calefacción: para cada 500 m² de la superficie de que se trate, para cada panel eléctrico, para cada piso o para cada cable de salida directa;</w:t>
      </w:r>
      <w:r>
        <w:rPr>
          <w:rFonts w:ascii="Times New Roman" w:hAnsi="Times New Roman"/>
          <w:sz w:val="24"/>
        </w:rPr>
        <w:br/>
        <w:t>- para refrigeración: para cada 500 m² de la superficie de que se trate, para cada panel eléctrico, para cada piso o para cada cable de salida directa;</w:t>
      </w:r>
      <w:r>
        <w:rPr>
          <w:rFonts w:ascii="Times New Roman" w:hAnsi="Times New Roman"/>
          <w:sz w:val="24"/>
        </w:rPr>
        <w:br/>
        <w:t>- para la producción de agua caliente doméstica;</w:t>
      </w:r>
      <w:r>
        <w:rPr>
          <w:rFonts w:ascii="Times New Roman" w:hAnsi="Times New Roman"/>
          <w:sz w:val="24"/>
        </w:rPr>
        <w:br/>
        <w:t>- para el alumbrado: para cada 500 m² de la superficie de que se trate, para cada panel eléctrico o para cada piso;</w:t>
      </w:r>
      <w:r>
        <w:rPr>
          <w:rFonts w:ascii="Times New Roman" w:hAnsi="Times New Roman"/>
          <w:sz w:val="24"/>
        </w:rPr>
        <w:br/>
        <w:t>- para la red de tomas eléctricas: para cada sección de 500 m² de la superficie de que se trate, para cada panel eléctrico o para cada piso;</w:t>
      </w:r>
      <w:r>
        <w:rPr>
          <w:rFonts w:ascii="Times New Roman" w:hAnsi="Times New Roman"/>
          <w:sz w:val="24"/>
        </w:rPr>
        <w:br/>
        <w:t>- para las unidades de ventilación: para cada unidad;</w:t>
      </w:r>
      <w:r>
        <w:rPr>
          <w:rFonts w:ascii="Times New Roman" w:hAnsi="Times New Roman"/>
          <w:sz w:val="24"/>
        </w:rPr>
        <w:br/>
        <w:t>- para cada salida directa de más de 80 amperios.</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XII: CALEFFACCIÓN Y REFRIGERACIÓN (artículos 29 a 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29</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Las unidades de calefacción deben incluir, para cada habitación suministrada, uno o más dispositivos que puedan detenerse manualmente o ajustarse automáticamente en función de la temperatura interior de la habitación.</w:t>
      </w:r>
      <w:r>
        <w:rPr>
          <w:rFonts w:ascii="Times New Roman" w:hAnsi="Times New Roman"/>
          <w:sz w:val="24"/>
        </w:rPr>
        <w:br/>
        <w:t>No obstante, cuando la calefacción se proporcione mediante calefacción por suelo radiante con agua caliente a baja temperatura o aire soplado o mediante un dispositivo independiente de calefacción de leña, este dispositivo podrá ser compartido por habitaciones con una superficie total máxima de 100 m².</w:t>
      </w:r>
      <w:r>
        <w:rPr>
          <w:rFonts w:ascii="Times New Roman" w:hAnsi="Times New Roman"/>
          <w:sz w:val="24"/>
        </w:rPr>
        <w:br/>
        <w:t>El ajuste automático se programará de manera que cumpla los requisitos del artículo R. 241-26 del Código de la Energía.</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 el caso de edificios no residenciales o partes de edificios, cualquier unidad de calefacción que suministre habitaciones ocupadas de forma discontinua incluirá un dispositivo que pueda controlarse manualmente y programarse automáticamente, al menos utilizando un reloj, que permita:</w:t>
      </w:r>
    </w:p>
    <w:p w14:paraId="32B9CAF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calor que debe suministrarse con arreglo a los cuatro niveles siguientes: comodidad, baja, congelación de la prevención y parada;</w:t>
      </w:r>
      <w:r>
        <w:rPr>
          <w:rFonts w:ascii="Times New Roman" w:hAnsi="Times New Roman"/>
          <w:sz w:val="24"/>
        </w:rPr>
        <w:br/>
        <w:t>- un cambio automático entre estos niveles.</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Durante la conmutación entre dos niveles, la potencia de calefacción será cero o máxima para minimizar la duración de las fases de transición.</w:t>
      </w:r>
      <w:r>
        <w:rPr>
          <w:rFonts w:ascii="Times New Roman" w:hAnsi="Times New Roman"/>
          <w:sz w:val="24"/>
        </w:rPr>
        <w:br/>
        <w:t>Este dispositivo solo puede ser compartido por habitaciones con horarios de ocupación similares. El mismo dispositivo puede servir a una superficie de no más de 5 000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Las redes colectivas que distribuyan agua de calefacción o refrigeración deberán estar equipadas con una unidad de equilibrio al pie de cada columna.</w:t>
      </w:r>
      <w:r>
        <w:rPr>
          <w:rFonts w:ascii="Times New Roman" w:hAnsi="Times New Roman"/>
          <w:sz w:val="24"/>
        </w:rPr>
        <w:br/>
        <w:t>Las bombas para instalaciones de calefacción y refrigeración están equipadas con dispositivos para detenerlas.</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Las unidades de refrigeración deben incluir, para cada habitación suministrada, uno o más dispositivos que puedan detenerse manualmente y que ajusten automáticamente el suministro de frío en función de la temperatura dentro de la habitación.</w:t>
      </w:r>
      <w:r>
        <w:rPr>
          <w:rFonts w:ascii="Times New Roman" w:hAnsi="Times New Roman"/>
          <w:sz w:val="24"/>
        </w:rPr>
        <w:br/>
        <w:t>Sin embargo:</w:t>
      </w:r>
    </w:p>
    <w:p w14:paraId="035004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cuando el frío sea suministrado por un sistema de flujo de aire variable, este dispositivo podrá ser compartido por habitaciones con una superficie total máxima de 100 m², siempre que el caudal total de soplado esté regulado sin aumentar la pérdida de presión;</w:t>
      </w:r>
      <w:r>
        <w:rPr>
          <w:rFonts w:ascii="Times New Roman" w:hAnsi="Times New Roman"/>
          <w:sz w:val="24"/>
        </w:rPr>
        <w:br/>
        <w:t>- cuando el frío es suministrado por un suelo de refrigeración, este dispositivo puede ser compartido por habitaciones con una superficie total máxima de 100 m².</w:t>
      </w:r>
      <w:r>
        <w:rPr>
          <w:rFonts w:ascii="Times New Roman" w:hAnsi="Times New Roman"/>
          <w:sz w:val="24"/>
        </w:rPr>
        <w:br/>
        <w:t>- en el caso de los «convectores de ventiladores de dos tubos solo fríos», se considerará cumplido el requisito del apartado 1 si cada ventilador está controlado por la temperatura interior y las instalaciones de producción y distribución de agua fría están equipadas con un dispositivo que permita su programación;</w:t>
      </w:r>
      <w:r>
        <w:rPr>
          <w:rFonts w:ascii="Times New Roman" w:hAnsi="Times New Roman"/>
          <w:sz w:val="24"/>
        </w:rPr>
        <w:br/>
        <w:t>- en el caso de los edificios o partes de un edificio refrigerados por aire fresco sin aumentar los caudales procesados por encima del doble del de las necesidades de higiene, se considerará cumplido el requisito del apartado 1 si el suministro de frío se ajusta, por una parte, en función, como mínimo, de la temperatura de retorno del aire y de la temperatura exterior y, por otra parte, prohibido en los períodos de calefacción.</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El ajuste automático se programará de manera que cumpla los requisitos del artículo R. 241-30 del Código de la Energía.</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Las puertas de acceso a las zonas refrigeradas estarán equipadas con un dispositivo de cierre automático.</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Antes de la salida final en la sala, excepto cuando la calefacción se obtenga mediante recuperación de la producción en frío, el aire no debe calentarse y luego enfriarse, o viceversa, mediante dispositivos que consumen energía diseñados para calentar o enfriar el aire.</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Capítulo XIII: ILUMINACIÓN (artículos 35 a 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 las zonas de pasarela, zonas interiores comunitarias verticales y horizontales y aparcamientos, todas las instalaciones de alumbrado incluirán, para cada habitación, un dispositivo automático que permita, cuando la habitación o el aparcamiento esté desocupado:</w:t>
      </w:r>
    </w:p>
    <w:p w14:paraId="0741976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bien para atenuar la iluminación hasta el nivel mínimo reglamentario;</w:t>
      </w:r>
      <w:r>
        <w:rPr>
          <w:rFonts w:ascii="Times New Roman" w:hAnsi="Times New Roman"/>
          <w:sz w:val="24"/>
        </w:rPr>
        <w:br/>
        <w:t>- o para extinguir las fuentes de luz artificiales, si ninguna regulación impone un nivel mínimo.</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Además, si la habitación tiene acceso a la luz natural, debe incluir un dispositivo que permita apagar automáticamente el sistema de iluminación tan pronto como la luz natural sea suficiente.</w:t>
      </w:r>
      <w:r>
        <w:rPr>
          <w:rFonts w:ascii="Times New Roman" w:hAnsi="Times New Roman"/>
          <w:sz w:val="24"/>
        </w:rPr>
        <w:br/>
        <w:t>Un único dispositivo deberá servir como máximo:</w:t>
      </w:r>
    </w:p>
    <w:p w14:paraId="05A2C70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una superficie máxima de 100 m² y un nivel único para pasarelas horizontales y zonas comunes interiores;</w:t>
      </w:r>
      <w:r>
        <w:rPr>
          <w:rFonts w:ascii="Times New Roman" w:hAnsi="Times New Roman"/>
          <w:sz w:val="24"/>
        </w:rPr>
        <w:br/>
        <w:t>- tres niveles para pasarelas verticales;</w:t>
      </w:r>
      <w:r>
        <w:rPr>
          <w:rFonts w:ascii="Times New Roman" w:hAnsi="Times New Roman"/>
          <w:sz w:val="24"/>
        </w:rPr>
        <w:br/>
        <w:t>- un nivel y como máximo una superficie de 500 m² para plazas de aparcamiento.</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En los edificios no residenciales o en partes de </w:t>
      </w:r>
      <w:proofErr w:type="gramStart"/>
      <w:r>
        <w:rPr>
          <w:rFonts w:ascii="Times New Roman" w:hAnsi="Times New Roman"/>
          <w:sz w:val="24"/>
        </w:rPr>
        <w:t>los mismos</w:t>
      </w:r>
      <w:proofErr w:type="gramEnd"/>
      <w:r>
        <w:rPr>
          <w:rFonts w:ascii="Times New Roman" w:hAnsi="Times New Roman"/>
          <w:sz w:val="24"/>
        </w:rPr>
        <w:t>, cada habitación estará equipada con un dispositivo manual para encender y apagar la iluminación, o con un dispositivo automático según la tasa de ocupación.</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En los edificios no residenciales o en partes de </w:t>
      </w:r>
      <w:proofErr w:type="gramStart"/>
      <w:r>
        <w:rPr>
          <w:rFonts w:ascii="Times New Roman" w:hAnsi="Times New Roman"/>
          <w:sz w:val="24"/>
        </w:rPr>
        <w:t>los mismos</w:t>
      </w:r>
      <w:proofErr w:type="gramEnd"/>
      <w:r>
        <w:rPr>
          <w:rFonts w:ascii="Times New Roman" w:hAnsi="Times New Roman"/>
          <w:sz w:val="24"/>
        </w:rPr>
        <w:t>, cada sala en la que el control de alumbrado sea responsabilidad de su personal directivo deberá incluir, incluso durante los períodos de ocupación, un dispositivo que permita encender y apagar el alumbrado. Si este dispositivo no está situado en la habitación de que se trate, debe permitir que el estado de iluminación de esta sala se vea desde el punto de control.</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38</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En los edificios o partes de edificios para uso no residencial, en la misma sala, los puntos iluminados artificialmente, situados a menos de 5 m de una apertura, se </w:t>
      </w:r>
      <w:r>
        <w:rPr>
          <w:rFonts w:ascii="Times New Roman" w:hAnsi="Times New Roman"/>
          <w:sz w:val="24"/>
        </w:rPr>
        <w:lastRenderedPageBreak/>
        <w:t>controlarán por separado de los demás puntos de alumbrado cuando la potencia total instalada en cada una de estas posiciones sea superior a 200 W.</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XIV: VENTILACIÓN (artículos 39 a 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 el caso de edificios no residenciales o partes de ellos, las habitaciones o grupos de habitaciones cuya ocupación o uso sea muy diferente deberán ser atendidos por sistemas de ventilación independientes.</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 el caso de edificios no residenciales o partes de edificios equipados con sistemas de ventilación mecanizados específicos, todo dispositivo manual para modificar el flujo de aire de una habitación se accionará con un temporizador.</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IV: PROPUESTA DE MÉTODOS DE APLICACIÓN SIMPLIFICADA EN CASAS INDIVIDUALES (artículos 41 a 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Un método de aplicación simplificado es una combinación de características arquitectónicas, prestaciones energéticas y medioambientales de obras y equipos unidos a una determinada familia de viviendas individuales, considerados conformes a lo dispuesto en los Títulos I a III de la presente Orden para todos los edificios de esta familia.</w:t>
      </w:r>
      <w:r>
        <w:rPr>
          <w:rFonts w:ascii="Times New Roman" w:hAnsi="Times New Roman"/>
          <w:sz w:val="24"/>
        </w:rPr>
        <w:br/>
        <w:t>El método de aplicación simplificada solo puede utilizarse en su forma integral.</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La propuesta de método de aplicación simplificada se remitirá al </w:t>
      </w:r>
      <w:proofErr w:type="gramStart"/>
      <w:r>
        <w:rPr>
          <w:rFonts w:ascii="Times New Roman" w:hAnsi="Times New Roman"/>
          <w:sz w:val="24"/>
        </w:rPr>
        <w:t>Ministro</w:t>
      </w:r>
      <w:proofErr w:type="gramEnd"/>
      <w:r>
        <w:rPr>
          <w:rFonts w:ascii="Times New Roman" w:hAnsi="Times New Roman"/>
          <w:sz w:val="24"/>
        </w:rPr>
        <w:t xml:space="preserve"> de Energía y al Ministro de Construcción, acompañado de un expediente de estudio, que figura en el anexo IX.</w:t>
      </w:r>
    </w:p>
    <w:p w14:paraId="505CE6F7" w14:textId="3968BC32"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V</w:t>
      </w:r>
      <w:r w:rsidR="007A78ED">
        <w:rPr>
          <w:rFonts w:ascii="Times New Roman" w:hAnsi="Times New Roman"/>
          <w:b/>
          <w:sz w:val="27"/>
        </w:rPr>
        <w:t>:</w:t>
      </w:r>
      <w:r>
        <w:rPr>
          <w:rFonts w:ascii="Times New Roman" w:hAnsi="Times New Roman"/>
          <w:b/>
          <w:sz w:val="27"/>
        </w:rPr>
        <w:t xml:space="preserve"> CASOS ESPECIALES (artículos 43 a 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En caso de que el método de cálculo mencionado en el artículo 8 no tenga en cuenta las especificidades de un proyecto de construcción, se enviará una solicitud de aprobación del proyecto al </w:t>
      </w:r>
      <w:proofErr w:type="gramStart"/>
      <w:r>
        <w:rPr>
          <w:rFonts w:ascii="Times New Roman" w:hAnsi="Times New Roman"/>
          <w:sz w:val="24"/>
        </w:rPr>
        <w:t>Ministro</w:t>
      </w:r>
      <w:proofErr w:type="gramEnd"/>
      <w:r>
        <w:rPr>
          <w:rFonts w:ascii="Times New Roman" w:hAnsi="Times New Roman"/>
          <w:sz w:val="24"/>
        </w:rPr>
        <w:t xml:space="preserve"> responsable de Energía y al Ministro de Construcción.</w:t>
      </w:r>
      <w:r>
        <w:rPr>
          <w:rFonts w:ascii="Times New Roman" w:hAnsi="Times New Roman"/>
          <w:sz w:val="24"/>
        </w:rPr>
        <w:br/>
        <w:t xml:space="preserve">En los siguientes casos, la solicitud de aprobación del proyecto o el método utilizado </w:t>
      </w:r>
      <w:r>
        <w:rPr>
          <w:rFonts w:ascii="Times New Roman" w:hAnsi="Times New Roman"/>
          <w:sz w:val="24"/>
        </w:rPr>
        <w:lastRenderedPageBreak/>
        <w:t>para justificar el funcionamiento del sistema o red de calefacción o refrigeración podrá enviarse al Ministro de Energía y al Ministro de Construcción:</w:t>
      </w:r>
    </w:p>
    <w:p w14:paraId="5A0B0C3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si el método de cálculo mencionado en el artículo 8 no tiene en cuenta las especificidades de un sistema;</w:t>
      </w:r>
      <w:r>
        <w:rPr>
          <w:rFonts w:ascii="Times New Roman" w:hAnsi="Times New Roman"/>
          <w:sz w:val="24"/>
        </w:rPr>
        <w:br/>
        <w:t>- si se crea una red urbana de calefacción o refrigeración;</w:t>
      </w:r>
      <w:r>
        <w:rPr>
          <w:rFonts w:ascii="Times New Roman" w:hAnsi="Times New Roman"/>
          <w:sz w:val="24"/>
        </w:rPr>
        <w:br/>
        <w:t>- si el trabajo de modificación de una red de calefacción o refrigeración puede provocar un cambio significativo en su factor de emisión, de conformidad con lo dispuesto en el artículo 10.</w:t>
      </w:r>
    </w:p>
    <w:p w14:paraId="74E0BDC5"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Las solicitudes de autorización irán acompañadas de un expediente de estudio compuesto por el anexo X, en el que se expondrá, en particular, la forma en que el método de cálculo mencionado en el artículo 8 no tiene en cuenta las características específicas del proyecto o sistema de construcción, según proceda.</w:t>
      </w:r>
      <w:r>
        <w:rPr>
          <w:rFonts w:ascii="Times New Roman" w:hAnsi="Times New Roman"/>
          <w:sz w:val="24"/>
        </w:rPr>
        <w:br/>
        <w:t>La aprobación de un proyecto de construcción no será obligatoria cuando un certificado de cumplimiento de los objetivos, en el sentido del artículo L. 112-9 y en relación con un sujeto distinto de la eficiencia energética, prevea datos de cálculo específicos de las soluciones de efecto equivalente en cuestión que permitan aplicar el método de cálculo a que se refiere el artículo 8.</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El Ministro de Energía y el Ministro de Construcción podrán aprobar la propuesta de tener en cuenta el proyecto de construcción, el sistema de calefacción o refrigeración o la red, previa consulta a un comité de expertos creado a tal efecto.</w:t>
      </w:r>
      <w:r>
        <w:rPr>
          <w:rFonts w:ascii="Times New Roman" w:hAnsi="Times New Roman"/>
          <w:sz w:val="24"/>
        </w:rPr>
        <w:br/>
        <w:t>Para la creación de redes urbanas de calefacción o refrigeración, la homologación será válida durante un período máximo de tres años; en el caso de las obras destinadas a modificar las redes urbanas de calefacción o refrigeración, la autorización será válida durante un período máximo de cinco años, renovable dos años después del dictamen de un comité de expertos.</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VI: DISPOSICIONES VARIAS (artículos 45 a 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45</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Si un edificio o parte de un edificio se entrega sin un sistema de calefacción, se evalúa con un sistema de calefacción por defecto según lo previsto en el método mencionado en el artículo 8. Si no se prevé ningún sistema de calefacción por defecto en el método para el edificio en cuestión, solo podrá cumplir los requisitos de recursos definidos en el título III y los requisitos definidos en el artículo R. 172-4, apartados 1.º, 4.º y 5.º del Código de construcción y vivienda y determinados de conformidad con los procedimientos especificados en el anexo del mismo artículo.</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46</w:t>
      </w:r>
    </w:p>
    <w:p w14:paraId="6521031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I.- Se presume que se cumplen los requisitos establecidos en las citadas Órdenes de 26 de octubre de 2010 y 28 de diciembre de 2012 si se cumplen los requisitos establecidos en el artículo R. 172-4 del Código de la Construcción y la Vivienda y determinados de conformidad con los procedimientos establecidos en el anexo de dicho artículo, así como los requisitos establecidos en esta Orden.</w:t>
      </w:r>
      <w:r>
        <w:rPr>
          <w:rFonts w:ascii="Times New Roman" w:hAnsi="Times New Roman"/>
          <w:sz w:val="24"/>
        </w:rPr>
        <w:br/>
        <w:t>II. - Se presume que se han cumplido los requisitos establecidos en las Órdenes de 13 de junio de 2008 y 3 de mayo de 2007 antes citadas, cuando se cumplan los requisitos definidos en el artículo R. 172-4, apartados 1.º a 3.º y 5.º del Código de la Construcción y la Vivienda y determinados de conformidad con los procedimientos especificados en el anexo de dicho artículo, así como los requisitos establecidos en el título III de la presente Orden.</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Las disposiciones de esta Orden no pueden comprometer las medidas legislativas y administrativas vigentes en materia de salud, saneamiento, higiene y seguridad.</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En los artículos 11 y 12 de la Orden de 26 de octubre de 2010, las palabras «1 de septiembre de 2021» se sustituyen por «31 de diciembre de 2021».</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49</w:t>
      </w:r>
    </w:p>
    <w:p w14:paraId="01833B6B"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El artículo 10 de la Orden de 26 de octubre de 2010 y el artículo 10 de la Orden de 28 de diciembre de 2012 antes mencionada se sustituyen por:</w:t>
      </w:r>
    </w:p>
    <w:p w14:paraId="228B35D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«Artículo 10. - A más tardar el 1 de enero de 2013, los programas informáticos utilizados para efectuar los cálculos de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Bbio</w:t>
      </w:r>
      <w:proofErr w:type="spellEnd"/>
      <w:r>
        <w:rPr>
          <w:rFonts w:ascii="Times New Roman" w:hAnsi="Times New Roman"/>
          <w:sz w:val="24"/>
        </w:rPr>
        <w:t xml:space="preserve"> y Tic deberán haber sido evaluados por el </w:t>
      </w:r>
      <w:proofErr w:type="gramStart"/>
      <w:r>
        <w:rPr>
          <w:rFonts w:ascii="Times New Roman" w:hAnsi="Times New Roman"/>
          <w:sz w:val="24"/>
        </w:rPr>
        <w:t>Ministro</w:t>
      </w:r>
      <w:proofErr w:type="gramEnd"/>
      <w:r>
        <w:rPr>
          <w:rFonts w:ascii="Times New Roman" w:hAnsi="Times New Roman"/>
          <w:sz w:val="24"/>
        </w:rPr>
        <w:t xml:space="preserve"> de Construcción y por el Ministro de Energía, de conformidad con el procedimiento establecido en el anexo X. Al término de dicha evaluación, se emitirá un informe de evaluación. Esta evaluación debe revisarse cada dos años, en la fecha de aniversario de la publicación del informe de evaluación, o al menos una vez a partir del 1 de enero de 2018.»</w:t>
      </w:r>
    </w:p>
    <w:p w14:paraId="519D34E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II. - Al principio del 5 del anexo X de la Orden de 26 de octubre de 2010 antes mencionada, y al principio del 5 del anexo VI de la citada Orden de 28 de diciembre de 2012, se añade la frase siguiente: «El apartado siguiente no se aplicará a los programas informáticos que hayan sido objeto de una revisión de la evaluación después del 1 de enero de 2018.»</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50</w:t>
      </w:r>
    </w:p>
    <w:p w14:paraId="7292B4E9" w14:textId="78C60319"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t xml:space="preserve">Al final del artículo 49 de la Orden de 26 de octubre de 2010 mencionada anteriormente, y al final del artículo 39 de la Orden de 28 de diciembre de 2012, antes mencionada, se añade el apartado siguiente: </w:t>
      </w:r>
      <w:r>
        <w:rPr>
          <w:rFonts w:ascii="Times New Roman" w:hAnsi="Times New Roman"/>
          <w:sz w:val="24"/>
        </w:rPr>
        <w:br/>
        <w:t>«La aprobación de un proyecto de construcción no es obligatoria cuando un certificado de cumplimiento de los objetivos, en el sentido del artículo L. 112-9 del Código de construcción y vivienda y relativo a un sujeto distinto de la eficiencia energética, proporcione datos de entrada específicos de las soluciones de efecto equivalente en cuestión que permitan el método de cálculo Th-B-C-E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51</w:t>
      </w:r>
    </w:p>
    <w:p w14:paraId="24D85573"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Las disposiciones de los artículos 48 a 50 entrarán en vigor al día siguiente de la publicación de la presente Orden.</w:t>
      </w:r>
      <w:r>
        <w:rPr>
          <w:rFonts w:ascii="Times New Roman" w:hAnsi="Times New Roman"/>
          <w:sz w:val="24"/>
        </w:rPr>
        <w:br/>
        <w:t>II. - Las disposiciones de los demás artículos entrarán en vigor el 1 de enero de 2022.</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La presente Orden se publicará en el Boletín Oficial de la República Francesa.</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Anexo</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ANEXOS</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Se puede consultar el texto completo con sus imágenes del extracto del Boletín Oficial electrónico autenticado, accesible en la parte inferior de la página.</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 4 de agosto de 2021.</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La </w:t>
      </w:r>
      <w:proofErr w:type="gramStart"/>
      <w:r>
        <w:rPr>
          <w:rFonts w:ascii="Times New Roman" w:hAnsi="Times New Roman"/>
          <w:sz w:val="24"/>
        </w:rPr>
        <w:t>Ministra Delegada</w:t>
      </w:r>
      <w:proofErr w:type="gramEnd"/>
      <w:r>
        <w:rPr>
          <w:rFonts w:ascii="Times New Roman" w:hAnsi="Times New Roman"/>
          <w:sz w:val="24"/>
        </w:rPr>
        <w:t xml:space="preserve"> de la Transición Ecológica, responsable por la Vivienda,</w:t>
      </w:r>
      <w:r>
        <w:rPr>
          <w:rFonts w:ascii="Times New Roman" w:hAnsi="Times New Roman"/>
          <w:sz w:val="24"/>
        </w:rPr>
        <w:br/>
        <w:t>En nombre de la Ministra y por delegación</w:t>
      </w:r>
      <w:r>
        <w:rPr>
          <w:rFonts w:ascii="Times New Roman" w:hAnsi="Times New Roman"/>
          <w:sz w:val="24"/>
        </w:rPr>
        <w:br/>
        <w:t>El Director de Vivienda, Desarrollo Urbanístico y Paisaje,</w:t>
      </w:r>
      <w:r>
        <w:rPr>
          <w:rFonts w:ascii="Times New Roman" w:hAnsi="Times New Roman"/>
          <w:sz w:val="24"/>
        </w:rPr>
        <w:br/>
        <w:t>F. 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br/>
        <w:t xml:space="preserve">La </w:t>
      </w:r>
      <w:proofErr w:type="gramStart"/>
      <w:r>
        <w:rPr>
          <w:rFonts w:ascii="Times New Roman" w:hAnsi="Times New Roman"/>
          <w:sz w:val="24"/>
        </w:rPr>
        <w:t>Ministra</w:t>
      </w:r>
      <w:proofErr w:type="gramEnd"/>
      <w:r>
        <w:rPr>
          <w:rFonts w:ascii="Times New Roman" w:hAnsi="Times New Roman"/>
          <w:sz w:val="24"/>
        </w:rPr>
        <w:t xml:space="preserve"> de la Transición Ecológica,</w:t>
      </w:r>
      <w:r>
        <w:rPr>
          <w:rFonts w:ascii="Times New Roman" w:hAnsi="Times New Roman"/>
          <w:sz w:val="24"/>
        </w:rPr>
        <w:br/>
        <w:t>En nombre de la Ministra y por delegación:</w:t>
      </w:r>
      <w:r>
        <w:rPr>
          <w:rFonts w:ascii="Times New Roman" w:hAnsi="Times New Roman"/>
          <w:sz w:val="24"/>
        </w:rPr>
        <w:br/>
        <w:t>El Director de Vivienda, Planificación Urbanística y Paisaje,</w:t>
      </w:r>
      <w:r>
        <w:rPr>
          <w:rFonts w:ascii="Times New Roman" w:hAnsi="Times New Roman"/>
          <w:sz w:val="24"/>
        </w:rPr>
        <w:br/>
        <w:t>F. Adam</w:t>
      </w:r>
      <w:r>
        <w:rPr>
          <w:rFonts w:ascii="Times New Roman" w:hAnsi="Times New Roman"/>
          <w:sz w:val="24"/>
        </w:rPr>
        <w:br/>
        <w:t xml:space="preserve">El Director General de </w:t>
      </w:r>
      <w:proofErr w:type="spellStart"/>
      <w:r>
        <w:rPr>
          <w:rFonts w:ascii="Times New Roman" w:hAnsi="Times New Roman"/>
          <w:sz w:val="24"/>
        </w:rPr>
        <w:t>Energia</w:t>
      </w:r>
      <w:proofErr w:type="spellEnd"/>
      <w:r>
        <w:rPr>
          <w:rFonts w:ascii="Times New Roman" w:hAnsi="Times New Roman"/>
          <w:sz w:val="24"/>
        </w:rPr>
        <w:t xml:space="preserve"> y Clima,</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398B" w14:textId="77777777" w:rsidR="0078327E" w:rsidRDefault="0078327E" w:rsidP="00273046">
      <w:pPr>
        <w:spacing w:after="0" w:line="240" w:lineRule="auto"/>
      </w:pPr>
      <w:r>
        <w:separator/>
      </w:r>
    </w:p>
  </w:endnote>
  <w:endnote w:type="continuationSeparator" w:id="0">
    <w:p w14:paraId="3EF1761D" w14:textId="77777777" w:rsidR="0078327E" w:rsidRDefault="0078327E" w:rsidP="0027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B026" w14:textId="77777777" w:rsidR="0078327E" w:rsidRDefault="0078327E" w:rsidP="00273046">
      <w:pPr>
        <w:spacing w:after="0" w:line="240" w:lineRule="auto"/>
      </w:pPr>
      <w:r>
        <w:separator/>
      </w:r>
    </w:p>
  </w:footnote>
  <w:footnote w:type="continuationSeparator" w:id="0">
    <w:p w14:paraId="23F6C78C" w14:textId="77777777" w:rsidR="0078327E" w:rsidRDefault="0078327E" w:rsidP="00273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1E2566"/>
    <w:rsid w:val="00273046"/>
    <w:rsid w:val="00521766"/>
    <w:rsid w:val="007570FC"/>
    <w:rsid w:val="0078327E"/>
    <w:rsid w:val="007A78ED"/>
    <w:rsid w:val="00837BEF"/>
    <w:rsid w:val="00AC23BB"/>
    <w:rsid w:val="00B94136"/>
    <w:rsid w:val="00BA2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94136"/>
    <w:pPr>
      <w:spacing w:before="100" w:beforeAutospacing="1" w:after="100" w:afterAutospacing="1" w:line="240" w:lineRule="auto"/>
      <w:outlineLvl w:val="1"/>
    </w:pPr>
    <w:rPr>
      <w:rFonts w:ascii="Times New Roman" w:hAnsi="Times New Roman"/>
      <w:b/>
      <w:sz w:val="36"/>
    </w:rPr>
  </w:style>
  <w:style w:type="character" w:customStyle="1" w:styleId="BodyTextChar">
    <w:name w:val="Body Text Char"/>
    <w:basedOn w:val="DefaultParagraphFont"/>
    <w:link w:val="BodyText"/>
    <w:uiPriority w:val="99"/>
    <w:rsid w:val="00B94136"/>
    <w:rPr>
      <w:rFonts w:ascii="Times New Roman" w:hAnsi="Times New Roman"/>
      <w:b/>
      <w:sz w:val="36"/>
    </w:rPr>
  </w:style>
  <w:style w:type="paragraph" w:styleId="BodyTextIndent">
    <w:name w:val="Body Text Indent"/>
    <w:basedOn w:val="Normal"/>
    <w:link w:val="BodyTextIndentChar"/>
    <w:uiPriority w:val="99"/>
    <w:unhideWhenUsed/>
    <w:rsid w:val="007A78ED"/>
    <w:pPr>
      <w:spacing w:after="0" w:line="240" w:lineRule="auto"/>
      <w:ind w:left="1049"/>
    </w:pPr>
    <w:rPr>
      <w:rFonts w:ascii="Times New Roman" w:hAnsi="Times New Roman"/>
      <w:sz w:val="24"/>
    </w:rPr>
  </w:style>
  <w:style w:type="character" w:customStyle="1" w:styleId="BodyTextIndentChar">
    <w:name w:val="Body Text Indent Char"/>
    <w:basedOn w:val="DefaultParagraphFont"/>
    <w:link w:val="BodyTextIndent"/>
    <w:uiPriority w:val="99"/>
    <w:rsid w:val="007A78ED"/>
    <w:rPr>
      <w:rFonts w:ascii="Times New Roman" w:hAnsi="Times New Roman"/>
      <w:sz w:val="24"/>
    </w:rPr>
  </w:style>
  <w:style w:type="paragraph" w:styleId="Header">
    <w:name w:val="header"/>
    <w:basedOn w:val="Normal"/>
    <w:link w:val="HeaderChar"/>
    <w:uiPriority w:val="99"/>
    <w:unhideWhenUsed/>
    <w:rsid w:val="002730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3046"/>
  </w:style>
  <w:style w:type="paragraph" w:styleId="Footer">
    <w:name w:val="footer"/>
    <w:basedOn w:val="Normal"/>
    <w:link w:val="FooterChar"/>
    <w:uiPriority w:val="99"/>
    <w:unhideWhenUsed/>
    <w:rsid w:val="002730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7993</Words>
  <Characters>41238</Characters>
  <Application>Microsoft Office Word</Application>
  <DocSecurity>0</DocSecurity>
  <Lines>1086</Lines>
  <Paragraphs>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2022-02-11T08:52:00Z</dcterms:created>
  <dcterms:modified xsi:type="dcterms:W3CDTF">2022-02-11T08:52:00Z</dcterms:modified>
</cp:coreProperties>
</file>