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GOSPODARSTVO I POMORSTVO</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Ured državnog tajnika za gospodarstvo</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Pravilnik br.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Sažetak: Pravilnik o utvrđivanju propisa o zakonskom mjeriteljskom nadzoru nad uređajima za mjerenje zamućenosti ispušnih plinova.</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Mjeriteljski nadzor nad mjernim metodama i instrumentima u Portugalu u skladu je s općim sustavom odobrenim Uredbom sa zakonskom snagom br. 29/2022 od 7. travnja, općim regulatornim odredbama utvrđenima u Općoj uredbi o mjeriteljskom nadzoru odobrenom Pravilnikom br. 211/2022 od 23. kolovoza, kao i odredbama iz posebnih pravilnika za svaki mjerni instrument.</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S obzirom na objavu ovog pravnog stajališta, potrebno je donijeti posebne propise čiji zahtjevi moraju biti ispunjeni prilikom mjeriteljskog nadzora nad uređajima za mjerenje zamućenosti ispušnih plinova, kojima se stavlja izvan snage Pravilnik br. 797/2009 od 1. prosinca.</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Ovaj je Pravilnik podvrgnut postupku pružanja informacija u području tehničkih propisa i pravila o uslugama informacijskog društva iz Direktive (EU) 2015/1535 Europskog parlamenta i Vijeća od 9. rujna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S obzirom na prethodno navedeno:</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u skladu s člankom 2. točkom (a) i člankom 25. stavkom 1. Uredbe sa zakonskom snagom br. 29/2022 od 7. travnja, u vezi s odredbama članka 1. stavka 4. Uredbe priložene Pravilniku br. 211/2022 od 23. kolovoza, Vlada putem državnog tajnika za gospodarstvo utvrđuje sljedeće:</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Članak 1.</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Predmet</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Ovime se odobravaju Propisi o zakonskom mjeriteljskom nadzoru nad uređajima za mjerenje zamućenosti ispušnih plinova, koji su priloženi ovom Pravilniku i čine njegov sastavni dio.</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Članak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Odredba o stavljanju izvan snage</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Pravilnik br. 797/2009 od 1. prosinca stavlja se izvan snage.</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Članak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Stupanje na snagu</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Ovaj Pravilnik stupa na snagu sljedećeg dana od dana objave.</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xx xxxxxx 2023. – Državni tajnik za gospodarstvo,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PRILOG</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PROPISI O ZAKONSKOM MJERITELJSKOM NADZORU NAD UREĐAJIMA ZA MJERENJE ZAMUĆENOSTI ISPUŠNIH PLINOVA</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Članak 1.</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Područje primjene</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Ovi se Propisi primjenjuju na uređaje za mjerenje zamućenosti ispušnih plinova iz vozila na dizelski pogon.</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Članak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Definicija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Za potrebe ovih Propisa uređaji za mjerenje zamućenosti ispušnih plinova znači instrumenti projektirani za neprestano mjerenje zamućenosti ispušnih plinova koje ispuštaju vozila.</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Članak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Puštanje u uporabu</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Uređaji za mjerenje zamućenosti ispušnih plinova moraju ispunjavati mjeriteljske i tehničke zahtjeve utvrđene </w:t>
      </w:r>
      <w:bookmarkStart w:id="2" w:name="_Hlk63409046"/>
      <w:bookmarkStart w:id="3" w:name="_Hlk63674255"/>
      <w:r>
        <w:rPr>
          <w:rFonts w:ascii="Garamond" w:hAnsi="Garamond"/>
          <w:sz w:val="24"/>
        </w:rPr>
        <w:t xml:space="preserve">u </w:t>
      </w:r>
      <w:bookmarkEnd w:id="2"/>
      <w:bookmarkEnd w:id="3"/>
      <w:r>
        <w:rPr>
          <w:rFonts w:ascii="Garamond" w:hAnsi="Garamond"/>
          <w:sz w:val="24"/>
        </w:rPr>
        <w:t>normi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Članak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Očitanja</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Očitanje uređaja za mjerenje zamućenosti ispušnih plinova izražava se pomoću koeficijenta apsorpcije svjetlosti, koji predstavlja simbol k, u jedinici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Vrijednosti zamućenosti izražavaju se u postocima pomoću simbola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Ako je konverzijski faktor propisno izražen, mogu se prihvatiti druge jednakovrijedne jedinice na temelju jedinica Međunarodnog sustava jedinica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8C2EBC">
      <w:pPr>
        <w:keepNext/>
        <w:spacing w:after="120" w:line="360" w:lineRule="auto"/>
        <w:jc w:val="center"/>
        <w:rPr>
          <w:rFonts w:ascii="Garamond" w:hAnsi="Garamond" w:cs="Arial"/>
          <w:sz w:val="24"/>
          <w:szCs w:val="24"/>
        </w:rPr>
      </w:pPr>
      <w:r>
        <w:rPr>
          <w:rFonts w:ascii="Garamond" w:hAnsi="Garamond"/>
          <w:sz w:val="24"/>
        </w:rPr>
        <w:lastRenderedPageBreak/>
        <w:t>Članak 5.</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Zakonski mjeriteljski nadzor</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Za zakonski mjeriteljski nadzor </w:t>
      </w:r>
      <w:bookmarkStart w:id="4" w:name="_Hlk106875133"/>
      <w:r>
        <w:rPr>
          <w:rFonts w:ascii="Garamond" w:hAnsi="Garamond"/>
          <w:sz w:val="24"/>
        </w:rPr>
        <w:t xml:space="preserve">uređaja za mjerenje zamućenosti ispušnih plinova </w:t>
      </w:r>
      <w:bookmarkEnd w:id="4"/>
      <w:r>
        <w:rPr>
          <w:rFonts w:ascii="Garamond" w:hAnsi="Garamond"/>
          <w:sz w:val="24"/>
        </w:rPr>
        <w:t>odgovoran je Portugalski institut za kvalitetu, I. P. (IPQ, I. P.), i obuhvaća postupke odobrenja tipa, prve provjere, redovne provjere i izvanredne provjere.</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Članak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Odobrenje tipa</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Odobrenje tipa mora biti u skladu sa zahtjevima iz članka 7. Uredbe sa zakonskom snagom br. 29/2022 od 7. travnja i članka 2. Uredbe priložene Pravilniku br. 211/2022 od 23. kolovoza.</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(2) Tijekom razdoblja valjanosti odobrenja tipa sve izmjene odobrenog tipa, neovisno o tome je li do njih došlo zamjenom sastavnih dijelova, dodavanjem dodatnog uređaja, promjenom računalnog programa (softvera) ili izmjenama koje mogu utjecati na rezultate mjerenja ili regulatorne uvjete uporabe, zahtijevaju dodatno odobrenje tipa.</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Računalnim programima koje upotrebljavaju </w:t>
      </w:r>
      <w:bookmarkStart w:id="5" w:name="_Hlk126936097"/>
      <w:r>
        <w:rPr>
          <w:rFonts w:ascii="Garamond" w:hAnsi="Garamond"/>
          <w:sz w:val="24"/>
        </w:rPr>
        <w:t>uređaji za mjerenje zamućenosti ispušnih plinova</w:t>
      </w:r>
      <w:r>
        <w:rPr>
          <w:rFonts w:ascii="Garamond" w:hAnsi="Garamond"/>
          <w:color w:val="000000"/>
          <w:sz w:val="24"/>
        </w:rPr>
        <w:t xml:space="preserve"> </w:t>
      </w:r>
      <w:bookmarkEnd w:id="5"/>
      <w:r>
        <w:rPr>
          <w:rFonts w:ascii="Garamond" w:hAnsi="Garamond"/>
          <w:color w:val="000000"/>
          <w:sz w:val="24"/>
        </w:rPr>
        <w:t>moraju biti zajamčene cjelovitost i povjerljivost dobivenih i dostavljenih podataka, a također moraju biti podložni jedinstvenoj i nedvosmislenoj identifikaciji.</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Članak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Prva provjera</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Prva provjera provodi se prije stavljanja instrumenta na tržište ili nakon njegova popravka te svaki put kad dođe do kvara na sustavu brtvljenja, pri čemu se te godine ne provodi redovna provjera, s istim razdobljem valjanosti.</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Ispitivanja u okviru prve provjere provode se u skladu s mjeriteljskim i tehničkim zahtjevima utvrđenima u članku 3. ovih Propisa.</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Najveće dopuštene vrijednosti pogreške za prvu provjeru iznose ± 2 % zamućenosti,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8C2EBC">
      <w:pPr>
        <w:keepNext/>
        <w:spacing w:after="120" w:line="360" w:lineRule="auto"/>
        <w:jc w:val="center"/>
        <w:rPr>
          <w:rFonts w:ascii="Garamond" w:hAnsi="Garamond" w:cs="Arial"/>
          <w:sz w:val="24"/>
          <w:szCs w:val="24"/>
        </w:rPr>
      </w:pPr>
      <w:r>
        <w:rPr>
          <w:rFonts w:ascii="Garamond" w:hAnsi="Garamond"/>
          <w:sz w:val="24"/>
        </w:rPr>
        <w:lastRenderedPageBreak/>
        <w:t>Članak 8.</w:t>
      </w:r>
    </w:p>
    <w:p w14:paraId="177F56D3" w14:textId="77777777" w:rsidR="00503EE6" w:rsidRPr="003D5AFB" w:rsidRDefault="00503EE6" w:rsidP="008C2EBC">
      <w:pPr>
        <w:keepNext/>
        <w:spacing w:after="120" w:line="360" w:lineRule="auto"/>
        <w:jc w:val="center"/>
        <w:rPr>
          <w:rFonts w:ascii="Garamond" w:hAnsi="Garamond" w:cs="Arial"/>
          <w:b/>
          <w:bCs/>
          <w:sz w:val="24"/>
          <w:szCs w:val="24"/>
        </w:rPr>
      </w:pPr>
      <w:r>
        <w:rPr>
          <w:rFonts w:ascii="Garamond" w:hAnsi="Garamond"/>
          <w:b/>
          <w:sz w:val="24"/>
        </w:rPr>
        <w:t>Redovna provjera</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Redovna provjera provodi se na godišnjoj osnovi i vrijedi godinu dana nakon provedbe.</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Ispitivanja u okviru redovne provjere jednaka su ispitivanjima utvrđenima za prvu provjeru.</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Vrijednosti najvećih dopuštenih pogrešaka tijekom redovne provjere jednake su vrijednostima najvećih dopuštenih pogrešaka utvrđenima za prvu provjeru.</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Članak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Izvanredna provjera</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Izvanredna provjera uključuje ispitivanja u okviru redovne provjere.</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Vrijednosti najvećih dopuštenih pogrešaka za izvanrednu provjeru jednake su vrijednostima najvećih dopuštenih pogrešaka utvrđenih za redovnu provjeru.</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Članak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Natpisi i oznake</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Na uređajima za mjerenje zamućenosti ispušnih plinova moraju na vidljiv i čitljiv način biti prikazani natpisi i oznake u skladu s mjeriteljskim zahtjevima utvrđenima u članku 3. ovih Propisa.</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Uređaji za mjerenje zamućenosti ispušnih plinova također moraju nositi simbol odobrenja tipa te ostale simbole ili upućivanja korisna za njihovu uporabu.</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Članak 11.</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Prijelazna odredba</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Instrumenti koji su u uporabi ostaju u uporabi sve dok su u dobrom stanju te sve dok tijekom ispitivanja u okviru mjeriteljske provjere prikazuju pogreške koje ne premašuju najveće dopuštene pogreške.</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rFonts w:ascii="Garamond" w:hAnsi="Garamond" w:cs="Arial"/>
          <w:sz w:val="24"/>
          <w:szCs w:val="24"/>
        </w:rPr>
      </w:pPr>
      <w:r>
        <w:rPr>
          <w:rFonts w:ascii="Garamond" w:hAnsi="Garamond"/>
          <w:sz w:val="24"/>
        </w:rPr>
        <w:lastRenderedPageBreak/>
        <w:t>Članak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Konačna odredba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Odredbe prethodnih članaka ne sprečavaju stavljanje na tržište ili daljnju uporabu uređaja za mjerenje zamućenosti ispušnih plinova za koje su dostupne potvrde ocjenjivanju sukladnosti koje su izdala tijela priznata u skladu s primjenjivim zakonodavstvom Europske unije, u okviru zakonske mjeriteljske djelatnosti, na temelju specifikacija i postupaka kojima se osigurava mjeriteljska kakvoća istovjetna onoj iz ovih Propisa, pri čemu istovjetnost ocjenjuje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C2EBC"/>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Props1.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2.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3.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917</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