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EKONOMIKA IR JŪRŲ REIKALAI</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Ekonomikos valstybės sekretoriaus biuras</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Potvarkis Nr.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Santrauka: Potvarkis dėl Reglamento dėl dūmų matuoklių teisinės metrologinės kontrolės.</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Portugalijos matavimo metodų ir matuoklių metrologinė kontrolė atitinka bendrąją sistemą, patvirtintą 2022 m. balandžio 7 d. Dekretu-įstatymu Nr. 29/2022, bendrąsias normines nuostatas, pateiktas Bendrajame metrologinės kontrolės reglamente, patvirtintame 2022 m. rugpjūčio 23 d. Potvarkiu Nr. 211/2022, taip pat kiekvienos matavimo priemonės specialiųjų potvarkių nuostatas.</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Atsižvelgiant į šios teisinės pozicijos paskelbimą, būtina priimti specialų reglamentą, kurio turi būti laikomasi atliekant dūmų matuoklių metrologinę kontrolę ir kuriuo panaikinamas 2009 m. gruodžio 1 d. Potvarkis Nr. 797/2009.</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Šiam potvarkiui taikoma informavimo apie techninius reglamentus ir informacinės visuomenės paslaugų taisykles procedūra, numatyta 2015 m. rugsėjo 9 d. Europos Parlamento ir Tarybos direktyvoje (ES) 2015/1535.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Todėl,</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pagal 2022 m. balandžio 7 d. Dekreto-įstatymo Nr. 29/2022 2 straipsnio a punktą ir 25 straipsnio 1 dalį, kurie yra susiję su prie 2022 m. rugpjūčio 23 d. Potvarkio Nr. 211/2022 pridėto reglamento 1 straipsnio 4 dalies nuostatomis, Vyriausybė ekonomikos valstybės sekretoriaus vardu skelbia tai, kas nurodyta toliau.</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1 straipsnis</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Tema</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Patvirtinamas prie šio potvarkio pridėtas Reglamentas dėl dūmų matuoklių teisinės metrologinės kontrolės, kuris yra neatskiriama jo dalis.</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lastRenderedPageBreak/>
        <w:t>2 straipsnis</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Panaikinimo sąlyga</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2009 m. gruodžio 1 d. Potvarkis Nr. 797/2009 panaikinamas.</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3 straipsnis</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Įsigaliojimas</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Šis potvarkis įsigalioja kitą dieną po jo paskelbimo.</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2023 m. xxxxxx xx d. – Ekonomikos valstybės sekretorius</w:t>
      </w:r>
      <w:r>
        <w:rPr>
          <w:rFonts w:ascii="Garamond" w:hAnsi="Garamond"/>
          <w:i/>
          <w:sz w:val="24"/>
        </w:rPr>
        <w:t xml:space="preserve"> 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PRIEDAS</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REGLAMENTAS DĖL DŪMŲ MATUOKLIŲ TEISINĖS METROLOGINĖS KONTROLĖS</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1 straipsnis</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Taikymo sritis</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Šis reglamentas taikomas dūmų matuokliams, kurie skirti dyzelinu varomų transporto priemonių išmetamųjų teršalų neskaidrumui matuoti.</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2 straipsnis</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Apibrėžtis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Šioje taisyklėje sąvoka „dūmų matuokliai“ reiškia prietaisus, skirtus nuolat transporto priemonių išmetamų dujų neskaidrumui matuoti.</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3 straipsnis</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Eksploatacijos pradžia</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Dūmų matuokliai turi atitikti standarte ISO 11614 </w:t>
      </w:r>
      <w:bookmarkStart w:id="2" w:name="_Hlk63409046"/>
      <w:bookmarkStart w:id="3" w:name="_Hlk63674255"/>
      <w:r>
        <w:rPr>
          <w:rFonts w:ascii="Garamond" w:hAnsi="Garamond"/>
          <w:sz w:val="24"/>
        </w:rPr>
        <w:t xml:space="preserve">nustatytus </w:t>
      </w:r>
      <w:bookmarkEnd w:id="2"/>
      <w:bookmarkEnd w:id="3"/>
      <w:r>
        <w:rPr>
          <w:rFonts w:ascii="Garamond" w:hAnsi="Garamond"/>
          <w:sz w:val="24"/>
        </w:rPr>
        <w:t>metrologinius ir techninius reikalavimus.</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4 straipsnis</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Rodmenys</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Dūmų matuoklių rodmenys išreiškiami šviesos sugerties koeficientu, atitinkančiu simbolį k, ir vienetu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Neskaidrumo vertės yra procentinės dalys ir išreiškiamos simboliu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Jei perskaičiavimo koeficientas yra tinkamai išreikštas, kiti lygiaverčiai vienetai gali būti priimtini remiantis Tarptautine vienetų sistema (SI).</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1A0B50">
      <w:pPr>
        <w:keepNext/>
        <w:spacing w:after="120" w:line="360" w:lineRule="auto"/>
        <w:jc w:val="center"/>
        <w:rPr>
          <w:rFonts w:ascii="Garamond" w:hAnsi="Garamond" w:cs="Arial"/>
          <w:sz w:val="24"/>
          <w:szCs w:val="24"/>
        </w:rPr>
      </w:pPr>
      <w:r>
        <w:rPr>
          <w:rFonts w:ascii="Garamond" w:hAnsi="Garamond"/>
          <w:sz w:val="24"/>
        </w:rPr>
        <w:lastRenderedPageBreak/>
        <w:t>5 straipsnis</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Teisinė metrologinė kontrolė</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 xml:space="preserve">Už dūmų matuoklių </w:t>
      </w:r>
      <w:bookmarkStart w:id="4" w:name="_Hlk106875133"/>
      <w:r>
        <w:rPr>
          <w:rFonts w:ascii="Garamond" w:hAnsi="Garamond"/>
          <w:sz w:val="24"/>
        </w:rPr>
        <w:t xml:space="preserve">teisinę metrologinę kontrolę </w:t>
      </w:r>
      <w:bookmarkEnd w:id="4"/>
      <w:r>
        <w:rPr>
          <w:rFonts w:ascii="Garamond" w:hAnsi="Garamond"/>
          <w:sz w:val="24"/>
        </w:rPr>
        <w:t>atsako Portugalijos kokybės institutas, I.P. (IPQ, I.P.). Ši kontrolė apima modelio patvirtinimo, pirmosios patikros, periodinės patikros ir specialiosios patikros operacijas.</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6 straipsnis</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Modelio patvirtinimas</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Modelio patvirtinimas turi atitikti 2022 m. balandžio 7 d. Dekreto-įstatymo Nr. 29/2022 7 straipsnyje ir prie 2022 m. rugpjūčio 23 d. Potvarkio Nr. 211/2022 pridėto reglamento 2 straipsnyje nustatytus reikalavimus.</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 xml:space="preserve">2. Modelio patvirtinimo galiojimo laikotarpiu bet kokiems arba visiems patvirtinto modelio pakeitimams, keičiant komponentus, pridedant papildomą prietaisą, </w:t>
      </w:r>
      <w:r>
        <w:rPr>
          <w:rFonts w:ascii="Garamond" w:hAnsi="Garamond"/>
          <w:color w:val="000000"/>
          <w:sz w:val="24"/>
        </w:rPr>
        <w:t xml:space="preserve">keičiant kompiuterio programą </w:t>
      </w:r>
      <w:r>
        <w:rPr>
          <w:rFonts w:ascii="Garamond" w:hAnsi="Garamond"/>
          <w:i/>
          <w:color w:val="000000"/>
          <w:sz w:val="24"/>
        </w:rPr>
        <w:t>(programinę įrangą)</w:t>
      </w:r>
      <w:r>
        <w:rPr>
          <w:rFonts w:ascii="Garamond" w:hAnsi="Garamond"/>
          <w:color w:val="000000"/>
          <w:sz w:val="24"/>
        </w:rPr>
        <w:t>, diegiant arba atliekant pakeitimus, kurie gali turėti įtakos matavimų rezultatams ar norminėms naudojimo sąlygoms, reikia papildomo modelio patvirtinimo.</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Kompiuterio </w:t>
      </w:r>
      <w:r>
        <w:rPr>
          <w:rFonts w:ascii="Garamond" w:hAnsi="Garamond"/>
          <w:sz w:val="24"/>
        </w:rPr>
        <w:t xml:space="preserve">programos, </w:t>
      </w:r>
      <w:r>
        <w:rPr>
          <w:rFonts w:ascii="Garamond" w:hAnsi="Garamond"/>
          <w:color w:val="000000"/>
          <w:sz w:val="24"/>
        </w:rPr>
        <w:t xml:space="preserve">kurias naudoja </w:t>
      </w:r>
      <w:bookmarkStart w:id="5" w:name="_Hlk126936097"/>
      <w:r>
        <w:rPr>
          <w:rFonts w:ascii="Garamond" w:hAnsi="Garamond"/>
          <w:sz w:val="24"/>
        </w:rPr>
        <w:t>dūmų matuokliai,</w:t>
      </w:r>
      <w:r>
        <w:rPr>
          <w:rFonts w:ascii="Garamond" w:hAnsi="Garamond"/>
          <w:color w:val="000000"/>
          <w:sz w:val="24"/>
        </w:rPr>
        <w:t xml:space="preserve"> </w:t>
      </w:r>
      <w:bookmarkEnd w:id="5"/>
      <w:r>
        <w:rPr>
          <w:rFonts w:ascii="Garamond" w:hAnsi="Garamond"/>
          <w:color w:val="000000"/>
          <w:sz w:val="24"/>
        </w:rPr>
        <w:t>turi užtikrinti gautų ir pateiktų duomenų vientisumą ir konfidencialumą ir joms turi būti taikomas unikalus ir nedviprasmiškas identifikavimas.</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7 straipsnis</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Pirmoji patikra</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Pirmoji patikra atliekama prieš pateikiant prietaisą rinkai arba atlikus jo remontą ir kiekvieną kartą, kai pažeidžiama plomba. Jos galiojimo laikotarpis yra toks pat kaip ir periodinės patikros, kuri tais metais neatliekama.</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Pirmosios patikros bandymai atliekami laikantis šio reglamento 3 straipsnyje nustatytų metrologinių ir techninių reikalavimų.</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Per pirmąją patikrą didžiausios leidžiamosios paklaidos vertės yra lygios ± 2 % neskaidrumo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lastRenderedPageBreak/>
        <w:t>8 straipsnis</w:t>
      </w:r>
    </w:p>
    <w:p w14:paraId="177F56D3"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Periodinė patikra</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Periodinė patikra atliekama kasmet ir galioja vienus metus nuo jos atlikimo dienos.</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Periodinės patikros bandymai turi būti tokie patys, kaip ir nustatyti pirmajai patikrai.</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Periodinės patikros didžiausių leidžiamųjų paklaidų vertės turi būti lygios per pirmąją patikrą nustatytų didžiausių leidžiamųjų paklaidų vertėms.</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9 straipsnis</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Specialioji patikra</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Specialioji patikra apima periodinės patikros bandymus.</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Didžiausių leidžiamųjų paklaidų vertės atliekant specialiąją patikrą turi būti lygios didžiausių leidžiamųjų paklaidų vertėms atliekant periodinę patikrą.</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10 straipsnis</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Užrašai ir ženklai</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Ant dūmų matuoklių turi būti matomi ir įskaitomi užrašai ir ženklai, atitinkantys to reglamento 3 straipsnyje nustatytus metrologinius reikalavimus.</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Dūmų matuokliai taip pat turi būti paženklinti modelio patvirtinimo simboliu ir kitais jiems naudoti naudingais simboliais ar nuorodomis.</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11 straipsnis</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Pereinamojo laikotarpio nuostata</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Prietaisas gali būti naudojamas tol, kol jis yra geros būklės, ir jei atliekant metrologinius patikros bandymus paklaidos neviršija didžiausių leidžiamųjų paklaidų.</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1A0B50">
      <w:pPr>
        <w:keepNext/>
        <w:spacing w:after="120" w:line="360" w:lineRule="auto"/>
        <w:jc w:val="center"/>
        <w:rPr>
          <w:rFonts w:ascii="Garamond" w:hAnsi="Garamond" w:cs="Arial"/>
          <w:sz w:val="24"/>
          <w:szCs w:val="24"/>
        </w:rPr>
      </w:pPr>
      <w:r>
        <w:rPr>
          <w:rFonts w:ascii="Garamond" w:hAnsi="Garamond"/>
          <w:sz w:val="24"/>
        </w:rPr>
        <w:lastRenderedPageBreak/>
        <w:t>12 straipsnis</w:t>
      </w:r>
    </w:p>
    <w:p w14:paraId="00AFCFB4" w14:textId="2D0E9E49" w:rsidR="0014394D" w:rsidRPr="003D5AFB" w:rsidRDefault="00336A88" w:rsidP="001A0B50">
      <w:pPr>
        <w:keepNext/>
        <w:spacing w:after="120" w:line="360" w:lineRule="auto"/>
        <w:jc w:val="center"/>
        <w:rPr>
          <w:rFonts w:ascii="Garamond" w:hAnsi="Garamond" w:cs="Arial"/>
          <w:b/>
          <w:bCs/>
          <w:sz w:val="24"/>
          <w:szCs w:val="24"/>
        </w:rPr>
      </w:pPr>
      <w:r>
        <w:rPr>
          <w:rFonts w:ascii="Garamond" w:hAnsi="Garamond"/>
          <w:b/>
          <w:sz w:val="24"/>
        </w:rPr>
        <w:t xml:space="preserve">Galutinė nuostata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Ankstesnių straipsnių nuostatomis nedraudžiama prekiauti ar toliau naudoti dūmų matuoklius, prie kurių pridedami atitikties vertinimo sertifikatai, kuriuos išdavė įstaigos, pripažintos pagal teisinės metrologijos veiklos srityje taikytinus Europos Sąjungos teisės aktus, remiantis specifikacijomis ir procedūromis, užtikrinančiomis tokią metrologinę kokybę, kokia nurodyta šiame reglamente, o lygiavertiškumą vertina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A0B50"/>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866</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