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7133" w14:textId="42F21B29" w:rsidR="008641A4" w:rsidRPr="00912F31" w:rsidRDefault="008641A4" w:rsidP="008641A4">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EKONOMIKA UN JŪRLIETAS</w:t>
      </w:r>
    </w:p>
    <w:p w14:paraId="3B20ABA9" w14:textId="77777777" w:rsidR="008641A4" w:rsidRPr="00912F31" w:rsidRDefault="008641A4" w:rsidP="008641A4">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Ekonomikas lietu valsts sekretāra birojs</w:t>
      </w:r>
    </w:p>
    <w:p w14:paraId="6F664F3A" w14:textId="77777777" w:rsidR="008641A4" w:rsidRPr="00912F31" w:rsidRDefault="008641A4" w:rsidP="008641A4">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42FA664C" w14:textId="0D1322C8" w:rsidR="008641A4" w:rsidRPr="00912F31" w:rsidRDefault="008641A4" w:rsidP="008641A4">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Rīkojums Nr. XXX/2023</w:t>
      </w:r>
    </w:p>
    <w:p w14:paraId="1821E0A0" w14:textId="153E400F" w:rsidR="008641A4" w:rsidRDefault="008641A4" w:rsidP="008641A4">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Kopsavilkums Rīkojums, ar ko paredz noteikumus par tahogrāfu reglamentēto metroloģisko kontroli.</w:t>
      </w:r>
    </w:p>
    <w:p w14:paraId="290E3299" w14:textId="77777777" w:rsidR="00501FB0" w:rsidRPr="003D5AFB" w:rsidRDefault="00501FB0" w:rsidP="004F3F34">
      <w:pPr>
        <w:spacing w:after="120" w:line="360" w:lineRule="auto"/>
        <w:ind w:firstLine="709"/>
        <w:jc w:val="both"/>
        <w:rPr>
          <w:rFonts w:ascii="Garamond" w:hAnsi="Garamond"/>
          <w:sz w:val="24"/>
          <w:szCs w:val="24"/>
        </w:rPr>
      </w:pPr>
    </w:p>
    <w:p w14:paraId="4AE88BD5" w14:textId="01B2F374" w:rsidR="00501FB0" w:rsidRPr="003D5AFB" w:rsidRDefault="00752C59" w:rsidP="00501FB0">
      <w:pPr>
        <w:spacing w:after="120" w:line="360" w:lineRule="auto"/>
        <w:jc w:val="both"/>
        <w:rPr>
          <w:rFonts w:ascii="Garamond" w:hAnsi="Garamond" w:cs="Arial"/>
          <w:sz w:val="24"/>
          <w:szCs w:val="24"/>
        </w:rPr>
      </w:pPr>
      <w:r>
        <w:rPr>
          <w:rFonts w:ascii="Garamond" w:hAnsi="Garamond"/>
          <w:sz w:val="24"/>
        </w:rPr>
        <w:t>Mērīšanas metožu un instrumentu metroloģiskā kontrole Portugālē atbilst vispārējai shēmai, kas apstiprināta ar 2022. gada 7. aprīļa Dekrētlikumu Nr. 29/2022, vispārējiem reglamentējošiem noteikumiem, kas paredzēti Vispārīgajos noteikumos par metroloģisko kontroli, kuri apstiprināti ar 2022. gada 23. augusta Rīkojumu Nr. 211/2022, kā arī noteikumiem, kas ietverti katra mērinstrumenta īpašajos rīkojumos.</w:t>
      </w:r>
    </w:p>
    <w:p w14:paraId="338EB5DD" w14:textId="38D4AF19" w:rsidR="007728C9" w:rsidRDefault="00C00524" w:rsidP="002B4B82">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Ņemot vērā šīs juridiskās nostājas publicēšanu, ir jāpieņem īpaši noteikumi, kas jāievēro, veicot tahogrāfu metroloģisko kontroli, atceļot 1986. gada 25. oktobra Rīkojumu Nr. 625/86.</w:t>
      </w:r>
      <w:bookmarkEnd w:id="0"/>
    </w:p>
    <w:p w14:paraId="524E35D0" w14:textId="2C782D09" w:rsidR="00E248BC" w:rsidRPr="003D5AFB" w:rsidRDefault="00E248BC" w:rsidP="002B4B82">
      <w:pPr>
        <w:shd w:val="clear" w:color="auto" w:fill="FFFFFF" w:themeFill="background1"/>
        <w:spacing w:after="120" w:line="360" w:lineRule="auto"/>
        <w:jc w:val="both"/>
        <w:rPr>
          <w:rFonts w:ascii="Garamond" w:hAnsi="Garamond" w:cs="Arial"/>
          <w:sz w:val="24"/>
          <w:szCs w:val="24"/>
        </w:rPr>
      </w:pPr>
      <w:r>
        <w:rPr>
          <w:rFonts w:ascii="Garamond" w:hAnsi="Garamond"/>
          <w:sz w:val="24"/>
        </w:rPr>
        <w:t>Uz šo rīkojumu attiecas informācijas procedūra tehnisko noteikumu un Informācijas sabiedrības pakalpojumu noteikumu jomā, kas paredzēta Eiropas Parlamenta un Padomes 2015. gada 9. septembra Direktīvā (ES) 2015/1535.</w:t>
      </w:r>
    </w:p>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Tādēļ:</w:t>
      </w:r>
    </w:p>
    <w:p w14:paraId="377B5840" w14:textId="39756EBE" w:rsidR="00C00524" w:rsidRDefault="00C00524" w:rsidP="000E7B45">
      <w:pPr>
        <w:spacing w:after="120" w:line="360" w:lineRule="auto"/>
        <w:jc w:val="both"/>
        <w:rPr>
          <w:rFonts w:ascii="Garamond" w:hAnsi="Garamond" w:cs="Arial"/>
          <w:sz w:val="24"/>
          <w:szCs w:val="24"/>
        </w:rPr>
      </w:pPr>
      <w:r>
        <w:rPr>
          <w:rFonts w:ascii="Garamond" w:hAnsi="Garamond"/>
          <w:sz w:val="24"/>
        </w:rPr>
        <w:t>saskaņā ar 2022. gada 7. aprīļa Dekrētlikuma Nr. 29/2022 2. panta a) punktu un 25. panta 1. punktu saistībā ar 2022. gada 23. augusta Rīkojumam Nr. 211/2022 pievienoto noteikumu 1. panta 4. punkta prasībām valdība pilnvaro ekonomikas lietu valsts sekretāru izdot šo rīkojumu.</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1. pants</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Priekšmets</w:t>
      </w:r>
    </w:p>
    <w:p w14:paraId="02F0580C" w14:textId="57EEDC7E"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Ar šo tiek apstiprināti šim rīkojumam pievienotie noteikumi par tahogrāfu reglamentēto metroloģisko kontroli, kas ir šā rīkojuma neatņemama sastāvdaļa.</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lastRenderedPageBreak/>
        <w:t>2. pants</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Atcelšanas klauzula</w:t>
      </w:r>
    </w:p>
    <w:p w14:paraId="2DB40EAF" w14:textId="1267B37E"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Atceļ 1986. gada 25. oktobra Rīkojumu Nr. 625/86.</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3. pants</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Stāšanās spēkā</w:t>
      </w:r>
    </w:p>
    <w:p w14:paraId="6C873895" w14:textId="08D6C9AE" w:rsidR="00B1111A" w:rsidRPr="000E7B45" w:rsidRDefault="00B1111A" w:rsidP="00B1111A">
      <w:pPr>
        <w:spacing w:after="120" w:line="360" w:lineRule="auto"/>
        <w:jc w:val="both"/>
        <w:rPr>
          <w:rFonts w:ascii="Garamond" w:hAnsi="Garamond" w:cs="Arial"/>
          <w:sz w:val="24"/>
          <w:szCs w:val="24"/>
        </w:rPr>
      </w:pPr>
      <w:r>
        <w:rPr>
          <w:rFonts w:ascii="Garamond" w:hAnsi="Garamond"/>
          <w:sz w:val="24"/>
        </w:rPr>
        <w:t>Šis rīkojums stājas spēkā nākamajā dienā pēc tā publicēšanas.</w:t>
      </w:r>
    </w:p>
    <w:p w14:paraId="1A92981A" w14:textId="77777777" w:rsidR="00B1111A" w:rsidRDefault="00B1111A" w:rsidP="00B1111A">
      <w:pPr>
        <w:spacing w:after="120" w:line="360" w:lineRule="auto"/>
        <w:jc w:val="both"/>
        <w:rPr>
          <w:rFonts w:ascii="Garamond" w:hAnsi="Garamond" w:cs="Arial"/>
          <w:sz w:val="24"/>
          <w:szCs w:val="24"/>
        </w:rPr>
      </w:pPr>
    </w:p>
    <w:p w14:paraId="04E1ED8C" w14:textId="77777777" w:rsidR="00B1111A" w:rsidRDefault="00B1111A" w:rsidP="00B1111A">
      <w:pPr>
        <w:spacing w:after="120" w:line="360" w:lineRule="auto"/>
        <w:jc w:val="both"/>
        <w:rPr>
          <w:rFonts w:ascii="Garamond" w:hAnsi="Garamond" w:cs="Arial"/>
          <w:sz w:val="24"/>
          <w:szCs w:val="24"/>
        </w:rPr>
      </w:pPr>
    </w:p>
    <w:p w14:paraId="6A62CE00" w14:textId="10D1A703" w:rsidR="00B1111A" w:rsidRPr="00BF69F3" w:rsidRDefault="00B1111A" w:rsidP="00B1111A">
      <w:pPr>
        <w:spacing w:after="120" w:line="360" w:lineRule="auto"/>
        <w:rPr>
          <w:rFonts w:ascii="Garamond" w:hAnsi="Garamond" w:cs="Arial"/>
          <w:sz w:val="24"/>
          <w:szCs w:val="24"/>
        </w:rPr>
      </w:pPr>
      <w:r>
        <w:rPr>
          <w:rFonts w:ascii="Garamond" w:hAnsi="Garamond"/>
          <w:sz w:val="24"/>
        </w:rPr>
        <w:t xml:space="preserve">2023. gada [datums]. – Ekonomikas lietu valsts sekretārs </w:t>
      </w:r>
      <w:r>
        <w:rPr>
          <w:rFonts w:ascii="Garamond" w:hAnsi="Garamond"/>
          <w:i/>
          <w:sz w:val="24"/>
        </w:rPr>
        <w:t>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PIELIKUMS</w:t>
      </w:r>
    </w:p>
    <w:p w14:paraId="7BBDD6D4" w14:textId="36521672"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NOTEIKUMI PAR TAHOGRĀFU REGLAMENTĒTO METROLOĢISKO KONTROLI</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1. pants</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Piemērošanas joma</w:t>
      </w:r>
    </w:p>
    <w:p w14:paraId="4356A378" w14:textId="7848B01C" w:rsidR="00B55531" w:rsidRPr="003D5AFB" w:rsidRDefault="002F2A20" w:rsidP="000E7B45">
      <w:pPr>
        <w:spacing w:after="120" w:line="360" w:lineRule="auto"/>
        <w:jc w:val="both"/>
        <w:rPr>
          <w:rFonts w:ascii="Garamond" w:hAnsi="Garamond" w:cs="Arial"/>
          <w:sz w:val="24"/>
          <w:szCs w:val="24"/>
        </w:rPr>
      </w:pPr>
      <w:r>
        <w:rPr>
          <w:rFonts w:ascii="Garamond" w:hAnsi="Garamond"/>
          <w:sz w:val="24"/>
        </w:rPr>
        <w:t>Šos noteikumus piemēro tahogrāfiem, kas atbilst metroloģiskām īpašībām, parametriem un specifikācijām, kas noteiktas 2014. gada 4. februāra Regulā (ES) Nr. 165/2014 (turpmāk “instrumenti”).</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2. pants</w:t>
      </w:r>
    </w:p>
    <w:p w14:paraId="5FB19F42"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Definīcijas</w:t>
      </w:r>
    </w:p>
    <w:p w14:paraId="3C379CFD" w14:textId="6ABB0BFE"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Šajos noteikumos piemēro šādas definīcijas:</w:t>
      </w:r>
    </w:p>
    <w:p w14:paraId="7858A578" w14:textId="036B9B4B" w:rsidR="00C00524"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“aktivizēšana” ir posms, kurā digitālais tahogrāfs pilnībā sāk darboties un veic visas funkcijas, tostarp drošības funkcijas, izmantojot testa centra karti;</w:t>
      </w:r>
    </w:p>
    <w:p w14:paraId="01E8A24A" w14:textId="77777777" w:rsidR="00C00524" w:rsidRPr="009E57FE"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“testa centra karte” ir tahogrāfa karte, kas identificē kartes turētāju un dod iespēju veikt digitālo tahogrāfu pārbaudes, parametru noteikšanu un aktivizēšanu un/vai lejupielādi no tahogrāfiem;</w:t>
      </w:r>
    </w:p>
    <w:p w14:paraId="0F067D7B" w14:textId="77777777" w:rsidR="00C00524" w:rsidRPr="009E57FE"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“tahogrāfa karte” ir viedkarte, kas paredzēta lietošanai ar digitālo tahogrāfu un kas ļauj identificēt turētāja funkcijas, kā arī pārsūtīt un uzglabāt datus;</w:t>
      </w:r>
    </w:p>
    <w:p w14:paraId="17B00081" w14:textId="77777777" w:rsidR="00C00524" w:rsidRPr="009E57FE"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“reģistrācijas lapa” ir lapa, kas paredzēta reģistrēto datu saņemšanai un glabāšanai, ievietojama analogajā tahogrāfā un uz kuras marķēšanas ierīces pastāvīgi reģistrē informāciju;</w:t>
      </w:r>
    </w:p>
    <w:p w14:paraId="0C8062AB" w14:textId="77777777" w:rsidR="00C00524" w:rsidRPr="009E57FE"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“kustības sensors” ir tahogrāfa komponents, kas raida signālu par transportlīdzekļa ātrumu un/vai nobraukto attālumu;</w:t>
      </w:r>
    </w:p>
    <w:p w14:paraId="1CA1AC19" w14:textId="77777777" w:rsidR="00C00524" w:rsidRPr="009E57FE"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“tahogrāfs vai reģistrācijas ierīce” ir ierīce, ko paredzēts uzstādīt autotransporta līdzekļos, lai attēlotu, ierakstītu, izdrukātu, uzglabātu un automātiski vai pusautomātiski attēlotu datus par transportlīdzekļu ekspluatāciju, tostarp ātrumu un datus par noteiktiem transportlīdzekļu vadītāju darbības periodiem;</w:t>
      </w:r>
    </w:p>
    <w:p w14:paraId="19E521D1" w14:textId="77777777" w:rsidR="00C00524" w:rsidRDefault="00C00524" w:rsidP="00C00524">
      <w:pPr>
        <w:pStyle w:val="ListParagraph"/>
        <w:numPr>
          <w:ilvl w:val="0"/>
          <w:numId w:val="5"/>
        </w:numPr>
        <w:spacing w:after="120" w:line="360" w:lineRule="auto"/>
        <w:jc w:val="both"/>
        <w:rPr>
          <w:rFonts w:ascii="Garamond" w:hAnsi="Garamond" w:cs="Arial"/>
          <w:sz w:val="24"/>
          <w:szCs w:val="24"/>
        </w:rPr>
      </w:pPr>
      <w:r>
        <w:rPr>
          <w:rFonts w:ascii="Garamond" w:hAnsi="Garamond"/>
          <w:sz w:val="24"/>
        </w:rPr>
        <w:t xml:space="preserve">“transportlīdzekļa bloks” iekārtas, izņemot kustības sensorus un kabeļus, kas to savieno. Bloks var būt unikāls vai sastāvēt no vairākiem blokiem dažādās </w:t>
      </w:r>
      <w:r>
        <w:rPr>
          <w:rFonts w:ascii="Garamond" w:hAnsi="Garamond"/>
          <w:sz w:val="24"/>
        </w:rPr>
        <w:lastRenderedPageBreak/>
        <w:t>transportlīdzekļa vietās. Transportlīdzekļa blokā cita starpā ietilpst procesors, datu atmiņa, laika mērīšanas funkcija, divas viedkaršu saskarnes (vadītājs un palīgs), printeris, displeja ekrāns, savienotāji un instrumenti lietotāja datu ievadīšanai.</w:t>
      </w:r>
    </w:p>
    <w:p w14:paraId="523140B2" w14:textId="77777777" w:rsidR="00C00524" w:rsidRPr="009E57FE" w:rsidRDefault="00C00524" w:rsidP="00FF5436">
      <w:pPr>
        <w:pStyle w:val="ListParagraph"/>
        <w:spacing w:after="120" w:line="360" w:lineRule="auto"/>
        <w:ind w:left="1080"/>
        <w:jc w:val="both"/>
        <w:rPr>
          <w:rFonts w:ascii="Garamond" w:hAnsi="Garamond" w:cs="Arial"/>
          <w:sz w:val="24"/>
          <w:szCs w:val="24"/>
        </w:rPr>
      </w:pPr>
    </w:p>
    <w:p w14:paraId="0C24B2CF" w14:textId="740EC739"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3. pants</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Nodošana ekspluatācijā</w:t>
      </w:r>
    </w:p>
    <w:p w14:paraId="53E67223" w14:textId="41B5EDAA" w:rsidR="006D605C" w:rsidRPr="003D5AFB" w:rsidRDefault="006E277B" w:rsidP="006D605C">
      <w:pPr>
        <w:spacing w:after="120" w:line="360" w:lineRule="auto"/>
        <w:jc w:val="both"/>
        <w:rPr>
          <w:rFonts w:ascii="Garamond" w:hAnsi="Garamond" w:cs="Arial"/>
          <w:sz w:val="24"/>
          <w:szCs w:val="24"/>
        </w:rPr>
      </w:pPr>
      <w:r>
        <w:rPr>
          <w:rFonts w:ascii="Garamond" w:hAnsi="Garamond"/>
          <w:sz w:val="24"/>
        </w:rPr>
        <w:t>Apstiprinātos tahogrāfus var</w:t>
      </w:r>
      <w:bookmarkStart w:id="2" w:name="_Hlk107156290"/>
      <w:r>
        <w:rPr>
          <w:rFonts w:ascii="Garamond" w:hAnsi="Garamond"/>
          <w:sz w:val="24"/>
        </w:rPr>
        <w:t xml:space="preserve"> nodot ekspluatācijā tikai saskaņā ar 2014. gada 4. februāra Regulu (ES) Nr. 165/2014</w:t>
      </w:r>
      <w:bookmarkEnd w:id="2"/>
      <w:r>
        <w:rPr>
          <w:rFonts w:ascii="Garamond" w:hAnsi="Garamond"/>
          <w:sz w:val="24"/>
        </w:rPr>
        <w:t>.</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4. pants</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Rādījums</w:t>
      </w:r>
    </w:p>
    <w:p w14:paraId="042AF684" w14:textId="1C6206A6" w:rsidR="00CB5E09" w:rsidRPr="003D5AFB" w:rsidRDefault="00CB5E09" w:rsidP="00CB5E09">
      <w:pPr>
        <w:spacing w:after="120" w:line="360" w:lineRule="auto"/>
        <w:jc w:val="both"/>
        <w:rPr>
          <w:rFonts w:ascii="Garamond" w:hAnsi="Garamond" w:cs="Arial"/>
          <w:sz w:val="24"/>
          <w:szCs w:val="24"/>
        </w:rPr>
      </w:pPr>
      <w:r>
        <w:rPr>
          <w:rFonts w:ascii="Garamond" w:hAnsi="Garamond"/>
          <w:sz w:val="24"/>
        </w:rPr>
        <w:t>Tahogrāfu rādījumus izsaka atbilstošos daudzumos, pamatojoties uz starptautiskās vienību sistēmas (SI) vienībām.</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5024E2">
      <w:pPr>
        <w:spacing w:after="120" w:line="360" w:lineRule="auto"/>
        <w:jc w:val="center"/>
        <w:rPr>
          <w:rFonts w:ascii="Garamond" w:hAnsi="Garamond" w:cs="Arial"/>
          <w:sz w:val="24"/>
          <w:szCs w:val="24"/>
        </w:rPr>
      </w:pPr>
      <w:r>
        <w:rPr>
          <w:rFonts w:ascii="Garamond" w:hAnsi="Garamond"/>
          <w:sz w:val="24"/>
        </w:rPr>
        <w:t>5. pants</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Reglamentēta metroloģiskā kontrole</w:t>
      </w:r>
    </w:p>
    <w:p w14:paraId="1A8C137B" w14:textId="604A99AC"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Par</w:t>
      </w:r>
      <w:r>
        <w:t xml:space="preserve"> </w:t>
      </w:r>
      <w:bookmarkStart w:id="3" w:name="_Hlk106875133"/>
      <w:r>
        <w:rPr>
          <w:rFonts w:ascii="Garamond" w:hAnsi="Garamond"/>
          <w:sz w:val="24"/>
        </w:rPr>
        <w:t>tahogrāfu</w:t>
      </w:r>
      <w:bookmarkEnd w:id="3"/>
      <w:r>
        <w:t xml:space="preserve"> </w:t>
      </w:r>
      <w:r>
        <w:rPr>
          <w:rFonts w:ascii="Garamond" w:hAnsi="Garamond"/>
          <w:sz w:val="24"/>
        </w:rPr>
        <w:t>reglamentēto metroloģisko kontroli atbild Portugāles Kvalitātes institūts, I. P. (IPQ, I. P.), un tā ietver sākotnējo verifikāciju, periodisko verifikāciju un ārkārtas verifikāciju.</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6CDE2B42" w:rsidR="00503EE6" w:rsidRPr="00D87239" w:rsidRDefault="00503EE6" w:rsidP="00104E49">
      <w:pPr>
        <w:spacing w:after="120" w:line="360" w:lineRule="auto"/>
        <w:jc w:val="center"/>
        <w:rPr>
          <w:rFonts w:ascii="Garamond" w:hAnsi="Garamond" w:cs="Arial"/>
          <w:sz w:val="24"/>
          <w:szCs w:val="24"/>
        </w:rPr>
      </w:pPr>
      <w:r>
        <w:rPr>
          <w:rFonts w:ascii="Garamond" w:hAnsi="Garamond"/>
          <w:sz w:val="24"/>
        </w:rPr>
        <w:t>6. pants</w:t>
      </w:r>
    </w:p>
    <w:p w14:paraId="34626D98" w14:textId="7B508073" w:rsidR="00F97B29" w:rsidRPr="00D87239" w:rsidRDefault="00570BD9" w:rsidP="002C68EA">
      <w:pPr>
        <w:spacing w:after="120" w:line="360" w:lineRule="auto"/>
        <w:jc w:val="center"/>
        <w:rPr>
          <w:rFonts w:ascii="Garamond" w:hAnsi="Garamond" w:cs="Arial"/>
          <w:b/>
          <w:bCs/>
          <w:sz w:val="24"/>
          <w:szCs w:val="24"/>
        </w:rPr>
      </w:pPr>
      <w:r>
        <w:rPr>
          <w:rFonts w:ascii="Garamond" w:hAnsi="Garamond"/>
          <w:b/>
          <w:sz w:val="24"/>
        </w:rPr>
        <w:t>Sākotnējā verifikācija</w:t>
      </w:r>
    </w:p>
    <w:p w14:paraId="43E5DF15" w14:textId="0B3E1FE7" w:rsidR="0087542F" w:rsidRPr="00285A3E" w:rsidRDefault="0087542F" w:rsidP="002C68EA">
      <w:pPr>
        <w:spacing w:after="120" w:line="360" w:lineRule="auto"/>
        <w:jc w:val="both"/>
        <w:rPr>
          <w:rFonts w:ascii="Garamond" w:hAnsi="Garamond" w:cs="Arial"/>
          <w:sz w:val="24"/>
          <w:szCs w:val="24"/>
        </w:rPr>
      </w:pPr>
      <w:r>
        <w:rPr>
          <w:rFonts w:ascii="Garamond" w:hAnsi="Garamond"/>
          <w:sz w:val="24"/>
        </w:rPr>
        <w:t>(1) Sākotnējo verifikāciju veic pirms instrumenta nodošanas ekspluatācijā vai pēc tam, kad tas ir salabots, un ikreiz, kad ir noņemta plomba.</w:t>
      </w:r>
    </w:p>
    <w:p w14:paraId="5A2368F9" w14:textId="54F5A19A" w:rsidR="003842F2" w:rsidRPr="007F7083" w:rsidRDefault="003842F2" w:rsidP="002C68EA">
      <w:pPr>
        <w:spacing w:after="120" w:line="360" w:lineRule="auto"/>
        <w:jc w:val="both"/>
        <w:rPr>
          <w:rFonts w:ascii="Garamond" w:hAnsi="Garamond" w:cs="Arial"/>
          <w:sz w:val="24"/>
          <w:szCs w:val="24"/>
        </w:rPr>
      </w:pPr>
      <w:r>
        <w:rPr>
          <w:rFonts w:ascii="Garamond" w:hAnsi="Garamond"/>
          <w:sz w:val="24"/>
        </w:rPr>
        <w:t>(2) Sākotnējās verifikācijas pārbaudes veic saskaņā ar noteiktajām metroloģiskajām un tehniskajām prasībām</w:t>
      </w:r>
      <w:bookmarkStart w:id="4" w:name="_Hlk107156384"/>
      <w:r>
        <w:rPr>
          <w:rFonts w:ascii="Garamond" w:hAnsi="Garamond"/>
          <w:sz w:val="24"/>
        </w:rPr>
        <w:t xml:space="preserve"> 2014. gada 4. februāra Regulā (ES) Nr. 165/2014</w:t>
      </w:r>
      <w:bookmarkEnd w:id="4"/>
      <w:r>
        <w:rPr>
          <w:rFonts w:ascii="Garamond" w:hAnsi="Garamond"/>
          <w:sz w:val="24"/>
        </w:rPr>
        <w:t>.</w:t>
      </w:r>
    </w:p>
    <w:p w14:paraId="43F772CF" w14:textId="20892AC3" w:rsidR="00503EE6" w:rsidRPr="007F7083" w:rsidRDefault="003842F2" w:rsidP="002C68EA">
      <w:pPr>
        <w:spacing w:after="120" w:line="360" w:lineRule="auto"/>
        <w:jc w:val="both"/>
        <w:rPr>
          <w:rFonts w:ascii="Garamond" w:hAnsi="Garamond" w:cs="Arial"/>
          <w:sz w:val="24"/>
          <w:szCs w:val="24"/>
        </w:rPr>
      </w:pPr>
      <w:bookmarkStart w:id="5" w:name="_Hlk63414812"/>
      <w:r>
        <w:rPr>
          <w:rFonts w:ascii="Garamond" w:hAnsi="Garamond"/>
          <w:sz w:val="24"/>
        </w:rPr>
        <w:t>(3)</w:t>
      </w:r>
      <w:bookmarkEnd w:id="5"/>
      <w:r>
        <w:rPr>
          <w:rFonts w:ascii="Garamond" w:hAnsi="Garamond"/>
          <w:sz w:val="24"/>
        </w:rPr>
        <w:t xml:space="preserve"> Maksimāli pieļaujamo kļūdu vērtības sākotnējā verifikācijā ir vienādas ar vērtībām, kas noteiktas 2014. gada 4. februāra Regulā (ES) Nr. 165/2014.</w:t>
      </w:r>
    </w:p>
    <w:p w14:paraId="03EBD602" w14:textId="77777777" w:rsidR="00A57A1C" w:rsidRPr="009E4B80" w:rsidRDefault="00A57A1C" w:rsidP="002C68EA">
      <w:pPr>
        <w:spacing w:after="120" w:line="360" w:lineRule="auto"/>
        <w:jc w:val="both"/>
        <w:rPr>
          <w:rFonts w:ascii="Garamond" w:hAnsi="Garamond" w:cs="Arial"/>
          <w:sz w:val="24"/>
          <w:szCs w:val="24"/>
          <w:highlight w:val="yellow"/>
        </w:rPr>
      </w:pPr>
    </w:p>
    <w:p w14:paraId="06FC48BE" w14:textId="67FF2E9F" w:rsidR="00503EE6" w:rsidRPr="00D87239" w:rsidRDefault="00503EE6" w:rsidP="002C68EA">
      <w:pPr>
        <w:spacing w:after="120" w:line="360" w:lineRule="auto"/>
        <w:jc w:val="center"/>
        <w:rPr>
          <w:rFonts w:ascii="Garamond" w:hAnsi="Garamond" w:cs="Arial"/>
          <w:sz w:val="24"/>
          <w:szCs w:val="24"/>
        </w:rPr>
      </w:pPr>
      <w:r>
        <w:rPr>
          <w:rFonts w:ascii="Garamond" w:hAnsi="Garamond"/>
          <w:sz w:val="24"/>
        </w:rPr>
        <w:lastRenderedPageBreak/>
        <w:t>7. pants</w:t>
      </w:r>
    </w:p>
    <w:p w14:paraId="177F56D3" w14:textId="77777777" w:rsidR="00503EE6" w:rsidRPr="00D87239" w:rsidRDefault="00503EE6" w:rsidP="002C68EA">
      <w:pPr>
        <w:spacing w:after="120" w:line="360" w:lineRule="auto"/>
        <w:jc w:val="center"/>
        <w:rPr>
          <w:rFonts w:ascii="Garamond" w:hAnsi="Garamond" w:cs="Arial"/>
          <w:b/>
          <w:bCs/>
          <w:sz w:val="24"/>
          <w:szCs w:val="24"/>
        </w:rPr>
      </w:pPr>
      <w:r>
        <w:rPr>
          <w:rFonts w:ascii="Garamond" w:hAnsi="Garamond"/>
          <w:b/>
          <w:sz w:val="24"/>
        </w:rPr>
        <w:t>Periodiskā verifikācija</w:t>
      </w:r>
    </w:p>
    <w:p w14:paraId="347FF4FC" w14:textId="5AB6D10C" w:rsidR="0087542F" w:rsidRPr="00D87239" w:rsidRDefault="0087542F" w:rsidP="002C68EA">
      <w:pPr>
        <w:spacing w:after="120" w:line="360" w:lineRule="auto"/>
        <w:jc w:val="both"/>
        <w:rPr>
          <w:rFonts w:ascii="Garamond" w:hAnsi="Garamond" w:cs="Arial"/>
          <w:sz w:val="24"/>
          <w:szCs w:val="24"/>
        </w:rPr>
      </w:pPr>
      <w:r>
        <w:rPr>
          <w:rFonts w:ascii="Garamond" w:hAnsi="Garamond"/>
          <w:sz w:val="24"/>
        </w:rPr>
        <w:t>(1) Periodiskās verifikācijas periodiskums ir noteikts 2014. gada 4. februāra Regulā (ES) Nr. 165/2014.</w:t>
      </w:r>
    </w:p>
    <w:p w14:paraId="583B7830" w14:textId="327E9C91" w:rsidR="002B5F8C" w:rsidRPr="00D87239" w:rsidRDefault="002B5F8C" w:rsidP="002B5F8C">
      <w:pPr>
        <w:spacing w:after="120" w:line="360" w:lineRule="auto"/>
        <w:jc w:val="both"/>
        <w:rPr>
          <w:rFonts w:ascii="Garamond" w:hAnsi="Garamond" w:cs="Arial"/>
          <w:sz w:val="24"/>
          <w:szCs w:val="24"/>
        </w:rPr>
      </w:pPr>
      <w:r>
        <w:rPr>
          <w:rFonts w:ascii="Garamond" w:hAnsi="Garamond"/>
          <w:sz w:val="24"/>
        </w:rPr>
        <w:t>(2) Periodiskās verifikācijas pārbaudes ir tādas pašas kā sākotnējās verifikācijas pārbaudes.</w:t>
      </w:r>
    </w:p>
    <w:p w14:paraId="6E7C93C7" w14:textId="484701D2" w:rsidR="0073637C" w:rsidRPr="003D5AFB" w:rsidRDefault="002B5F8C">
      <w:pPr>
        <w:spacing w:after="120" w:line="360" w:lineRule="auto"/>
        <w:jc w:val="both"/>
        <w:rPr>
          <w:rFonts w:ascii="Garamond" w:hAnsi="Garamond" w:cs="Arial"/>
          <w:sz w:val="24"/>
          <w:szCs w:val="24"/>
        </w:rPr>
      </w:pPr>
      <w:r>
        <w:rPr>
          <w:rFonts w:ascii="Garamond" w:hAnsi="Garamond"/>
          <w:sz w:val="24"/>
        </w:rPr>
        <w:t>(3) Maksimālo pieļaujamo kļūdu vērtības periodiskajā verifikācijā ir vienādas ar vērtībām, kas noteiktas 2014. gada 4. februāra Regulā (ES) Nr. 165/2014.</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4941C7ED"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8. pants</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Ārkārtas verifikācija</w:t>
      </w:r>
    </w:p>
    <w:p w14:paraId="21E9EEE9" w14:textId="671DA4A3"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Ārkārtas verifikācija ietver periodiskās verifikācijas pārbaudes.</w:t>
      </w:r>
    </w:p>
    <w:p w14:paraId="7447DA07" w14:textId="7741E8C3" w:rsidR="00503EE6" w:rsidRPr="003D5AFB" w:rsidRDefault="00503EE6">
      <w:pPr>
        <w:spacing w:after="120" w:line="360" w:lineRule="auto"/>
        <w:jc w:val="both"/>
        <w:rPr>
          <w:rFonts w:ascii="Garamond" w:hAnsi="Garamond" w:cs="Arial"/>
          <w:sz w:val="24"/>
          <w:szCs w:val="24"/>
        </w:rPr>
      </w:pPr>
      <w:r>
        <w:rPr>
          <w:rFonts w:ascii="Garamond" w:hAnsi="Garamond"/>
          <w:sz w:val="24"/>
        </w:rPr>
        <w:t>(2) Ārkārtas verifikācijā maksimāli pieļaujamo kļūdu vērtības ir vienādas ar periodiskajai verifikācijai noteikto maksimālo pieļaujamo kļūdu vērtībām.</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25A265DD"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9. pants</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Uzraksti un marķējumi</w:t>
      </w:r>
    </w:p>
    <w:p w14:paraId="7A96B35F" w14:textId="11F6B953" w:rsidR="004A5897" w:rsidRPr="003D5AFB" w:rsidRDefault="004A5897" w:rsidP="00BF69F3">
      <w:pPr>
        <w:spacing w:after="120" w:line="360" w:lineRule="auto"/>
        <w:jc w:val="both"/>
        <w:rPr>
          <w:rFonts w:ascii="Garamond" w:hAnsi="Garamond" w:cs="Arial"/>
          <w:sz w:val="24"/>
          <w:szCs w:val="24"/>
        </w:rPr>
      </w:pPr>
      <w:bookmarkStart w:id="6" w:name="_Hlk82391725"/>
      <w:bookmarkStart w:id="7" w:name="_Hlk82391591"/>
      <w:r>
        <w:rPr>
          <w:rFonts w:ascii="Garamond" w:hAnsi="Garamond"/>
          <w:sz w:val="24"/>
        </w:rPr>
        <w:t>(1) Tahogrāfiem ir redzami un salasāmi uzraksti un marķējumi saskaņā ar šo noteikumu 3. pantā paredzētajām metroloģiskajām prasībām.</w:t>
      </w:r>
    </w:p>
    <w:p w14:paraId="10A5EBAC" w14:textId="34075DB8" w:rsidR="00BF4F9D" w:rsidRPr="00BF4F9D" w:rsidRDefault="004A5897" w:rsidP="00BF4F9D">
      <w:pPr>
        <w:spacing w:after="120" w:line="360" w:lineRule="auto"/>
        <w:jc w:val="both"/>
        <w:rPr>
          <w:rFonts w:ascii="Garamond" w:hAnsi="Garamond" w:cs="Arial"/>
          <w:sz w:val="24"/>
          <w:szCs w:val="24"/>
        </w:rPr>
      </w:pPr>
      <w:r>
        <w:rPr>
          <w:rFonts w:ascii="Garamond" w:hAnsi="Garamond"/>
          <w:sz w:val="24"/>
        </w:rPr>
        <w:t>(2)</w:t>
      </w:r>
      <w:bookmarkEnd w:id="6"/>
      <w:r>
        <w:rPr>
          <w:rFonts w:ascii="Garamond" w:hAnsi="Garamond"/>
          <w:sz w:val="24"/>
        </w:rPr>
        <w:t xml:space="preserve"> Neskarot specifikācijas, tahogrāfos ir plombas šādos elementos:</w:t>
      </w:r>
    </w:p>
    <w:p w14:paraId="484EEDDD" w14:textId="0E5FFB02" w:rsidR="00BF4F9D" w:rsidRPr="00BF4F9D" w:rsidRDefault="00BF4F9D" w:rsidP="00BF4F9D">
      <w:pPr>
        <w:pStyle w:val="ListParagraph"/>
        <w:numPr>
          <w:ilvl w:val="0"/>
          <w:numId w:val="7"/>
        </w:numPr>
        <w:spacing w:after="120" w:line="360" w:lineRule="auto"/>
        <w:jc w:val="both"/>
        <w:rPr>
          <w:rFonts w:ascii="Garamond" w:hAnsi="Garamond" w:cs="Arial"/>
          <w:sz w:val="24"/>
          <w:szCs w:val="24"/>
        </w:rPr>
      </w:pPr>
      <w:r>
        <w:rPr>
          <w:rFonts w:ascii="Garamond" w:hAnsi="Garamond"/>
          <w:sz w:val="24"/>
        </w:rPr>
        <w:t>jebkurš savienojums, kas atvienošanas gadījumā izraisa nenosakāmas izmaiņas vai nenosakāmu datu zudumu;</w:t>
      </w:r>
    </w:p>
    <w:p w14:paraId="28620774" w14:textId="6C01BFE3" w:rsidR="004A5897" w:rsidRPr="00BF4F9D" w:rsidRDefault="00BF4F9D" w:rsidP="00BF4F9D">
      <w:pPr>
        <w:pStyle w:val="ListParagraph"/>
        <w:numPr>
          <w:ilvl w:val="0"/>
          <w:numId w:val="7"/>
        </w:numPr>
        <w:spacing w:after="120" w:line="360" w:lineRule="auto"/>
        <w:jc w:val="both"/>
        <w:rPr>
          <w:rFonts w:ascii="Garamond" w:hAnsi="Garamond" w:cs="Arial"/>
          <w:sz w:val="24"/>
          <w:szCs w:val="24"/>
        </w:rPr>
      </w:pPr>
      <w:r>
        <w:rPr>
          <w:rFonts w:ascii="Garamond" w:hAnsi="Garamond"/>
          <w:sz w:val="24"/>
        </w:rPr>
        <w:t>uzstādīšanas plāksne, ja vien to neizmanto tā, ka to nevar noņemt, neiznīcinot marķējumus.</w:t>
      </w:r>
    </w:p>
    <w:bookmarkEnd w:id="7"/>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29AF139B" w:rsidR="00503EE6" w:rsidRPr="003D5AFB" w:rsidRDefault="00503EE6" w:rsidP="00BF69F3">
      <w:pPr>
        <w:spacing w:after="120" w:line="360" w:lineRule="auto"/>
        <w:jc w:val="center"/>
        <w:rPr>
          <w:rFonts w:ascii="Garamond" w:hAnsi="Garamond" w:cs="Arial"/>
          <w:sz w:val="24"/>
          <w:szCs w:val="24"/>
        </w:rPr>
      </w:pPr>
      <w:bookmarkStart w:id="8" w:name="_Hlk63417111"/>
      <w:r>
        <w:rPr>
          <w:rFonts w:ascii="Garamond" w:hAnsi="Garamond"/>
          <w:sz w:val="24"/>
        </w:rPr>
        <w:t>10. pants</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Pārejas noteikums</w:t>
      </w:r>
    </w:p>
    <w:bookmarkEnd w:id="8"/>
    <w:p w14:paraId="441DDFF2" w14:textId="63C83E2E" w:rsidR="00D24055" w:rsidRDefault="00D24055" w:rsidP="00BF69F3">
      <w:pPr>
        <w:spacing w:after="120" w:line="360" w:lineRule="auto"/>
        <w:jc w:val="both"/>
        <w:rPr>
          <w:rFonts w:ascii="Garamond" w:hAnsi="Garamond" w:cs="Arial"/>
          <w:sz w:val="24"/>
          <w:szCs w:val="24"/>
        </w:rPr>
      </w:pPr>
      <w:r>
        <w:rPr>
          <w:rFonts w:ascii="Garamond" w:hAnsi="Garamond"/>
          <w:sz w:val="24"/>
        </w:rPr>
        <w:t>Instrumentus, kas tiek izmantoti, var turpināt izmantot, kamēr tie labā stāvoklī un kamēr metroloģiskās verifikācijas pārbaudēs to kļūdas nepārsniedz maksimāli pieļaujamās vērtības.</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7A9CF2BB" w:rsidR="00336A88" w:rsidRPr="003D5AFB" w:rsidRDefault="00336A88" w:rsidP="00BF69F3">
      <w:pPr>
        <w:spacing w:after="120" w:line="360" w:lineRule="auto"/>
        <w:jc w:val="center"/>
        <w:rPr>
          <w:rFonts w:ascii="Garamond" w:hAnsi="Garamond" w:cs="Arial"/>
          <w:sz w:val="24"/>
          <w:szCs w:val="24"/>
        </w:rPr>
      </w:pPr>
      <w:r>
        <w:rPr>
          <w:rFonts w:ascii="Garamond" w:hAnsi="Garamond"/>
          <w:sz w:val="24"/>
        </w:rPr>
        <w:t>11. pants</w:t>
      </w:r>
    </w:p>
    <w:p w14:paraId="00AFCFB4" w14:textId="35BA099B"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Nobeiguma noteikums </w:t>
      </w:r>
    </w:p>
    <w:p w14:paraId="745D5232" w14:textId="56DB8C35"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Iepriekšējo pantu noteikumi neliedz laist tirgū vai turpināt izmantot tahometrus, kam pievienoti atbilstības novērtējuma sertifikāti, kurus izdevušas struktūras, kas atzītas saskaņā ar piemērojamiem Eiropas Savienības tiesību aktiem, saistībā ar reglamentētās metroloģijas darbībām, pamatojoties uz specifikācijām un procedūrām, kas nodrošina tādu pašu metroloģisko kvalitāti, kāda ir noteikta šajos noteikumos, un to līdzvērtību novērtē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1809" w14:textId="77777777" w:rsidR="00AF1B4D" w:rsidRDefault="00AF1B4D" w:rsidP="00344923">
      <w:pPr>
        <w:spacing w:after="0" w:line="240" w:lineRule="auto"/>
      </w:pPr>
      <w:r>
        <w:separator/>
      </w:r>
    </w:p>
  </w:endnote>
  <w:endnote w:type="continuationSeparator" w:id="0">
    <w:p w14:paraId="499A99FB" w14:textId="77777777" w:rsidR="00AF1B4D" w:rsidRDefault="00AF1B4D"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9814" w14:textId="77777777" w:rsidR="00AF1B4D" w:rsidRDefault="00AF1B4D" w:rsidP="00344923">
      <w:pPr>
        <w:spacing w:after="0" w:line="240" w:lineRule="auto"/>
      </w:pPr>
      <w:r>
        <w:separator/>
      </w:r>
    </w:p>
  </w:footnote>
  <w:footnote w:type="continuationSeparator" w:id="0">
    <w:p w14:paraId="59BE53FE" w14:textId="77777777" w:rsidR="00AF1B4D" w:rsidRDefault="00AF1B4D"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446E"/>
    <w:multiLevelType w:val="hybridMultilevel"/>
    <w:tmpl w:val="F8AA1444"/>
    <w:lvl w:ilvl="0" w:tplc="B10E0A22">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8135088"/>
    <w:multiLevelType w:val="hybridMultilevel"/>
    <w:tmpl w:val="68B2FEF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0B75BB3"/>
    <w:multiLevelType w:val="hybridMultilevel"/>
    <w:tmpl w:val="58947708"/>
    <w:lvl w:ilvl="0" w:tplc="3738BAF8">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4"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B942F59"/>
    <w:multiLevelType w:val="hybridMultilevel"/>
    <w:tmpl w:val="FC70EC1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16cid:durableId="1072118954">
    <w:abstractNumId w:val="3"/>
  </w:num>
  <w:num w:numId="2" w16cid:durableId="2119715062">
    <w:abstractNumId w:val="5"/>
  </w:num>
  <w:num w:numId="3" w16cid:durableId="1937520543">
    <w:abstractNumId w:val="6"/>
  </w:num>
  <w:num w:numId="4" w16cid:durableId="277494662">
    <w:abstractNumId w:val="4"/>
  </w:num>
  <w:num w:numId="5" w16cid:durableId="788940897">
    <w:abstractNumId w:val="7"/>
  </w:num>
  <w:num w:numId="6" w16cid:durableId="416099162">
    <w:abstractNumId w:val="0"/>
  </w:num>
  <w:num w:numId="7" w16cid:durableId="2097051152">
    <w:abstractNumId w:val="1"/>
  </w:num>
  <w:num w:numId="8" w16cid:durableId="73127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1016F"/>
    <w:rsid w:val="00013DAB"/>
    <w:rsid w:val="00032B15"/>
    <w:rsid w:val="00034E99"/>
    <w:rsid w:val="00053BBB"/>
    <w:rsid w:val="0008627E"/>
    <w:rsid w:val="00093EAB"/>
    <w:rsid w:val="000951F1"/>
    <w:rsid w:val="000A231E"/>
    <w:rsid w:val="000A3938"/>
    <w:rsid w:val="000B6BF4"/>
    <w:rsid w:val="000E0162"/>
    <w:rsid w:val="000E0638"/>
    <w:rsid w:val="000E597C"/>
    <w:rsid w:val="000E7B45"/>
    <w:rsid w:val="00104E49"/>
    <w:rsid w:val="00120B97"/>
    <w:rsid w:val="001248EE"/>
    <w:rsid w:val="0014090F"/>
    <w:rsid w:val="0014394D"/>
    <w:rsid w:val="00150079"/>
    <w:rsid w:val="00172C89"/>
    <w:rsid w:val="00181C8E"/>
    <w:rsid w:val="00187C7C"/>
    <w:rsid w:val="00191916"/>
    <w:rsid w:val="001B79B7"/>
    <w:rsid w:val="001D20BF"/>
    <w:rsid w:val="001E2713"/>
    <w:rsid w:val="002008BE"/>
    <w:rsid w:val="00213547"/>
    <w:rsid w:val="002207D6"/>
    <w:rsid w:val="002239CC"/>
    <w:rsid w:val="00233473"/>
    <w:rsid w:val="00246EBE"/>
    <w:rsid w:val="00257208"/>
    <w:rsid w:val="002635B9"/>
    <w:rsid w:val="00272BB1"/>
    <w:rsid w:val="00285A3E"/>
    <w:rsid w:val="002B4130"/>
    <w:rsid w:val="002B4B82"/>
    <w:rsid w:val="002B5F8C"/>
    <w:rsid w:val="002C3FD8"/>
    <w:rsid w:val="002C51F6"/>
    <w:rsid w:val="002C68EA"/>
    <w:rsid w:val="002F11E4"/>
    <w:rsid w:val="002F2A20"/>
    <w:rsid w:val="003027CF"/>
    <w:rsid w:val="00314751"/>
    <w:rsid w:val="0031578E"/>
    <w:rsid w:val="00327929"/>
    <w:rsid w:val="00327E82"/>
    <w:rsid w:val="00336A88"/>
    <w:rsid w:val="00344923"/>
    <w:rsid w:val="00355D97"/>
    <w:rsid w:val="003602EC"/>
    <w:rsid w:val="003842F2"/>
    <w:rsid w:val="003D5AFB"/>
    <w:rsid w:val="003E427B"/>
    <w:rsid w:val="003E6488"/>
    <w:rsid w:val="003F0878"/>
    <w:rsid w:val="0043441C"/>
    <w:rsid w:val="00437F7F"/>
    <w:rsid w:val="0047061A"/>
    <w:rsid w:val="004A5897"/>
    <w:rsid w:val="004D2E9B"/>
    <w:rsid w:val="004E3DD5"/>
    <w:rsid w:val="004E5050"/>
    <w:rsid w:val="004F3F34"/>
    <w:rsid w:val="004F6C7F"/>
    <w:rsid w:val="004F7424"/>
    <w:rsid w:val="00501FB0"/>
    <w:rsid w:val="005024E2"/>
    <w:rsid w:val="00503EE6"/>
    <w:rsid w:val="00525093"/>
    <w:rsid w:val="0052510A"/>
    <w:rsid w:val="00533F9E"/>
    <w:rsid w:val="00550D71"/>
    <w:rsid w:val="00552B46"/>
    <w:rsid w:val="00556EE6"/>
    <w:rsid w:val="00561A2D"/>
    <w:rsid w:val="00570BD9"/>
    <w:rsid w:val="00571794"/>
    <w:rsid w:val="00572E2D"/>
    <w:rsid w:val="00584418"/>
    <w:rsid w:val="00584675"/>
    <w:rsid w:val="0058561B"/>
    <w:rsid w:val="00591047"/>
    <w:rsid w:val="00593E38"/>
    <w:rsid w:val="0059504B"/>
    <w:rsid w:val="00597F39"/>
    <w:rsid w:val="005B3B89"/>
    <w:rsid w:val="005D6074"/>
    <w:rsid w:val="005E017D"/>
    <w:rsid w:val="005F1A28"/>
    <w:rsid w:val="006038A4"/>
    <w:rsid w:val="00617915"/>
    <w:rsid w:val="006246CC"/>
    <w:rsid w:val="00624B50"/>
    <w:rsid w:val="00643D18"/>
    <w:rsid w:val="00654A71"/>
    <w:rsid w:val="00664687"/>
    <w:rsid w:val="00676C90"/>
    <w:rsid w:val="006818F7"/>
    <w:rsid w:val="00690D4A"/>
    <w:rsid w:val="00694268"/>
    <w:rsid w:val="00694D01"/>
    <w:rsid w:val="00695633"/>
    <w:rsid w:val="006A788D"/>
    <w:rsid w:val="006C6AD3"/>
    <w:rsid w:val="006D605C"/>
    <w:rsid w:val="006E277B"/>
    <w:rsid w:val="006E2787"/>
    <w:rsid w:val="00706559"/>
    <w:rsid w:val="00713821"/>
    <w:rsid w:val="007204A7"/>
    <w:rsid w:val="00727801"/>
    <w:rsid w:val="00727A58"/>
    <w:rsid w:val="0073098F"/>
    <w:rsid w:val="0073637C"/>
    <w:rsid w:val="007366C9"/>
    <w:rsid w:val="00752C59"/>
    <w:rsid w:val="00754149"/>
    <w:rsid w:val="00757CC7"/>
    <w:rsid w:val="007600B5"/>
    <w:rsid w:val="007728C9"/>
    <w:rsid w:val="0078610F"/>
    <w:rsid w:val="007C0464"/>
    <w:rsid w:val="007C6DD2"/>
    <w:rsid w:val="007E5832"/>
    <w:rsid w:val="007E5C60"/>
    <w:rsid w:val="007F7083"/>
    <w:rsid w:val="008100B7"/>
    <w:rsid w:val="0081718A"/>
    <w:rsid w:val="008218A2"/>
    <w:rsid w:val="00826762"/>
    <w:rsid w:val="008317C9"/>
    <w:rsid w:val="00834A86"/>
    <w:rsid w:val="0084050B"/>
    <w:rsid w:val="00841515"/>
    <w:rsid w:val="0084439E"/>
    <w:rsid w:val="008552E9"/>
    <w:rsid w:val="00860B24"/>
    <w:rsid w:val="00862940"/>
    <w:rsid w:val="008641A4"/>
    <w:rsid w:val="0087542F"/>
    <w:rsid w:val="008979CE"/>
    <w:rsid w:val="008D118F"/>
    <w:rsid w:val="008E740B"/>
    <w:rsid w:val="008E76A4"/>
    <w:rsid w:val="00921B47"/>
    <w:rsid w:val="00921FB3"/>
    <w:rsid w:val="00933FA6"/>
    <w:rsid w:val="0093713E"/>
    <w:rsid w:val="00944E05"/>
    <w:rsid w:val="00953B3C"/>
    <w:rsid w:val="0095516A"/>
    <w:rsid w:val="00960D0F"/>
    <w:rsid w:val="0096781D"/>
    <w:rsid w:val="00967FA3"/>
    <w:rsid w:val="00972932"/>
    <w:rsid w:val="009A06F9"/>
    <w:rsid w:val="009B038F"/>
    <w:rsid w:val="009B2CD5"/>
    <w:rsid w:val="009C3031"/>
    <w:rsid w:val="009E4A31"/>
    <w:rsid w:val="009E4B80"/>
    <w:rsid w:val="009E57FE"/>
    <w:rsid w:val="00A137F1"/>
    <w:rsid w:val="00A23EA8"/>
    <w:rsid w:val="00A264B0"/>
    <w:rsid w:val="00A31292"/>
    <w:rsid w:val="00A36AE0"/>
    <w:rsid w:val="00A55ED6"/>
    <w:rsid w:val="00A57A1C"/>
    <w:rsid w:val="00A653AF"/>
    <w:rsid w:val="00A77330"/>
    <w:rsid w:val="00A86454"/>
    <w:rsid w:val="00A87329"/>
    <w:rsid w:val="00AC31B1"/>
    <w:rsid w:val="00AC4EB6"/>
    <w:rsid w:val="00AE5805"/>
    <w:rsid w:val="00AF1B4D"/>
    <w:rsid w:val="00AF2A91"/>
    <w:rsid w:val="00B1111A"/>
    <w:rsid w:val="00B42A12"/>
    <w:rsid w:val="00B45C40"/>
    <w:rsid w:val="00B55531"/>
    <w:rsid w:val="00B56849"/>
    <w:rsid w:val="00B85EFB"/>
    <w:rsid w:val="00BB424A"/>
    <w:rsid w:val="00BC41EE"/>
    <w:rsid w:val="00BD1E61"/>
    <w:rsid w:val="00BE0BC3"/>
    <w:rsid w:val="00BF4F9D"/>
    <w:rsid w:val="00BF69F3"/>
    <w:rsid w:val="00BF701A"/>
    <w:rsid w:val="00BF7C4A"/>
    <w:rsid w:val="00C00524"/>
    <w:rsid w:val="00C01D7B"/>
    <w:rsid w:val="00C032DE"/>
    <w:rsid w:val="00C110C9"/>
    <w:rsid w:val="00C116B9"/>
    <w:rsid w:val="00C32240"/>
    <w:rsid w:val="00C37AFB"/>
    <w:rsid w:val="00C537EE"/>
    <w:rsid w:val="00C62C54"/>
    <w:rsid w:val="00C65889"/>
    <w:rsid w:val="00C75076"/>
    <w:rsid w:val="00C87710"/>
    <w:rsid w:val="00C96A98"/>
    <w:rsid w:val="00CA3DB1"/>
    <w:rsid w:val="00CB4532"/>
    <w:rsid w:val="00CB479D"/>
    <w:rsid w:val="00CB5E09"/>
    <w:rsid w:val="00CC6BCA"/>
    <w:rsid w:val="00CD6DFD"/>
    <w:rsid w:val="00CF3786"/>
    <w:rsid w:val="00CF41B0"/>
    <w:rsid w:val="00D10CD1"/>
    <w:rsid w:val="00D24055"/>
    <w:rsid w:val="00D25AFC"/>
    <w:rsid w:val="00D32597"/>
    <w:rsid w:val="00D44515"/>
    <w:rsid w:val="00D4592B"/>
    <w:rsid w:val="00D62496"/>
    <w:rsid w:val="00D629C3"/>
    <w:rsid w:val="00D82562"/>
    <w:rsid w:val="00D87239"/>
    <w:rsid w:val="00DA1DE2"/>
    <w:rsid w:val="00DA4432"/>
    <w:rsid w:val="00DB0ED2"/>
    <w:rsid w:val="00DB3A4E"/>
    <w:rsid w:val="00DB710D"/>
    <w:rsid w:val="00DC17F8"/>
    <w:rsid w:val="00DD5624"/>
    <w:rsid w:val="00DE23B9"/>
    <w:rsid w:val="00DE6AEC"/>
    <w:rsid w:val="00DE7ABD"/>
    <w:rsid w:val="00E0501D"/>
    <w:rsid w:val="00E0652D"/>
    <w:rsid w:val="00E138AA"/>
    <w:rsid w:val="00E248BC"/>
    <w:rsid w:val="00E257B2"/>
    <w:rsid w:val="00E35185"/>
    <w:rsid w:val="00E37926"/>
    <w:rsid w:val="00E40631"/>
    <w:rsid w:val="00E51F0B"/>
    <w:rsid w:val="00E7062E"/>
    <w:rsid w:val="00E77C9F"/>
    <w:rsid w:val="00E9606F"/>
    <w:rsid w:val="00EA7E19"/>
    <w:rsid w:val="00EB3C2E"/>
    <w:rsid w:val="00EF13CB"/>
    <w:rsid w:val="00F071F7"/>
    <w:rsid w:val="00F220CE"/>
    <w:rsid w:val="00F31C27"/>
    <w:rsid w:val="00F359E3"/>
    <w:rsid w:val="00F448E6"/>
    <w:rsid w:val="00F5051C"/>
    <w:rsid w:val="00F55C86"/>
    <w:rsid w:val="00F60431"/>
    <w:rsid w:val="00F721C3"/>
    <w:rsid w:val="00F97B29"/>
    <w:rsid w:val="00FC57F5"/>
    <w:rsid w:val="00FC7BA5"/>
    <w:rsid w:val="00FD3B83"/>
    <w:rsid w:val="00FD5141"/>
    <w:rsid w:val="00FE18CA"/>
    <w:rsid w:val="00FE5AA9"/>
    <w:rsid w:val="00FF0061"/>
    <w:rsid w:val="00FF5436"/>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C00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3.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4.xml><?xml version="1.0" encoding="utf-8"?>
<ds:datastoreItem xmlns:ds="http://schemas.openxmlformats.org/officeDocument/2006/customXml" ds:itemID="{EEE6EA6A-55BD-4596-87D2-826D3BE138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945</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Loio</dc:creator>
  <cp:keywords/>
  <dc:description/>
  <cp:lastModifiedBy>Anastasia Stavroulaki</cp:lastModifiedBy>
  <cp:revision>5</cp:revision>
  <dcterms:created xsi:type="dcterms:W3CDTF">2023-04-05T11:25:00Z</dcterms:created>
  <dcterms:modified xsi:type="dcterms:W3CDTF">2023-04-19T14:20:00Z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