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 xml:space="preserve">Zakon […] iz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o izmjeni Zakona XLII iz 1999. </w:t>
      </w:r>
      <w:r>
        <w:rPr>
          <w:b/>
          <w:rStyle w:val="Emphasis"/>
          <w:i w:val="0"/>
        </w:rPr>
        <w:t xml:space="preserve">o zaštiti nepušača</w:t>
      </w:r>
      <w:r>
        <w:rPr>
          <w:b/>
        </w:rPr>
        <w:t xml:space="preserve"> i određenim propisima o potrošnji i distribuciji duhanskih proizvoda i Zakona CXXXIV iz 2012. o suzbijanju pušenja u mladih i o maloprodaji duhanskih proizvoda</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b/>
          <w:kern w:val="2"/>
          <w:rFonts w:eastAsia="Noto Sans CJK SC"/>
        </w:rPr>
      </w:pPr>
      <w:r>
        <w:rPr>
          <w:b/>
        </w:rPr>
        <w:t xml:space="preserve">1.</w:t>
      </w:r>
      <w:r>
        <w:rPr>
          <w:b/>
        </w:rPr>
        <w:t xml:space="preserve"> </w:t>
      </w:r>
      <w:r>
        <w:rPr>
          <w:b/>
        </w:rPr>
        <w:t xml:space="preserve">Izmjena Zakona XLII iz 1999. </w:t>
      </w:r>
      <w:r>
        <w:rPr>
          <w:b/>
          <w:rStyle w:val="Emphasis"/>
          <w:i w:val="0"/>
        </w:rPr>
        <w:t xml:space="preserve">o zaštiti nepušača</w:t>
      </w:r>
      <w:r>
        <w:rPr>
          <w:b/>
        </w:rPr>
        <w:t xml:space="preserve"> i određenim propisima o potrošnji i distribuciji duhanskih proizvoda</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b/>
          <w:kern w:val="2"/>
          <w:rFonts w:eastAsia="Noto Sans CJK SC"/>
        </w:rPr>
      </w:pPr>
      <w:r>
        <w:rPr>
          <w:b/>
        </w:rPr>
        <w:t xml:space="preserve">Članak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 xml:space="preserve">(1)</w:t>
      </w:r>
      <w:r>
        <w:t xml:space="preserve"> </w:t>
      </w:r>
      <w:r>
        <w:t xml:space="preserve">U Zakonu XLII iz 1999. o zaštiti nepušača i određenim propisima o potrošnji i distribuciji duhanskih proizvoda (dalje u tekstu Zakon o zabrani pušenja), članak 1. točke </w:t>
      </w:r>
      <w:r>
        <w:rPr>
          <w:i/>
        </w:rPr>
        <w:t xml:space="preserve">(s)</w:t>
      </w:r>
      <w:r>
        <w:t xml:space="preserve"> i </w:t>
      </w:r>
      <w:r>
        <w:rPr>
          <w:i/>
        </w:rPr>
        <w:t xml:space="preserve">(t)</w:t>
      </w:r>
      <w:r>
        <w:t xml:space="preserve"> zamjenjuju se sljedećim:</w:t>
      </w:r>
      <w:r>
        <w:t xml:space="preserve">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i/>
          <w:iCs/>
          <w:kern w:val="2"/>
          <w:rFonts w:eastAsia="Noto Sans CJK SC"/>
        </w:rPr>
      </w:pPr>
      <w:r>
        <w:rPr>
          <w:i/>
        </w:rPr>
        <w:t xml:space="preserve">(Za potrebe ovog Zakona)</w:t>
      </w:r>
    </w:p>
    <w:p w14:paraId="08370725" w14:textId="77777777" w:rsidR="00DB125E" w:rsidRPr="005A143B" w:rsidRDefault="00DB125E" w:rsidP="00DB125E">
      <w:pPr>
        <w:jc w:val="both"/>
      </w:pPr>
    </w:p>
    <w:p w14:paraId="4219C306" w14:textId="77777777" w:rsidR="00DB125E" w:rsidRPr="00164E2E" w:rsidRDefault="00DB125E" w:rsidP="00DB125E">
      <w:pPr>
        <w:jc w:val="both"/>
      </w:pPr>
      <w:r>
        <w:t xml:space="preserve">„</w:t>
      </w:r>
      <w:r>
        <w:rPr>
          <w:i/>
        </w:rPr>
        <w:t xml:space="preserve">(s)</w:t>
      </w:r>
      <w:r>
        <w:t xml:space="preserve"> </w:t>
      </w:r>
      <w:r>
        <w:rPr>
          <w:i/>
        </w:rPr>
        <w:t xml:space="preserve">elektronički uređaj koji imitira pušenje</w:t>
      </w:r>
      <w:r>
        <w:t xml:space="preserve"> je elektronički proizvod za jednokratnu uporabu (jednokratni) ili proizvod koji se ponovno puni spremnikom za ponovno punjenje bez nikotina ili proizvod s uloškom bez nikotina (za višekratnu uporabu), koji se može koristiti za konzumiranje pare bez nikotina putem usnika;</w:t>
      </w:r>
      <w:r>
        <w:t xml:space="preserve"> </w:t>
      </w:r>
      <w:r>
        <w:t xml:space="preserve">ili bilo koji sastavni dio tog proizvoda, uključujući spremnike, ili bilo koji uređaj bez uloška ili spremnika;</w:t>
      </w:r>
    </w:p>
    <w:p w14:paraId="715B99F0" w14:textId="77777777" w:rsidR="00DB125E" w:rsidRPr="00164E2E" w:rsidRDefault="00DB125E" w:rsidP="00DB125E">
      <w:pPr>
        <w:jc w:val="both"/>
      </w:pPr>
      <w:r>
        <w:rPr>
          <w:i/>
        </w:rPr>
        <w:t xml:space="preserve">(t)</w:t>
      </w:r>
      <w:r>
        <w:t xml:space="preserve"> </w:t>
      </w:r>
      <w:r>
        <w:rPr>
          <w:i/>
        </w:rPr>
        <w:t xml:space="preserve">spremnik za ponovno punjenje bez nikotina</w:t>
      </w:r>
      <w:r>
        <w:t xml:space="preserve"> je spremnik koji sadrži tekućinu bez nikotina i služi za ponovno punjenje elektroničkog uređaja koji imitira pušenje;”</w:t>
      </w:r>
    </w:p>
    <w:p w14:paraId="622D8771" w14:textId="77777777" w:rsidR="00DB125E" w:rsidRDefault="00DB125E" w:rsidP="00DB125E">
      <w:pPr>
        <w:jc w:val="both"/>
      </w:pPr>
    </w:p>
    <w:p w14:paraId="07B1F29D" w14:textId="747BAB26" w:rsidR="00DB125E" w:rsidRDefault="00DB125E" w:rsidP="00DB125E">
      <w:pPr>
        <w:jc w:val="both"/>
      </w:pPr>
      <w:r>
        <w:t xml:space="preserve">(2)</w:t>
      </w:r>
      <w:r>
        <w:t xml:space="preserve"> </w:t>
      </w:r>
      <w:r>
        <w:t xml:space="preserve">Članku 1. Zakona o zabrani pušenja dodaje se sljedeća točka </w:t>
      </w:r>
      <w:r>
        <w:rPr>
          <w:i/>
        </w:rPr>
        <w:t xml:space="preserve">(z)</w:t>
      </w:r>
      <w:r>
        <w:t xml:space="preserve">:</w:t>
      </w:r>
      <w:r>
        <w:t xml:space="preserve">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i/>
          <w:iCs/>
          <w:kern w:val="2"/>
          <w:rFonts w:eastAsia="Noto Sans CJK SC"/>
        </w:rPr>
      </w:pPr>
      <w:r>
        <w:rPr>
          <w:i/>
        </w:rPr>
        <w:t xml:space="preserve">(Za potrebe ovog Zakona)</w:t>
      </w:r>
    </w:p>
    <w:p w14:paraId="51C4D610" w14:textId="77777777" w:rsidR="00DB125E" w:rsidRPr="00164E2E" w:rsidRDefault="00DB125E" w:rsidP="00DB125E">
      <w:pPr>
        <w:jc w:val="both"/>
      </w:pPr>
    </w:p>
    <w:p w14:paraId="0754F231" w14:textId="77777777" w:rsidR="00DB125E" w:rsidRPr="00164E2E" w:rsidRDefault="00DB125E" w:rsidP="00DB125E">
      <w:pPr>
        <w:jc w:val="both"/>
      </w:pPr>
      <w:r>
        <w:t xml:space="preserve">„</w:t>
      </w:r>
      <w:r>
        <w:rPr>
          <w:i/>
        </w:rPr>
        <w:t xml:space="preserve">(z) uložak bez nikotina</w:t>
      </w:r>
      <w:r>
        <w:t xml:space="preserve"> je vrsta spremnika za ponovno punjenje bez nikotina koji je potreban za uporabu određenih elektroničkih uređaja koji imitiraju pušenje, a koji je spremnik koji sadržava tekućinu bez nikotina u bilo kojem obliku, obično za jednokratnu uporabu (ne može se ponovno puniti).”</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b/>
          <w:bCs/>
          <w:kern w:val="2"/>
          <w:rFonts w:eastAsia="Noto Sans CJK SC"/>
        </w:rPr>
      </w:pPr>
      <w:r>
        <w:rPr>
          <w:b/>
        </w:rPr>
        <w:t xml:space="preserve">Članak 2.</w:t>
      </w:r>
      <w:r>
        <w:rPr>
          <w:b/>
        </w:rPr>
        <w:t xml:space="preserve">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kern w:val="2"/>
          <w:rFonts w:eastAsia="Noto Sans CJK SC"/>
        </w:rPr>
      </w:pPr>
      <w:r>
        <w:t xml:space="preserve">(1)</w:t>
      </w:r>
      <w:r>
        <w:t xml:space="preserve"> </w:t>
      </w:r>
      <w:r>
        <w:t xml:space="preserve">Članak 7.D stavak 1. Zakona o zabrani pušenja zamjenjuje se sljedećim:</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kern w:val="2"/>
          <w:rFonts w:eastAsia="Noto Sans CJK SC"/>
        </w:rPr>
      </w:pPr>
      <w:r>
        <w:t xml:space="preserve">„1.</w:t>
      </w:r>
      <w:r>
        <w:t xml:space="preserve"> </w:t>
      </w:r>
      <w:r>
        <w:t xml:space="preserve">Proizvođači i uvoznici elektroničkih cigareta, spremnika za ponovno punjenje i uložaka, elektroničkih uređaja koji imitiraju pušenje, spremnika za ponovno punjenje bez nikotina, uložaka bez nikotina i nadomjestaka za pušenje koji sadrže nikotin te njihovi distributeri u Mađarskoj obavješćuju javnozdravstveno tijelo o svakom proizvodu koji namjeravaju staviti na tržište šest mjeseci prije samog stavljanja na tržište.”</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kern w:val="2"/>
          <w:rFonts w:eastAsia="Noto Sans CJK SC"/>
        </w:rPr>
      </w:pPr>
      <w:r>
        <w:t xml:space="preserve">(2)</w:t>
      </w:r>
      <w:r>
        <w:t xml:space="preserve"> </w:t>
      </w:r>
      <w:r>
        <w:t xml:space="preserve">Članak 7.D stavak 3. Zakona o zabrani pušenja zamjenjuje se sljedećim:</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kern w:val="2"/>
          <w:rFonts w:eastAsia="Noto Sans CJK SC"/>
        </w:rPr>
      </w:pPr>
      <w:r>
        <w:t xml:space="preserve">„3.</w:t>
      </w:r>
      <w:r>
        <w:t xml:space="preserve"> </w:t>
      </w:r>
      <w:r>
        <w:t xml:space="preserve">Javnozdravstvenom tijelu, u skladu sa stavkom 1., prijavljuje se sljedeće:</w:t>
      </w:r>
    </w:p>
    <w:p w14:paraId="407E44DE" w14:textId="77777777" w:rsidR="00DB125E" w:rsidRPr="00E5303B" w:rsidRDefault="00DB125E" w:rsidP="00DB125E">
      <w:pPr>
        <w:suppressAutoHyphens/>
        <w:jc w:val="both"/>
        <w:rPr>
          <w:kern w:val="2"/>
          <w:rFonts w:eastAsia="Noto Sans CJK SC"/>
        </w:rPr>
      </w:pPr>
      <w:r>
        <w:t xml:space="preserve">(a) sve izmjene elektroničkih cigareta, spremnika za ponovno punjenje i uložaka, elektroničkih uređaja koji imitiraju pušenje, spremnika za ponovno punjenje bez nikotina, uložaka bez nikotina i nadomjestaka za pušenje koji sadrže nikotin, a koje utječu na tehnička svojstva proizvoda kako su definirana ovim Zakonom ili uredbom Vlade donesenom na temelju odobrenja ovoga Zakona, i</w:t>
      </w:r>
    </w:p>
    <w:p w14:paraId="4724DEC7" w14:textId="77777777" w:rsidR="00DB125E" w:rsidRPr="00E5303B" w:rsidRDefault="00DB125E" w:rsidP="00DB125E">
      <w:pPr>
        <w:suppressAutoHyphens/>
        <w:jc w:val="both"/>
        <w:rPr>
          <w:kern w:val="2"/>
          <w:rFonts w:eastAsia="Noto Sans CJK SC"/>
        </w:rPr>
      </w:pPr>
      <w:r>
        <w:t xml:space="preserve">(b) promjene identiteta i dostupnosti proizvođača, uvoznika ili mađarskog distributera elektroničkih cigareta, spremnika za ponovno punjenje i uložaka, elektroničkih uređaja koji imitiraju pušenje, spremnika za ponovno punjenje bez nikotina, uložaka bez nikotina i nadomjestaka za pušenje koji sadrže nikotin.”</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kern w:val="2"/>
          <w:rFonts w:eastAsia="Noto Sans CJK SC"/>
        </w:rPr>
      </w:pPr>
      <w:r>
        <w:t xml:space="preserve">(3)</w:t>
      </w:r>
      <w:r>
        <w:t xml:space="preserve"> </w:t>
      </w:r>
      <w:r>
        <w:t xml:space="preserve">Članku 7.D Zakona o zabrani pušenja dodaju se sljedeći stavci 5. i 6.:</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kern w:val="2"/>
          <w:rFonts w:eastAsia="Noto Sans CJK SC"/>
        </w:rPr>
      </w:pPr>
      <w:r>
        <w:t xml:space="preserve">„5.</w:t>
      </w:r>
      <w:r>
        <w:t xml:space="preserve"> </w:t>
      </w:r>
      <w:r>
        <w:t xml:space="preserve">Javnozdravstveno tijelo vodi evidenciju o proizvodima prijavljenima u skladu sa stavkom 1., koja sadržava:</w:t>
      </w:r>
    </w:p>
    <w:p w14:paraId="62C5FC5A" w14:textId="77777777" w:rsidR="00DB125E" w:rsidRPr="00E5303B" w:rsidRDefault="00DB125E" w:rsidP="00DB125E">
      <w:pPr>
        <w:suppressAutoHyphens/>
        <w:ind w:left="426" w:hanging="426"/>
        <w:jc w:val="both"/>
        <w:rPr>
          <w:kern w:val="2"/>
          <w:rFonts w:eastAsia="Noto Sans CJK SC"/>
        </w:rPr>
      </w:pPr>
      <w:r>
        <w:t xml:space="preserve">(a) ime podnositelja, proizvođača ili uvoznika, ili mađarskog distributera,</w:t>
      </w:r>
    </w:p>
    <w:p w14:paraId="606EE827" w14:textId="77777777" w:rsidR="00DB125E" w:rsidRPr="00E5303B" w:rsidRDefault="00DB125E" w:rsidP="00DB125E">
      <w:pPr>
        <w:suppressAutoHyphens/>
        <w:ind w:left="426" w:hanging="426"/>
        <w:jc w:val="both"/>
        <w:rPr>
          <w:kern w:val="2"/>
          <w:rFonts w:eastAsia="Noto Sans CJK SC"/>
        </w:rPr>
      </w:pPr>
      <w:r>
        <w:t xml:space="preserve">(b) identifikacijski broj elektroničke cigarete,</w:t>
      </w:r>
    </w:p>
    <w:p w14:paraId="19CD09BF" w14:textId="77777777" w:rsidR="00DB125E" w:rsidRPr="00E5303B" w:rsidRDefault="00DB125E" w:rsidP="00DB125E">
      <w:pPr>
        <w:suppressAutoHyphens/>
        <w:ind w:left="426" w:hanging="426"/>
        <w:jc w:val="both"/>
        <w:rPr>
          <w:kern w:val="2"/>
          <w:rFonts w:eastAsia="Noto Sans CJK SC"/>
        </w:rPr>
      </w:pPr>
      <w:r>
        <w:t xml:space="preserve">(c) trgovački naziv i trgovački podnaziv,</w:t>
      </w:r>
    </w:p>
    <w:p w14:paraId="69FB953D" w14:textId="77777777" w:rsidR="00DB125E" w:rsidRPr="00E5303B" w:rsidRDefault="00DB125E" w:rsidP="00DB125E">
      <w:pPr>
        <w:suppressAutoHyphens/>
        <w:ind w:left="426" w:hanging="426"/>
        <w:jc w:val="both"/>
        <w:rPr>
          <w:kern w:val="2"/>
          <w:rFonts w:eastAsia="Noto Sans CJK SC"/>
        </w:rPr>
      </w:pPr>
      <w:r>
        <w:t xml:space="preserve">(d) vrstu proizvoda,</w:t>
      </w:r>
    </w:p>
    <w:p w14:paraId="73992F7B" w14:textId="77777777" w:rsidR="00DB125E" w:rsidRPr="00E5303B" w:rsidRDefault="00DB125E" w:rsidP="00DB125E">
      <w:pPr>
        <w:suppressAutoHyphens/>
        <w:ind w:left="426" w:hanging="426"/>
        <w:jc w:val="both"/>
        <w:rPr>
          <w:kern w:val="2"/>
          <w:rFonts w:eastAsia="Noto Sans CJK SC"/>
        </w:rPr>
      </w:pPr>
      <w:r>
        <w:t xml:space="preserve">(e) serijski broj izdane potvrde o prijavljivanju, i</w:t>
      </w:r>
    </w:p>
    <w:p w14:paraId="56BF7838" w14:textId="77777777" w:rsidR="00DB125E" w:rsidRPr="00E5303B" w:rsidRDefault="00DB125E" w:rsidP="00DB125E">
      <w:pPr>
        <w:suppressAutoHyphens/>
        <w:ind w:left="426" w:hanging="426"/>
        <w:jc w:val="both"/>
        <w:rPr>
          <w:kern w:val="2"/>
          <w:rFonts w:eastAsia="Noto Sans CJK SC"/>
        </w:rPr>
      </w:pPr>
      <w:r>
        <w:t xml:space="preserve">(f) prvi mogući dan za stavljanje na tržište, kako je utvrđen u skladu sa stavkom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kern w:val="2"/>
          <w:rFonts w:eastAsia="Noto Sans CJK SC"/>
        </w:rPr>
      </w:pPr>
      <w:r>
        <w:t xml:space="preserve">(6)</w:t>
      </w:r>
      <w:r>
        <w:t xml:space="preserve"> </w:t>
      </w:r>
      <w:r>
        <w:t xml:space="preserve">Mađarski proizvođač, uvoznik i distributer brinu se o povlačenju s tržišta i otkupu svih proizvoda koji su obuhvaćeni zabranom stavljanja na tržište i koje trgovac duhanskim proizvodima drži na zalihama.”</w:t>
      </w:r>
    </w:p>
    <w:p w14:paraId="0A9586A9" w14:textId="422B59D3" w:rsidR="00333428" w:rsidRDefault="00333428"/>
    <w:p w14:paraId="1421BAD6" w14:textId="29A4BA46" w:rsidR="002D6BBD" w:rsidRDefault="002D6BBD" w:rsidP="00153F89">
      <w:pPr>
        <w:jc w:val="center"/>
        <w:rPr>
          <w:b/>
        </w:rPr>
      </w:pPr>
      <w:r>
        <w:rPr>
          <w:b/>
        </w:rPr>
        <w:t xml:space="preserve">Članak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kern w:val="2"/>
          <w:rFonts w:eastAsia="Noto Sans CJK SC"/>
        </w:rPr>
      </w:pPr>
      <w:r>
        <w:t xml:space="preserve">  </w:t>
      </w:r>
      <w:r>
        <w:t xml:space="preserve">Članak 8. stavak 5. točka (a) Zakona o zabrani pušenja zamjenjuje se sljedećim:</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i/>
          <w:iCs/>
          <w:kern w:val="2"/>
          <w:rFonts w:eastAsia="Noto Sans CJK SC"/>
        </w:rPr>
      </w:pPr>
      <w:r>
        <w:rPr>
          <w:i/>
        </w:rPr>
        <w:t xml:space="preserve">(Vlada je ovime ovlaštena uredbom definirati i utvrditi sljedeće:</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 xml:space="preserve">„(a) kombinirana upozorenja, zdravstvena upozorenja i detaljna pravila njihove uporabe, kao i detaljna pravila za pakiranja prodajnih jedinica duhanskih proizvoda i pakiranja prodajnih jedinica elektroničkih cigareta, spremnika za ponovno punjenje, elektroničkih uređaja koji imitiraju pušenje, spremnika za ponovno punjenje bez nikotina, uložaka bez nikotina i nadomjestaka za pušenje koji sadrže nikotin, sadržaj i oblik znakova i oznaka o zabrani pušenja i za označavanje mjesta na kojima je dozvoljeno pušenje kao i uporaba elektroničkih cigareta i uređaja koji imitiraju pušenje, te ostale uvjete za proizvodnju, distribuciju i nadzor duhanskih proizvoda, elektroničkih cigareta, spremnika za ponovno punjenje, elektroničkih uređaja koji imitiraju pušenje, spremnika za ponovno punjenje bez nikotina i nadomjestaka za pušenje koji sadržavaju nikotin koji nisu obuhvaćeni Zakonom o trošarinama,”</w:t>
      </w:r>
    </w:p>
    <w:p w14:paraId="0D5D932B" w14:textId="77777777" w:rsidR="002D6BBD" w:rsidRDefault="002D6BBD"/>
    <w:p w14:paraId="255BC7D4" w14:textId="48DF91E1" w:rsidR="00DB125E" w:rsidRPr="00D55D42" w:rsidRDefault="00827692" w:rsidP="00DB125E">
      <w:pPr>
        <w:suppressAutoHyphens/>
        <w:jc w:val="center"/>
        <w:rPr>
          <w:b/>
          <w:kern w:val="2"/>
          <w:rFonts w:eastAsia="Noto Sans CJK SC"/>
        </w:rPr>
      </w:pPr>
      <w:r>
        <w:rPr>
          <w:b/>
        </w:rPr>
        <w:t xml:space="preserve">Članak 4.</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 xml:space="preserve">Članku 10. Zakona o zabrani pušenja dodaje se sljedeći stavak 4.a:</w:t>
      </w:r>
    </w:p>
    <w:p w14:paraId="007E3F42" w14:textId="77777777" w:rsidR="00DB125E" w:rsidRPr="00D55D42" w:rsidRDefault="00DB125E" w:rsidP="00DB125E">
      <w:pPr>
        <w:jc w:val="center"/>
      </w:pPr>
    </w:p>
    <w:p w14:paraId="37B8ADF9" w14:textId="59AF2AF0" w:rsidR="005777D3" w:rsidRDefault="00DB125E" w:rsidP="005777D3">
      <w:pPr>
        <w:jc w:val="both"/>
      </w:pPr>
      <w:r>
        <w:t xml:space="preserve">„4.a</w:t>
      </w:r>
      <w:r>
        <w:tab/>
      </w:r>
      <w:r>
        <w:t xml:space="preserve">Za spremnike za ponovno punjenje bez nikotina, uloške bez nikotina i nadomjeske za pušenje koji sadrže nikotin koji su već stavljeni na tržište 1. rujna 2023., prijavljivanje kako je utvrđeno u članku 7.D stavku 1. u skladu s člankom 2. Zakona ... iz 2023. o izmjeni Zakona XLII iz 1999. o zaštiti nepušača i određenim propisima o potrošnji i distribuciji duhanskih proizvoda i Zakona CXXXIV. iz 2012. o suzbijanju pušenja u mladih i o maloprodaji duhanskih proizvoda,</w:t>
      </w:r>
    </w:p>
    <w:p w14:paraId="064D8A1E" w14:textId="4F3F8F5C" w:rsidR="00DB125E" w:rsidRDefault="005777D3" w:rsidP="005777D3">
      <w:pPr>
        <w:jc w:val="both"/>
      </w:pPr>
      <w:r>
        <w:t xml:space="preserve">  </w:t>
      </w:r>
      <w:r>
        <w:t xml:space="preserve">mora se provesti do 31. siječnja 2024.”</w:t>
      </w:r>
    </w:p>
    <w:p w14:paraId="717F87AE" w14:textId="77777777" w:rsidR="00E91F8B" w:rsidRDefault="00E91F8B" w:rsidP="005777D3">
      <w:pPr>
        <w:jc w:val="both"/>
      </w:pPr>
    </w:p>
    <w:p w14:paraId="44851160" w14:textId="00604E87" w:rsidR="00E91F8B" w:rsidRDefault="00DC56BA" w:rsidP="00E91F8B">
      <w:pPr>
        <w:jc w:val="center"/>
        <w:rPr>
          <w:b/>
        </w:rPr>
      </w:pPr>
      <w:r>
        <w:rPr>
          <w:b/>
        </w:rPr>
        <w:t xml:space="preserve">Članak 5.</w:t>
      </w:r>
    </w:p>
    <w:p w14:paraId="664F8A47" w14:textId="77777777" w:rsidR="00E91F8B" w:rsidRDefault="00E91F8B" w:rsidP="00E91F8B">
      <w:pPr>
        <w:jc w:val="center"/>
        <w:rPr>
          <w:b/>
        </w:rPr>
      </w:pPr>
    </w:p>
    <w:p w14:paraId="1478B73D" w14:textId="09EACD72" w:rsidR="00E91F8B" w:rsidRPr="00E91F8B" w:rsidRDefault="00E91F8B" w:rsidP="00E91F8B">
      <w:pPr>
        <w:jc w:val="both"/>
      </w:pPr>
      <w:r>
        <w:t xml:space="preserve">Zakonu o zabrani pušenja dodaje se sljedeći članak 8.B:</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 xml:space="preserve">„Članak 8.B</w:t>
      </w:r>
      <w:r>
        <w:tab/>
      </w:r>
      <w:r>
        <w:t xml:space="preserve">Sljedeći članci utvrđeni Zakonom... iz 2023. o izmjeni Zakona XLII. iz 1999. o zaštiti nepušača i određenim propisima o potrošnji i distribuciji duhanskih proizvoda i Zakona CXXXIV. iz 2012. o suzbijanju pušenja u mladih i o maloprodaji duhanskih proizvoda, kako je navedeno u nastavku, to jest članak 1. točke (s), (t) i (z), članak 7.C, članak 7.D stavci 1., 3., 5. i 6.,</w:t>
      </w:r>
      <w:r>
        <w:t xml:space="preserve"> </w:t>
      </w:r>
      <w:r>
        <w:t xml:space="preserve">članak 7.E stavci od 1. do 6., članak 7.F, članak 7.G stavci 1. i 2., članak 7.H, članak 8. stavak 5. točka (a) i članak 10. stavak 4.a ovog nacrta Zakona podliježu prethodnoj obavijesti, kako je propisano člancima od 5. do 7. Direktive (EU) 2015/1535 Europskog parlamenta i Vijeća od 9. rujna 2015. o utvrđivanju postupka pružanja informacija u području tehničkih propisa i pravila o uslugama informacijskog društva.”</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b/>
          <w:bCs/>
          <w:kern w:val="2"/>
          <w:rFonts w:eastAsia="Noto Sans CJK SC"/>
        </w:rPr>
      </w:pPr>
      <w:r>
        <w:rPr>
          <w:b/>
        </w:rPr>
        <w:t xml:space="preserve">Članak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kern w:val="2"/>
          <w:rFonts w:eastAsia="Noto Sans CJK SC"/>
        </w:rPr>
      </w:pPr>
      <w:r>
        <w:t xml:space="preserve">U Zakonu o zabrani pušenja</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(a) u članku 7.C riječi „elektroničke cigarete” zamjenjuju se riječima „elektroničke cigarete, spremnici za ponovno punjenje, ulošci, elektronički uređaji koji imitiraju pušenje, spremnici za ponovno punjenje bez nikotina, ulošci bez nikotina i nadomjesci za pušenje koji sadrže nikotin”;</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(b) u članku 7.E stavcima od 1. do 5. riječi „elektroničke cigarete i spremnici za ponovno punjenje” zamjenjuju se riječima „elektroničke cigarete, spremnici za ponovno punjenje, ulošci, elektronički uređaji koji imitiraju pušenje, spremnici za ponovno punjenje bez nikotina, ulošci bez nikotina i nadomjesci za pušenje koji sadrže nikotin”;</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(c) u članku 7.E stavku 6. riječi „elektroničke cigarete ili spremnici za ponovno punjenje” zamjenjuju se riječima „elektroničke cigarete, spremnici za ponovno punjenje, ulošci, elektronički uređaji koji imitiraju pušenje, spremnici za ponovno punjenje bez nikotina, ulošci bez nikotina i nadomjesci za pušenje koji sadrže nikotin”;</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(d) u članku 7.F riječi „elektroničke cigarete i spremnici za ponovno punjenje” zamjenjuju se riječima „elektroničke cigarete, spremnici za ponovno punjenje, ulošci, elektronički uređaji koji imitiraju pušenje, spremnici za ponovno punjenje bez nikotina, ulošci bez nikotina i nadomjesci za pušenje koji sadrže nikotin”;</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 xml:space="preserve">(e) u članku 7.G stavku 1. riječi „elektroničke cigarete ili spremnici za ponovno punjenje” zamjenjuju se riječima „elektroničke cigarete, spremnici za ponovno punjenje, ulošci, elektronički uređaji koji imitiraju pušenje, spremnici za ponovno punjenje bez nikotina, ulošci bez nikotina i nadomjesci za pušenje koji sadrže nikotin”;</w:t>
      </w:r>
    </w:p>
    <w:p w14:paraId="5DED55E3" w14:textId="1EE35D48" w:rsidR="00DB125E" w:rsidRPr="00673F64" w:rsidRDefault="00153F89" w:rsidP="00DB125E">
      <w:pPr>
        <w:pStyle w:val="BodyText"/>
        <w:spacing w:after="0" w:line="240" w:lineRule="auto"/>
        <w:jc w:val="both"/>
      </w:pPr>
      <w:r>
        <w:rPr>
          <w:rFonts w:ascii="Times New Roman" w:hAnsi="Times New Roman"/>
        </w:rPr>
        <w:t xml:space="preserve">(f) u članku 7.G stavku 2. riječi „elektroničke cigarete i spremnici za ponovno punjenje” zamjenjuju se riječima „elektroničke cigarete, spremnici za ponovno punjenje, ulošci, elektronički uređaji koji imitiraju pušenje, spremnici za ponovno punjenje bez nikotina, ulošci bez nikotina i nadomjesci za pušenje koji sadrže nikotin”;</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u članku 7.H riječi „elektroničke cigarete i elektronički uređaji koji imitiraju pušenje” zamjenjuju se riječima „elektroničke cigarete, spremnici za ponovno punjenje, ulošci, elektronički uređaji koji imitiraju pušenje, spremnici za ponovno punjenje bez nikotina, ulošci bez nikotina i nadomjesci za pušenje koji sadrže nikotin”.</w:t>
      </w:r>
      <w:r>
        <w:rPr>
          <w:rFonts w:ascii="Times New Roman" w:hAnsi="Times New Roman"/>
        </w:rPr>
        <w:t xml:space="preserve">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b/>
          <w:kern w:val="2"/>
          <w:rFonts w:eastAsia="Noto Sans CJK SC"/>
        </w:rPr>
      </w:pPr>
      <w:r>
        <w:rPr>
          <w:b/>
        </w:rPr>
        <w:t xml:space="preserve">Članak 7.</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kern w:val="2"/>
          <w:rFonts w:eastAsia="Noto Sans CJK SC"/>
        </w:rPr>
      </w:pPr>
      <w:r>
        <w:t xml:space="preserve"> </w:t>
      </w:r>
      <w:r>
        <w:t xml:space="preserve">Članak 7.I Zakona o zabrani pušenja stavlja se izvan snage.</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b/>
          <w:kern w:val="2"/>
          <w:rFonts w:eastAsia="Noto Sans CJK SC"/>
        </w:rPr>
      </w:pPr>
      <w:r>
        <w:rPr>
          <w:b/>
        </w:rPr>
        <w:t xml:space="preserve">2.</w:t>
      </w:r>
      <w:r>
        <w:rPr>
          <w:b/>
        </w:rPr>
        <w:t xml:space="preserve"> </w:t>
      </w:r>
      <w:r>
        <w:rPr>
          <w:b/>
        </w:rPr>
        <w:t xml:space="preserve">Izmjena Zakona CXXXIV iz 2012. o suzbijanju pušenja u mladih i maloprodaji duhanskih proizvoda</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b/>
          <w:kern w:val="2"/>
          <w:rFonts w:eastAsia="Noto Sans CJK SC"/>
        </w:rPr>
      </w:pPr>
      <w:r>
        <w:rPr>
          <w:b/>
        </w:rPr>
        <w:t xml:space="preserve">Članak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 xml:space="preserve">Zakonu CXXXIV iz 2012. o suzbijanju pušenja u mladih i o maloprodaji duhanskih proizvoda (dalje u tekstu:</w:t>
      </w:r>
      <w:r>
        <w:t xml:space="preserve"> </w:t>
      </w:r>
      <w:r>
        <w:t xml:space="preserve">Zakon o suzbijanju pušenja u mladih), članku 28. dodaje se sljedeći stavak 4.:</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kern w:val="2"/>
          <w:rFonts w:eastAsia="Noto Sans CJK SC"/>
        </w:rPr>
      </w:pPr>
      <w:r>
        <w:t xml:space="preserve">„4.</w:t>
      </w:r>
      <w:r>
        <w:t xml:space="preserve"> </w:t>
      </w:r>
      <w:r>
        <w:t xml:space="preserve">Nacrt članka 1. stavka 1. točke (e) i članka 3. stavka 2. točke (e), kako je utvrđen Zakonom... iz 2023. o izmjeni Zakona XLII. iz 1999. o zaštiti nepušača i određenim propisima o potrošnji i distribuciji duhanskih proizvoda i Zakona CXXXIV. iz 2012. o suzbijanju pušenja u mladih i o maloprodaji duhanskih proizvoda, podliježe prethodnoj obavijesti, kako je propisano člancima od 5. do 7. Direktive (EU) 2015/1535 Europskog parlamenta i Vijeća od 9. rujna 2015. o utvrđivanju postupka pružanja informacija u području tehničkih propisa i pravila o uslugama informacijskog društva.”</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b/>
          <w:kern w:val="2"/>
          <w:rFonts w:eastAsia="Noto Sans CJK SC"/>
        </w:rPr>
      </w:pPr>
      <w:r>
        <w:rPr>
          <w:b/>
        </w:rPr>
        <w:t xml:space="preserve">Članak 9.</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 xml:space="preserve">U članku 1. stavku 1. točki </w:t>
      </w:r>
      <w:r>
        <w:rPr>
          <w:i/>
        </w:rPr>
        <w:t xml:space="preserve">(e)</w:t>
      </w:r>
      <w:r>
        <w:t xml:space="preserve"> i članku 3. stavku 2. točki </w:t>
      </w:r>
      <w:r>
        <w:rPr>
          <w:i/>
        </w:rPr>
        <w:t xml:space="preserve">(e)</w:t>
      </w:r>
      <w:r>
        <w:t xml:space="preserve"> Zakona o suzbijanju pušenja u mladih, riječi „spremnici za ponovno punjenje bez nikotina” zamjenjuju se riječima „spremnici za ponovno punjenje bez nikotina, ulošci bez nikotina,”.</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b/>
          <w:kern w:val="2"/>
          <w:rFonts w:eastAsia="Noto Sans CJK SC"/>
        </w:rPr>
      </w:pPr>
      <w:r>
        <w:rPr>
          <w:b/>
        </w:rPr>
        <w:t xml:space="preserve">3.</w:t>
      </w:r>
      <w:r>
        <w:rPr>
          <w:b/>
        </w:rPr>
        <w:t xml:space="preserve"> </w:t>
      </w:r>
      <w:r>
        <w:rPr>
          <w:b/>
        </w:rPr>
        <w:t xml:space="preserve">Završne odredbe</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b/>
          <w:kern w:val="2"/>
          <w:rFonts w:eastAsia="Noto Sans CJK SC"/>
        </w:rPr>
      </w:pPr>
      <w:r>
        <w:rPr>
          <w:b/>
        </w:rPr>
        <w:t xml:space="preserve">Članak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kern w:val="2"/>
          <w:rFonts w:eastAsia="Noto Sans CJK SC"/>
        </w:rPr>
      </w:pPr>
      <w:r>
        <w:t xml:space="preserve">Ovaj Zakon stupa na snagu 1. studenog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 xml:space="preserve">Članak 11.</w:t>
      </w:r>
    </w:p>
    <w:p w14:paraId="7BC9C63E" w14:textId="77777777" w:rsidR="00E91F8B" w:rsidRDefault="00E91F8B" w:rsidP="00E91F8B">
      <w:pPr>
        <w:jc w:val="center"/>
      </w:pPr>
    </w:p>
    <w:p w14:paraId="50C1AEE0" w14:textId="45A9E010" w:rsidR="00E91F8B" w:rsidRDefault="00E91F8B" w:rsidP="00E91F8B">
      <w:pPr>
        <w:jc w:val="both"/>
        <w:rPr>
          <w:kern w:val="2"/>
          <w:rFonts w:eastAsia="Noto Sans CJK SC"/>
        </w:rPr>
      </w:pPr>
      <w:r>
        <w:t xml:space="preserve">Ispunjen je zahtjev za prethodno dostavljanje obavijesti o ovom nacrtu Zakona, kako je propisano člancima od 5. do 7. Direktive (EU) 2015/1535 Europskog parlamenta i Vijeća od 9. rujna 2015. o utvrđivanju postupka pružanja informacija u području tehničkih propisa i pravila o uslugama informacijskog društva.</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hr-HR"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hr-HR"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1520</Words>
  <Characters>8665</Characters>
  <Application>Microsoft Office Word</Application>
  <DocSecurity>0</DocSecurity>
  <Lines>72</Lines>
  <Paragraphs>20</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Dimitris Dimitriadis</cp:lastModifiedBy>
  <cp:revision>3</cp:revision>
  <cp:lastPrinted>2023-03-28T12:44:00Z</cp:lastPrinted>
  <dcterms:created xsi:type="dcterms:W3CDTF">2023-04-11T08:39:00Z</dcterms:created>
  <dcterms:modified xsi:type="dcterms:W3CDTF">2023-04-17T07:18:00Z</dcterms:modified>
</cp:coreProperties>
</file>