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 xml:space="preserve">Lei […] de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que altera a Lei XLII de 1999 </w:t>
      </w:r>
      <w:r>
        <w:rPr>
          <w:b/>
          <w:rStyle w:val="Emphasis"/>
          <w:i w:val="0"/>
        </w:rPr>
        <w:t xml:space="preserve">relativa à proteção dos não fumadores</w:t>
      </w:r>
      <w:r>
        <w:rPr>
          <w:b/>
        </w:rPr>
        <w:t xml:space="preserve"> e certos regulamentos relativos ao consumo e distribuição de produtos do tabaco, e a Lei CXXXIV de 2012 relativa à supressão do tabagismo por menores de idade e ao comércio a retalho de produtos do tabaco</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b/>
          <w:kern w:val="2"/>
          <w:rFonts w:eastAsia="Noto Sans CJK SC"/>
        </w:rPr>
      </w:pPr>
      <w:r>
        <w:rPr>
          <w:b/>
        </w:rPr>
        <w:t xml:space="preserve">1.</w:t>
      </w:r>
      <w:r>
        <w:rPr>
          <w:b/>
        </w:rPr>
        <w:t xml:space="preserve"> </w:t>
      </w:r>
      <w:r>
        <w:rPr>
          <w:b/>
        </w:rPr>
        <w:t xml:space="preserve">Alteração da Lei XLII de 1999 </w:t>
      </w:r>
      <w:r>
        <w:rPr>
          <w:b/>
          <w:rStyle w:val="Emphasis"/>
          <w:i w:val="0"/>
        </w:rPr>
        <w:t xml:space="preserve">relativa à proteção dos não fumadores</w:t>
      </w:r>
      <w:r>
        <w:rPr>
          <w:b/>
        </w:rPr>
        <w:t xml:space="preserve"> e a determinados regulamentos relativos ao consumo e à distribuição de produtos do tabaco</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b/>
          <w:kern w:val="2"/>
          <w:rFonts w:eastAsia="Noto Sans CJK SC"/>
        </w:rPr>
      </w:pPr>
      <w:r>
        <w:rPr>
          <w:b/>
        </w:rPr>
        <w:t xml:space="preserve">Artigo 1.º</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 xml:space="preserve">(1)</w:t>
      </w:r>
      <w:r>
        <w:t xml:space="preserve"> </w:t>
      </w:r>
      <w:r>
        <w:t xml:space="preserve">Na Lei XLII de 1999 relativa à proteção dos não fumadores e a determinados regulamentos relativos ao consumo e à distribuição de produtos do tabaco (a seguir designada «lei relativa aos não fumadores»), no artigo 1.º, as alíneas </w:t>
      </w:r>
      <w:r>
        <w:rPr>
          <w:i/>
        </w:rPr>
        <w:t xml:space="preserve">s)</w:t>
      </w:r>
      <w:r>
        <w:t xml:space="preserve"> e </w:t>
      </w:r>
      <w:r>
        <w:rPr>
          <w:i/>
        </w:rPr>
        <w:t xml:space="preserve">t)</w:t>
      </w:r>
      <w:r>
        <w:t xml:space="preserve"> passam a ter a seguinte redação:</w:t>
      </w:r>
      <w:r>
        <w:t xml:space="preserve">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i/>
          <w:iCs/>
          <w:kern w:val="2"/>
          <w:rFonts w:eastAsia="Noto Sans CJK SC"/>
        </w:rPr>
      </w:pPr>
      <w:r>
        <w:rPr>
          <w:i/>
        </w:rPr>
        <w:t xml:space="preserve">(Para efeitos da presente lei)</w:t>
      </w:r>
    </w:p>
    <w:p w14:paraId="08370725" w14:textId="77777777" w:rsidR="00DB125E" w:rsidRPr="005A143B" w:rsidRDefault="00DB125E" w:rsidP="00DB125E">
      <w:pPr>
        <w:jc w:val="both"/>
      </w:pPr>
    </w:p>
    <w:p w14:paraId="4219C306" w14:textId="77777777" w:rsidR="00DB125E" w:rsidRPr="00164E2E" w:rsidRDefault="00DB125E" w:rsidP="00DB125E">
      <w:pPr>
        <w:jc w:val="both"/>
      </w:pPr>
      <w:r>
        <w:t xml:space="preserve">«</w:t>
      </w:r>
      <w:r>
        <w:rPr>
          <w:i/>
        </w:rPr>
        <w:t xml:space="preserve">s)</w:t>
      </w:r>
      <w:r>
        <w:t xml:space="preserve"> </w:t>
      </w:r>
      <w:r>
        <w:rPr>
          <w:i/>
        </w:rPr>
        <w:t xml:space="preserve">dispositivo eletrónico de imitação de fumo</w:t>
      </w:r>
      <w:r>
        <w:t xml:space="preserve"> é um produto eletrónico de uso único (descartável), ou um produto recarregável com um recipiente de recarga sem nicotina ou operado com um cartucho sem nicotina (para uso múltiplo), que pode ser utilizado para consumir vapor sem nicotina através de um bocal;</w:t>
      </w:r>
      <w:r>
        <w:t xml:space="preserve"> </w:t>
      </w:r>
      <w:r>
        <w:t xml:space="preserve">ou qualquer componente desse produto, incluindo recipientes, ou qualquer dispositivo sem cartucho ou recipiente;</w:t>
      </w:r>
    </w:p>
    <w:p w14:paraId="715B99F0" w14:textId="77777777" w:rsidR="00DB125E" w:rsidRPr="00164E2E" w:rsidRDefault="00DB125E" w:rsidP="00DB125E">
      <w:pPr>
        <w:jc w:val="both"/>
      </w:pPr>
      <w:r>
        <w:rPr>
          <w:i/>
        </w:rPr>
        <w:t xml:space="preserve">t)</w:t>
      </w:r>
      <w:r>
        <w:t xml:space="preserve"> </w:t>
      </w:r>
      <w:r>
        <w:rPr>
          <w:i/>
        </w:rPr>
        <w:t xml:space="preserve">recipiente de recarga sem nicotina</w:t>
      </w:r>
      <w:r>
        <w:t xml:space="preserve"> é um recipiente contendo líquido livre de nicotina para reabastecer um dispositivo eletrónico de imitação de fumo;»</w:t>
      </w:r>
    </w:p>
    <w:p w14:paraId="622D8771" w14:textId="77777777" w:rsidR="00DB125E" w:rsidRDefault="00DB125E" w:rsidP="00DB125E">
      <w:pPr>
        <w:jc w:val="both"/>
      </w:pPr>
    </w:p>
    <w:p w14:paraId="07B1F29D" w14:textId="747BAB26" w:rsidR="00DB125E" w:rsidRDefault="00DB125E" w:rsidP="00DB125E">
      <w:pPr>
        <w:jc w:val="both"/>
      </w:pPr>
      <w:r>
        <w:t xml:space="preserve">(2)</w:t>
      </w:r>
      <w:r>
        <w:t xml:space="preserve"> </w:t>
      </w:r>
      <w:r>
        <w:t xml:space="preserve">Na lei relativa aos não fumadores, é aditada ao artigo 1.º a seguinte alínea </w:t>
      </w:r>
      <w:r>
        <w:rPr>
          <w:i/>
        </w:rPr>
        <w:t xml:space="preserve">z)</w:t>
      </w:r>
      <w:r>
        <w:t xml:space="preserve">:</w:t>
      </w:r>
      <w:r>
        <w:t xml:space="preserve">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i/>
          <w:iCs/>
          <w:kern w:val="2"/>
          <w:rFonts w:eastAsia="Noto Sans CJK SC"/>
        </w:rPr>
      </w:pPr>
      <w:r>
        <w:rPr>
          <w:i/>
        </w:rPr>
        <w:t xml:space="preserve">(Para efeitos da presente lei)</w:t>
      </w:r>
    </w:p>
    <w:p w14:paraId="51C4D610" w14:textId="77777777" w:rsidR="00DB125E" w:rsidRPr="00164E2E" w:rsidRDefault="00DB125E" w:rsidP="00DB125E">
      <w:pPr>
        <w:jc w:val="both"/>
      </w:pPr>
    </w:p>
    <w:p w14:paraId="0754F231" w14:textId="77777777" w:rsidR="00DB125E" w:rsidRPr="00164E2E" w:rsidRDefault="00DB125E" w:rsidP="00DB125E">
      <w:pPr>
        <w:jc w:val="both"/>
      </w:pPr>
      <w:r>
        <w:t xml:space="preserve">«</w:t>
      </w:r>
      <w:r>
        <w:rPr>
          <w:i/>
        </w:rPr>
        <w:t xml:space="preserve">z) cartucho sem nicotina</w:t>
      </w:r>
      <w:r>
        <w:t xml:space="preserve"> é um tipo de recipiente de recarga sem nicotina que é necessário para a utilização de determinados dispositivos eletrónicos de imitação de fumo, e que contém líquido isento de nicotina sob qualquer forma, normalmente para uso único (não recarregável).»</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b/>
          <w:bCs/>
          <w:kern w:val="2"/>
          <w:rFonts w:eastAsia="Noto Sans CJK SC"/>
        </w:rPr>
      </w:pPr>
      <w:r>
        <w:rPr>
          <w:b/>
        </w:rPr>
        <w:t xml:space="preserve">Artigo 2.º</w:t>
      </w:r>
      <w:r>
        <w:rPr>
          <w:b/>
        </w:rPr>
        <w:t xml:space="preserve">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kern w:val="2"/>
          <w:rFonts w:eastAsia="Noto Sans CJK SC"/>
        </w:rPr>
      </w:pPr>
      <w:r>
        <w:t xml:space="preserve">(1)</w:t>
      </w:r>
      <w:r>
        <w:t xml:space="preserve"> </w:t>
      </w:r>
      <w:r>
        <w:t xml:space="preserve">O artigo 7.º-D, n.º 1 da lei relativa aos não fumadores passa a ter a seguinte redação:</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kern w:val="2"/>
          <w:rFonts w:eastAsia="Noto Sans CJK SC"/>
        </w:rPr>
      </w:pPr>
      <w:r>
        <w:t xml:space="preserve">«(1)</w:t>
      </w:r>
      <w:r>
        <w:t xml:space="preserve"> </w:t>
      </w:r>
      <w:r>
        <w:t xml:space="preserve">Os fabricantes e importadores de cigarros eletrónicos, recargas e cartuchos, dispositivos eletrónicos de imitação de fumo, recargas sem nicotina, cartuchos sem nicotina e substitutos para fumar que contenham nicotina, e os seus distribuidores na Hungria, devem notificar a autoridade de saúde pública de qualquer produto que pretendam colocar no mercado seis meses antes da sua colocação no mercado.»</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kern w:val="2"/>
          <w:rFonts w:eastAsia="Noto Sans CJK SC"/>
        </w:rPr>
      </w:pPr>
      <w:r>
        <w:t xml:space="preserve">(2)</w:t>
      </w:r>
      <w:r>
        <w:t xml:space="preserve"> </w:t>
      </w:r>
      <w:r>
        <w:t xml:space="preserve">O artigo 7.º-D, n.º 3 da lei relativa aos não fumadores passa a ter a seguinte redação:</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kern w:val="2"/>
          <w:rFonts w:eastAsia="Noto Sans CJK SC"/>
        </w:rPr>
      </w:pPr>
      <w:r>
        <w:t xml:space="preserve">«(3)</w:t>
      </w:r>
      <w:r>
        <w:t xml:space="preserve"> </w:t>
      </w:r>
      <w:r>
        <w:t xml:space="preserve">Em conformidade com o n.º 1, devem ser comunicados à autoridade de saúde pública os seguintes elementos:</w:t>
      </w:r>
    </w:p>
    <w:p w14:paraId="407E44DE" w14:textId="77777777" w:rsidR="00DB125E" w:rsidRPr="00E5303B" w:rsidRDefault="00DB125E" w:rsidP="00DB125E">
      <w:pPr>
        <w:suppressAutoHyphens/>
        <w:jc w:val="both"/>
        <w:rPr>
          <w:kern w:val="2"/>
          <w:rFonts w:eastAsia="Noto Sans CJK SC"/>
        </w:rPr>
      </w:pPr>
      <w:r>
        <w:t xml:space="preserve">a) Quaisquer alterações dos cigarros eletrónicos, das recargas e dos cartuchos, dos dispositivos eletrónicos de imitação de fumo, das recargas sem nicotina, dos cartuchos sem nicotina e dos substitutos para fumar que contenham nicotina que afetem as características técnicas do produto, tal como definidas na presente lei ou num decreto governamental emitido ao abrigo da presente lei, e:</w:t>
      </w:r>
    </w:p>
    <w:p w14:paraId="4724DEC7" w14:textId="77777777" w:rsidR="00DB125E" w:rsidRPr="00E5303B" w:rsidRDefault="00DB125E" w:rsidP="00DB125E">
      <w:pPr>
        <w:suppressAutoHyphens/>
        <w:jc w:val="both"/>
        <w:rPr>
          <w:kern w:val="2"/>
          <w:rFonts w:eastAsia="Noto Sans CJK SC"/>
        </w:rPr>
      </w:pPr>
      <w:r>
        <w:t xml:space="preserve">b) Alterações na identidade e disponibilidade do fabricante, importador ou distribuidor húngaro de cigarros eletrónicos, recargas e cartuchos, dispositivos eletrónicos de imitação de fumo, recargas sem nicotina, cartuchos sem nicotina e substitutos para fumar que contenham nicotina.»</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kern w:val="2"/>
          <w:rFonts w:eastAsia="Noto Sans CJK SC"/>
        </w:rPr>
      </w:pPr>
      <w:r>
        <w:t xml:space="preserve">(3)</w:t>
      </w:r>
      <w:r>
        <w:t xml:space="preserve"> </w:t>
      </w:r>
      <w:r>
        <w:t xml:space="preserve">Na lei relativa aos não fumadores, são aditados ao artigo 7.º-D os seguintes n.</w:t>
      </w:r>
      <w:r>
        <w:rPr>
          <w:vertAlign w:val="superscript"/>
        </w:rPr>
        <w:t xml:space="preserve">os</w:t>
      </w:r>
      <w:r>
        <w:t xml:space="preserve"> 5 e 6:</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kern w:val="2"/>
          <w:rFonts w:eastAsia="Noto Sans CJK SC"/>
        </w:rPr>
      </w:pPr>
      <w:r>
        <w:t xml:space="preserve">«(5)</w:t>
      </w:r>
      <w:r>
        <w:t xml:space="preserve"> </w:t>
      </w:r>
      <w:r>
        <w:t xml:space="preserve">A autoridade de saúde pública deve manter registos dos produtos notificados nos termos do n.º 1, que devem conter:</w:t>
      </w:r>
    </w:p>
    <w:p w14:paraId="62C5FC5A" w14:textId="77777777" w:rsidR="00DB125E" w:rsidRPr="00E5303B" w:rsidRDefault="00DB125E" w:rsidP="00DB125E">
      <w:pPr>
        <w:suppressAutoHyphens/>
        <w:ind w:left="426" w:hanging="426"/>
        <w:jc w:val="both"/>
        <w:rPr>
          <w:kern w:val="2"/>
          <w:rFonts w:eastAsia="Noto Sans CJK SC"/>
        </w:rPr>
      </w:pPr>
      <w:r>
        <w:t xml:space="preserve">a) o nome do notificador, do fabricante ou do importador, ou do distribuidor na Hungria;</w:t>
      </w:r>
    </w:p>
    <w:p w14:paraId="606EE827" w14:textId="77777777" w:rsidR="00DB125E" w:rsidRPr="00E5303B" w:rsidRDefault="00DB125E" w:rsidP="00DB125E">
      <w:pPr>
        <w:suppressAutoHyphens/>
        <w:ind w:left="426" w:hanging="426"/>
        <w:jc w:val="both"/>
        <w:rPr>
          <w:kern w:val="2"/>
          <w:rFonts w:eastAsia="Noto Sans CJK SC"/>
        </w:rPr>
      </w:pPr>
      <w:r>
        <w:t xml:space="preserve">b) o número de identificação do cigarro eletrónico;</w:t>
      </w:r>
    </w:p>
    <w:p w14:paraId="19CD09BF" w14:textId="77777777" w:rsidR="00DB125E" w:rsidRPr="00E5303B" w:rsidRDefault="00DB125E" w:rsidP="00DB125E">
      <w:pPr>
        <w:suppressAutoHyphens/>
        <w:ind w:left="426" w:hanging="426"/>
        <w:jc w:val="both"/>
        <w:rPr>
          <w:kern w:val="2"/>
          <w:rFonts w:eastAsia="Noto Sans CJK SC"/>
        </w:rPr>
      </w:pPr>
      <w:r>
        <w:t xml:space="preserve">c) a marca e o nome da submarca;</w:t>
      </w:r>
    </w:p>
    <w:p w14:paraId="69FB953D" w14:textId="77777777" w:rsidR="00DB125E" w:rsidRPr="00E5303B" w:rsidRDefault="00DB125E" w:rsidP="00DB125E">
      <w:pPr>
        <w:suppressAutoHyphens/>
        <w:ind w:left="426" w:hanging="426"/>
        <w:jc w:val="both"/>
        <w:rPr>
          <w:kern w:val="2"/>
          <w:rFonts w:eastAsia="Noto Sans CJK SC"/>
        </w:rPr>
      </w:pPr>
      <w:r>
        <w:t xml:space="preserve">d) o tipo de produto;</w:t>
      </w:r>
    </w:p>
    <w:p w14:paraId="73992F7B" w14:textId="77777777" w:rsidR="00DB125E" w:rsidRPr="00E5303B" w:rsidRDefault="00DB125E" w:rsidP="00DB125E">
      <w:pPr>
        <w:suppressAutoHyphens/>
        <w:ind w:left="426" w:hanging="426"/>
        <w:jc w:val="both"/>
        <w:rPr>
          <w:kern w:val="2"/>
          <w:rFonts w:eastAsia="Noto Sans CJK SC"/>
        </w:rPr>
      </w:pPr>
      <w:r>
        <w:t xml:space="preserve">e) o número de série do certificado emitido sobre a notificação, e:</w:t>
      </w:r>
    </w:p>
    <w:p w14:paraId="56BF7838" w14:textId="77777777" w:rsidR="00DB125E" w:rsidRPr="00E5303B" w:rsidRDefault="00DB125E" w:rsidP="00DB125E">
      <w:pPr>
        <w:suppressAutoHyphens/>
        <w:ind w:left="426" w:hanging="426"/>
        <w:jc w:val="both"/>
        <w:rPr>
          <w:kern w:val="2"/>
          <w:rFonts w:eastAsia="Noto Sans CJK SC"/>
        </w:rPr>
      </w:pPr>
      <w:r>
        <w:t xml:space="preserve">f) o primeiro dia possível de colocação no mercado, calculado nos termos do n.º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kern w:val="2"/>
          <w:rFonts w:eastAsia="Noto Sans CJK SC"/>
        </w:rPr>
      </w:pPr>
      <w:r>
        <w:t xml:space="preserve">(6)</w:t>
      </w:r>
      <w:r>
        <w:t xml:space="preserve"> </w:t>
      </w:r>
      <w:r>
        <w:t xml:space="preserve">O fabricante, importador e distribuidor húngaros zelarão pela retirada do mercado e pela recompra de qualquer produto abrangido pela proibição de comercialização e mantido em armazém pelo retalhista de produtos do tabaco.»</w:t>
      </w:r>
    </w:p>
    <w:p w14:paraId="0A9586A9" w14:textId="422B59D3" w:rsidR="00333428" w:rsidRDefault="00333428"/>
    <w:p w14:paraId="1421BAD6" w14:textId="29A4BA46" w:rsidR="002D6BBD" w:rsidRDefault="002D6BBD" w:rsidP="00153F89">
      <w:pPr>
        <w:jc w:val="center"/>
        <w:rPr>
          <w:b/>
        </w:rPr>
      </w:pPr>
      <w:r>
        <w:rPr>
          <w:b/>
        </w:rPr>
        <w:t xml:space="preserve">Artigo 3.º</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kern w:val="2"/>
          <w:rFonts w:eastAsia="Noto Sans CJK SC"/>
        </w:rPr>
      </w:pPr>
      <w:r>
        <w:t xml:space="preserve">  </w:t>
      </w:r>
      <w:r>
        <w:t xml:space="preserve">O artigo 8.º, n.º 5, alínea a), da lei relativa aos não fumadores passa a ter a seguinte redação:</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i/>
          <w:iCs/>
          <w:kern w:val="2"/>
          <w:rFonts w:eastAsia="Noto Sans CJK SC"/>
        </w:rPr>
      </w:pPr>
      <w:r>
        <w:rPr>
          <w:i/>
        </w:rPr>
        <w:t xml:space="preserve">(O Governo fica autorizado a definir e estabelecer, por regulamento, o seguinte:</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 xml:space="preserve">«a) As advertências combinadas, as advertências de saúde e as respetivas regras de utilização, bem como as regras de execução aplicáveis às unidades de embalagem dos produtos do tabaco para os consumidores e as unidades de embalagem de cigarros eletrónicos, recargas, dispositivos eletrónicos de imitação de fumo, recargas sem nicotina, cartuchos sem nicotina e sucedâneos que contenham nicotina, o conteúdo e a forma de sinais e marcações para restringir o tabagismo e as zonas de fumadores designadas, bem como aqueles destinados à utilização de cigarros eletrónicos e dispositivos eletrónicos de imitação de fumo, para além de outras condições de fabrico, distribuição e controlo dos produtos do tabaco, dos cigarros eletrónicos, das recargas, dos dispositivos eletrónicos de imitação de fumo, das recargas sem nicotina e dos substitutos para fumar que contenham nicotina, sem que tais condições sejam abrangidas pelo âmbito de aplicação da lei relativa aos impostos especiais de consumo,»</w:t>
      </w:r>
    </w:p>
    <w:p w14:paraId="0D5D932B" w14:textId="77777777" w:rsidR="002D6BBD" w:rsidRDefault="002D6BBD"/>
    <w:p w14:paraId="255BC7D4" w14:textId="48DF91E1" w:rsidR="00DB125E" w:rsidRPr="00D55D42" w:rsidRDefault="00827692" w:rsidP="00DB125E">
      <w:pPr>
        <w:suppressAutoHyphens/>
        <w:jc w:val="center"/>
        <w:rPr>
          <w:b/>
          <w:kern w:val="2"/>
          <w:rFonts w:eastAsia="Noto Sans CJK SC"/>
        </w:rPr>
      </w:pPr>
      <w:r>
        <w:rPr>
          <w:b/>
        </w:rPr>
        <w:t xml:space="preserve">Artigo 4.º</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 xml:space="preserve">Na lei relativa aos não fumadores, é aditado ao artigo 10.º o seguinte n.º 4-A:</w:t>
      </w:r>
    </w:p>
    <w:p w14:paraId="007E3F42" w14:textId="77777777" w:rsidR="00DB125E" w:rsidRPr="00D55D42" w:rsidRDefault="00DB125E" w:rsidP="00DB125E">
      <w:pPr>
        <w:jc w:val="center"/>
      </w:pPr>
    </w:p>
    <w:p w14:paraId="37B8ADF9" w14:textId="59AF2AF0" w:rsidR="005777D3" w:rsidRDefault="00DB125E" w:rsidP="005777D3">
      <w:pPr>
        <w:jc w:val="both"/>
      </w:pPr>
      <w:r>
        <w:t xml:space="preserve">«(4-A) Para recargas sem nicotina, cartuchos sem nicotina e sucedâneos que contenham nicotina já no mercado em 1 de setembro de 2023, a notificação definida no artigo 7.º-D, n.º 1, nos termos do artigo 2.º da Lei […] de 2023, que altera a Lei XLII de 1999 relativa à proteção dos não fumadores e certas regras para o consumo e distribuição de produtos do tabaco, e a Lei CXXXIV de 2012 relativa à supressão do tabagismo por menores e ao comércio a retalho de produtos do tabaco,</w:t>
      </w:r>
    </w:p>
    <w:p w14:paraId="064D8A1E" w14:textId="4F3F8F5C" w:rsidR="00DB125E" w:rsidRDefault="005777D3" w:rsidP="005777D3">
      <w:pPr>
        <w:jc w:val="both"/>
      </w:pPr>
      <w:r>
        <w:t xml:space="preserve">  </w:t>
      </w:r>
      <w:r>
        <w:t xml:space="preserve">deve ser efetuada até 31 de janeiro de 2024.»</w:t>
      </w:r>
    </w:p>
    <w:p w14:paraId="717F87AE" w14:textId="77777777" w:rsidR="00E91F8B" w:rsidRDefault="00E91F8B" w:rsidP="005777D3">
      <w:pPr>
        <w:jc w:val="both"/>
      </w:pPr>
    </w:p>
    <w:p w14:paraId="44851160" w14:textId="00604E87" w:rsidR="00E91F8B" w:rsidRDefault="00DC56BA" w:rsidP="00E91F8B">
      <w:pPr>
        <w:jc w:val="center"/>
        <w:rPr>
          <w:b/>
        </w:rPr>
      </w:pPr>
      <w:r>
        <w:rPr>
          <w:b/>
        </w:rPr>
        <w:t xml:space="preserve">Artigo 5.º</w:t>
      </w:r>
    </w:p>
    <w:p w14:paraId="664F8A47" w14:textId="77777777" w:rsidR="00E91F8B" w:rsidRDefault="00E91F8B" w:rsidP="00E91F8B">
      <w:pPr>
        <w:jc w:val="center"/>
        <w:rPr>
          <w:b/>
        </w:rPr>
      </w:pPr>
    </w:p>
    <w:p w14:paraId="1478B73D" w14:textId="09EACD72" w:rsidR="00E91F8B" w:rsidRPr="00E91F8B" w:rsidRDefault="00E91F8B" w:rsidP="00E91F8B">
      <w:pPr>
        <w:jc w:val="both"/>
      </w:pPr>
      <w:r>
        <w:t xml:space="preserve">Na lei relativa aos não fumadores, é inserido o seguinte artigo 8.º-B:</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 xml:space="preserve">«Artigo 8.º-B</w:t>
      </w:r>
      <w:r>
        <w:tab/>
      </w:r>
      <w:r>
        <w:t xml:space="preserve">Os seguintes artigos estabelecidos pela Lei […] de 2023 que altera a Lei XLII de 1999 relativa à proteção dos não fumadores e certas regras para o consumo e distribuição de produtos do tabaco, e pela Lei CXXXIV de 2012 relativa à supressão do tabagismo por menores de idade e ao comércio a retalho de produtos do tabaco, a seguir enumerados, ou seja, o artigo 1.º, alíneas s), t) e z), o artigo 7.º-C, o artigo 7.º-D, n.</w:t>
      </w:r>
      <w:r>
        <w:rPr>
          <w:vertAlign w:val="superscript"/>
        </w:rPr>
        <w:t xml:space="preserve">os</w:t>
      </w:r>
      <w:r>
        <w:t xml:space="preserve"> 1, 3, 5 e 6,</w:t>
      </w:r>
      <w:r>
        <w:t xml:space="preserve"> </w:t>
      </w:r>
      <w:r>
        <w:t xml:space="preserve">o artigo 7.º-E, n.</w:t>
      </w:r>
      <w:r>
        <w:rPr>
          <w:vertAlign w:val="superscript"/>
        </w:rPr>
        <w:t xml:space="preserve">os</w:t>
      </w:r>
      <w:r>
        <w:t xml:space="preserve"> 1 a 6, o artigo 7.º-F, o artigo 7.º-G, n.</w:t>
      </w:r>
      <w:r>
        <w:rPr>
          <w:vertAlign w:val="superscript"/>
        </w:rPr>
        <w:t xml:space="preserve">os</w:t>
      </w:r>
      <w:r>
        <w:t xml:space="preserve"> 1 e 2, o artigo 7.º-H, o artigo 8.º, n.º 5, alínea a), e o artigo 10.º, n.º 4-A, do presente projeto de lei foram objeto de notificação prévia, tal como previsto nos artigos 5.º a 7.º da Diretiva (UE) 2015/1535 do Parlamento Europeu e do Conselho, de 9 de setembro de 2015, relativa a um procedimento de informação no domínio das regulamentações técnicas e das regras relativas aos serviços da sociedade da informação.»</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b/>
          <w:bCs/>
          <w:kern w:val="2"/>
          <w:rFonts w:eastAsia="Noto Sans CJK SC"/>
        </w:rPr>
      </w:pPr>
      <w:r>
        <w:rPr>
          <w:b/>
        </w:rPr>
        <w:t xml:space="preserve">Artigo 6.º</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kern w:val="2"/>
          <w:rFonts w:eastAsia="Noto Sans CJK SC"/>
        </w:rPr>
      </w:pPr>
      <w:r>
        <w:t xml:space="preserve">Na lei relativa aos não fumadores:</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a) No artigo 7.º-C, a expressão «cigarros eletrónicos» é substituída por «cigarros eletrónicos, recargas, cartuchos, dispositivos eletrónicos de imitação de fumo, recargas sem nicotina, cartuchos sem nicotina e substitutos para fumar que contenham nicotina»;</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b) No artigo 7.º-E, n.</w:t>
      </w:r>
      <w:r>
        <w:rPr>
          <w:vertAlign w:val="superscript"/>
          <w:rFonts w:ascii="Times New Roman" w:hAnsi="Times New Roman"/>
        </w:rPr>
        <w:t xml:space="preserve">os</w:t>
      </w:r>
      <w:r>
        <w:rPr>
          <w:rFonts w:ascii="Times New Roman" w:hAnsi="Times New Roman"/>
        </w:rPr>
        <w:t xml:space="preserve"> 1 a 5, a expressão «cigarros eletrónicos e recargas» é substituída por «cigarros eletrónicos, recargas, cartuchos, dispositivos eletrónicos de imitação de fumo, recargas sem nicotina, cartuchos sem nicotina e substitutos para fumar que contenham nicotina»;</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c) No artigo 7.º-E, n.º 6, a expressão «cigarros eletrónicos ou recargas» é substituída pela expressão «cigarros eletrónicos, recargas, cartuchos, dispositivos eletrónicos de imitação de fumo, recargas sem nicotina, cartuchos sem nicotina e substitutos para fumar que contenham nicotina»;</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d) No artigo 7.º-F, a expressão «cigarros eletrónicos e recargas» é substituída por «cigarros eletrónicos, recargas, cartuchos, dispositivos eletrónicos de imitação de fumo, recargas sem nicotina, cartuchos sem nicotina e substitutos para fumar que contenham nicotina»;</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e) No artigo 7.º-G, n.º 1, a expressão «cigarros eletrónicos ou recargas» é substituída por «cigarros eletrónicos, recargas, cartuchos, dispositivos eletrónicos de imitação de fumo, recargas sem nicotina, cartuchos sem nicotina e substitutos para fumar que contenham nicotina»;</w:t>
      </w:r>
    </w:p>
    <w:p w14:paraId="5DED55E3" w14:textId="1EE35D48" w:rsidR="00DB125E" w:rsidRPr="00673F64" w:rsidRDefault="00153F89" w:rsidP="00DB125E">
      <w:pPr>
        <w:pStyle w:val="BodyText"/>
        <w:spacing w:after="0" w:line="240" w:lineRule="auto"/>
        <w:jc w:val="both"/>
      </w:pPr>
      <w:r>
        <w:rPr>
          <w:rFonts w:ascii="Times New Roman" w:hAnsi="Times New Roman"/>
        </w:rPr>
        <w:t xml:space="preserve">f) No artigo 7.º-G, n.º 2, a expressão «cigarros eletrónicos e recargas» é substituída por «cigarros eletrónicos, recargas, cartuchos, dispositivos eletrónicos de imitação de fumo, recargas sem nicotina, cartuchos sem nicotina e substitutos para fumar que contenham nicotina»;</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No artigo 7.º-H, a expressão «cigarros eletrónicos e dispositivos eletrónicos de imitação de fumo» é substituída pela expressão «cigarros eletrónicos, recargas, cartuchos, dispositivos eletrónicos de imitação de fumo, recargas sem nicotina, cartuchos sem nicotina e substitutos para fumar que contenham nicotina».</w:t>
      </w:r>
      <w:r>
        <w:rPr>
          <w:rFonts w:ascii="Times New Roman" w:hAnsi="Times New Roman"/>
        </w:rPr>
        <w:t xml:space="preserve">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b/>
          <w:kern w:val="2"/>
          <w:rFonts w:eastAsia="Noto Sans CJK SC"/>
        </w:rPr>
      </w:pPr>
      <w:r>
        <w:rPr>
          <w:b/>
        </w:rPr>
        <w:t xml:space="preserve">Artigo 7.º</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kern w:val="2"/>
          <w:rFonts w:eastAsia="Noto Sans CJK SC"/>
        </w:rPr>
      </w:pPr>
      <w:r>
        <w:t xml:space="preserve"> </w:t>
      </w:r>
      <w:r>
        <w:t xml:space="preserve">É revogado o artigo 7.º-I da lei relativa aos não fumadores.</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b/>
          <w:kern w:val="2"/>
          <w:rFonts w:eastAsia="Noto Sans CJK SC"/>
        </w:rPr>
      </w:pPr>
      <w:r>
        <w:rPr>
          <w:b/>
        </w:rPr>
        <w:t xml:space="preserve">2.</w:t>
      </w:r>
      <w:r>
        <w:rPr>
          <w:b/>
        </w:rPr>
        <w:t xml:space="preserve"> </w:t>
      </w:r>
      <w:r>
        <w:rPr>
          <w:b/>
        </w:rPr>
        <w:t xml:space="preserve">Alteração da Lei CXXXIV de 2012 relativa à supressão do tabagismo por menores de idade e ao comércio a retalho de produtos do tabaco</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b/>
          <w:kern w:val="2"/>
          <w:rFonts w:eastAsia="Noto Sans CJK SC"/>
        </w:rPr>
      </w:pPr>
      <w:r>
        <w:rPr>
          <w:b/>
        </w:rPr>
        <w:t xml:space="preserve">Artigo 8.º</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 xml:space="preserve">Na Lei CXXXIV de 2012 relativa à supressão do tabagismo por menores de idade e ao comércio a retalho de produtos do tabaco (a seguir designada</w:t>
      </w:r>
      <w:r>
        <w:t xml:space="preserve"> </w:t>
      </w:r>
      <w:r>
        <w:t xml:space="preserve">«lei relativa à supressão do tabagismo por menores de idade»), ao artigo 28.º é aditado o seguinte n.º 4:</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kern w:val="2"/>
          <w:rFonts w:eastAsia="Noto Sans CJK SC"/>
        </w:rPr>
      </w:pPr>
      <w:r>
        <w:t xml:space="preserve">«(4)</w:t>
      </w:r>
      <w:r>
        <w:t xml:space="preserve"> </w:t>
      </w:r>
      <w:r>
        <w:t xml:space="preserve">O projeto de artigo 1.º, n.º 1, alínea e), e o artigo 3.º, n.º 2, alínea e), tal como estabelecidos pela Lei […] de 2023 que altera a Lei XLII de 1999 relativa à proteção dos não fumadores e certas regras para o consumo e distribuição de produtos do tabaco, e a Lei CXXXIV de 2012 relativa à supressão do tabagismo por menores e ao comércio a retalho de produtos do tabaco, foram objeto de notificação prévia, tal como previsto nos artigos 5.º a 7.º da Diretiva (UE) 2015/1535 do Parlamento Europeu e do Conselho, de 9 de setembro de 2015, relativa a um procedimento de informação no domínio das regulamentações técnicas e das regras relativas aos serviços da sociedade da informação.»</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b/>
          <w:kern w:val="2"/>
          <w:rFonts w:eastAsia="Noto Sans CJK SC"/>
        </w:rPr>
      </w:pPr>
      <w:r>
        <w:rPr>
          <w:b/>
        </w:rPr>
        <w:t xml:space="preserve">Artigo 9.º</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 xml:space="preserve">No artigo 1.º, n.º 1, alínea </w:t>
      </w:r>
      <w:r>
        <w:rPr>
          <w:i/>
        </w:rPr>
        <w:t xml:space="preserve">e)</w:t>
      </w:r>
      <w:r>
        <w:t xml:space="preserve"> e artigo 3.º, n.º 2, alínea </w:t>
      </w:r>
      <w:r>
        <w:rPr>
          <w:i/>
        </w:rPr>
        <w:t xml:space="preserve">e)</w:t>
      </w:r>
      <w:r>
        <w:t xml:space="preserve"> da lei relativa à supressão do tabagismo por menores, a expressão «recargas sem nicotina» é substituída por «recargas sem nicotina, cartuchos sem nicotina».</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b/>
          <w:kern w:val="2"/>
          <w:rFonts w:eastAsia="Noto Sans CJK SC"/>
        </w:rPr>
      </w:pPr>
      <w:r>
        <w:rPr>
          <w:b/>
        </w:rPr>
        <w:t xml:space="preserve">3.</w:t>
      </w:r>
      <w:r>
        <w:rPr>
          <w:b/>
        </w:rPr>
        <w:t xml:space="preserve"> </w:t>
      </w:r>
      <w:r>
        <w:rPr>
          <w:b/>
        </w:rPr>
        <w:t xml:space="preserve">Disposições finais</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b/>
          <w:kern w:val="2"/>
          <w:rFonts w:eastAsia="Noto Sans CJK SC"/>
        </w:rPr>
      </w:pPr>
      <w:r>
        <w:rPr>
          <w:b/>
        </w:rPr>
        <w:t xml:space="preserve">Artigo 10.º</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kern w:val="2"/>
          <w:rFonts w:eastAsia="Noto Sans CJK SC"/>
        </w:rPr>
      </w:pPr>
      <w:r>
        <w:t xml:space="preserve">A presente lei entra em vigor em 1 de novembro de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 xml:space="preserve">Artigo 11.º</w:t>
      </w:r>
    </w:p>
    <w:p w14:paraId="7BC9C63E" w14:textId="77777777" w:rsidR="00E91F8B" w:rsidRDefault="00E91F8B" w:rsidP="00E91F8B">
      <w:pPr>
        <w:jc w:val="center"/>
      </w:pPr>
    </w:p>
    <w:p w14:paraId="50C1AEE0" w14:textId="45A9E010" w:rsidR="00E91F8B" w:rsidRDefault="00E91F8B" w:rsidP="00E91F8B">
      <w:pPr>
        <w:jc w:val="both"/>
        <w:rPr>
          <w:kern w:val="2"/>
          <w:rFonts w:eastAsia="Noto Sans CJK SC"/>
        </w:rPr>
      </w:pPr>
      <w:r>
        <w:t xml:space="preserve">Foi cumprido o requisito de notificação prévia do presente projeto de decreto, tal como estipulado nos artigos 5.º a 7.º da Diretiva (UE) 2015/1535 do Parlamento Europeu e do Conselho, de 9 de setembro de 2015, relativa a um procedimento de informação no domínio das regulamentações técnicas e das regras relativas aos serviços da Sociedade da Informação.</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pt-PT"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pt-PT"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8665</Characters>
  <Application>Microsoft Office Word</Application>
  <DocSecurity>0</DocSecurity>
  <Lines>72</Lines>
  <Paragraphs>20</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Dimitris Dimitriadis</cp:lastModifiedBy>
  <cp:revision>3</cp:revision>
  <cp:lastPrinted>2023-03-28T12:44:00Z</cp:lastPrinted>
  <dcterms:created xsi:type="dcterms:W3CDTF">2023-04-11T08:39:00Z</dcterms:created>
  <dcterms:modified xsi:type="dcterms:W3CDTF">2023-04-17T07:18:00Z</dcterms:modified>
</cp:coreProperties>
</file>