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3221AE" w14:paraId="16EB613D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BEF62" w14:textId="77777777" w:rsidR="003221AE" w:rsidRDefault="003221AE" w:rsidP="00AE4D15">
            <w:pPr>
              <w:pStyle w:val="SNREPUBLIQUE"/>
              <w:snapToGrid w:val="0"/>
            </w:pPr>
            <w:r>
              <w:t xml:space="preserve">FRANCIJAS REPUBLIKA</w:t>
            </w:r>
          </w:p>
        </w:tc>
      </w:tr>
      <w:tr w:rsidR="003221AE" w14:paraId="0F821592" w14:textId="77777777" w:rsidTr="0075398C">
        <w:trPr>
          <w:trHeight w:hRule="exact" w:val="113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2472" w14:textId="77777777" w:rsidR="003221AE" w:rsidRDefault="003221AE" w:rsidP="00AE4D15">
            <w:pPr>
              <w:pStyle w:val="Standard"/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9079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55EC8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BD2C909" w14:textId="77777777" w:rsidTr="0075398C">
        <w:tc>
          <w:tcPr>
            <w:tcW w:w="3982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23FB5" w14:textId="25B19FC2" w:rsidR="003221AE" w:rsidRDefault="003221AE" w:rsidP="00E25026">
            <w:pPr>
              <w:pStyle w:val="SNTimbre"/>
            </w:pPr>
            <w:r>
              <w:t xml:space="preserve">Ekoloģiskās pārejas ministrija</w:t>
            </w:r>
            <w:r>
              <w:t xml:space="preserve"> </w:t>
            </w:r>
          </w:p>
        </w:tc>
      </w:tr>
      <w:tr w:rsidR="003221AE" w14:paraId="5986656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746A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E02D4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F6585" w14:textId="77777777" w:rsidR="003221AE" w:rsidRDefault="003221AE" w:rsidP="00AE4D15">
            <w:pPr>
              <w:pStyle w:val="Standard"/>
              <w:snapToGrid w:val="0"/>
            </w:pPr>
          </w:p>
        </w:tc>
      </w:tr>
      <w:tr w:rsidR="003221AE" w14:paraId="74FE36F0" w14:textId="77777777" w:rsidTr="0075398C">
        <w:trPr>
          <w:trHeight w:hRule="exact" w:val="227"/>
        </w:trPr>
        <w:tc>
          <w:tcPr>
            <w:tcW w:w="152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E759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170225" w14:textId="77777777" w:rsidR="003221AE" w:rsidRDefault="003221AE" w:rsidP="00AE4D15">
            <w:pPr>
              <w:pStyle w:val="Standard"/>
              <w:snapToGrid w:val="0"/>
            </w:pPr>
          </w:p>
        </w:tc>
        <w:tc>
          <w:tcPr>
            <w:tcW w:w="1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23D9" w14:textId="77777777" w:rsidR="003221AE" w:rsidRDefault="003221AE" w:rsidP="00AE4D15">
            <w:pPr>
              <w:pStyle w:val="Standard"/>
              <w:snapToGrid w:val="0"/>
            </w:pPr>
          </w:p>
        </w:tc>
      </w:tr>
    </w:tbl>
    <w:p w14:paraId="578E7FCF" w14:textId="77777777" w:rsidR="003221AE" w:rsidRDefault="003221AE" w:rsidP="00AE4D15">
      <w:pPr>
        <w:pStyle w:val="SNNature"/>
      </w:pPr>
      <w:r>
        <w:t xml:space="preserve">Rīkojums</w:t>
      </w:r>
      <w:r>
        <w:t xml:space="preserve"> </w:t>
      </w:r>
    </w:p>
    <w:p w14:paraId="10CA1453" w14:textId="2A9E372B" w:rsidR="003221AE" w:rsidRDefault="003221AE" w:rsidP="00AE4D15">
      <w:pPr>
        <w:pStyle w:val="NormalWeb"/>
        <w:spacing w:after="284"/>
        <w:jc w:val="center"/>
        <w:rPr>
          <w:rStyle w:val="StrongEmphasis"/>
          <w:rFonts w:ascii="Times New Roman" w:hAnsi="Times New Roman" w:cs="Times New Roman"/>
        </w:rPr>
      </w:pPr>
      <w:r>
        <w:rPr>
          <w:rStyle w:val="StrongEmphasis"/>
          <w:rFonts w:ascii="Times New Roman" w:hAnsi="Times New Roman"/>
        </w:rPr>
        <w:t xml:space="preserve"> </w:t>
      </w:r>
      <w:r>
        <w:rPr>
          <w:rStyle w:val="StrongEmphasis"/>
          <w:rFonts w:ascii="Times New Roman" w:hAnsi="Times New Roman"/>
        </w:rPr>
        <w:t xml:space="preserve">par maksimāli pieļaujamo plastmasas saturu vienreizlietojamās plastmasas krūzēs</w:t>
      </w:r>
    </w:p>
    <w:p w14:paraId="337A6BC0" w14:textId="47338536" w:rsidR="003221AE" w:rsidRDefault="003221AE" w:rsidP="00AE4D15">
      <w:pPr>
        <w:spacing w:line="240" w:lineRule="auto"/>
        <w:jc w:val="center"/>
        <w:rPr>
          <w:b/>
        </w:rPr>
      </w:pPr>
      <w:r>
        <w:rPr>
          <w:i/>
          <w:iCs/>
        </w:rPr>
        <w:t xml:space="preserve">Nr</w:t>
      </w:r>
      <w:r>
        <w:t xml:space="preserve">.</w:t>
      </w:r>
      <w:r>
        <w:t xml:space="preserve"> </w:t>
      </w:r>
      <w:r>
        <w:t xml:space="preserve">TREP2112058A</w:t>
      </w:r>
    </w:p>
    <w:p w14:paraId="7A84760B" w14:textId="77777777" w:rsidR="003D00E7" w:rsidRDefault="003D00E7" w:rsidP="00AE4D15">
      <w:pPr>
        <w:spacing w:line="240" w:lineRule="auto"/>
      </w:pPr>
    </w:p>
    <w:p w14:paraId="46B18745" w14:textId="4B5D19CF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bCs/>
          <w:rFonts w:ascii="Times New Roman" w:hAnsi="Times New Roman"/>
        </w:rPr>
        <w:t xml:space="preserve">Attiecīgās grupas:</w:t>
      </w:r>
      <w:r>
        <w:t xml:space="preserve"> </w:t>
      </w:r>
      <w:r>
        <w:rPr>
          <w:i/>
          <w:sz w:val="24"/>
          <w:rFonts w:ascii="Times New Roman" w:hAnsi="Times New Roman"/>
        </w:rPr>
        <w:t xml:space="preserve">fiziskas vai juridiskas personas, kas par samaksu vai par brīvu piegādā, izmanto, izplata vai dara pieejamas vienreizlietojamas krūzes, kuras pilnīgi vai daļēji sastāv no plastmasas.</w:t>
      </w:r>
      <w:r>
        <w:rPr>
          <w:i/>
          <w:sz w:val="24"/>
          <w:rFonts w:ascii="Times New Roman" w:hAnsi="Times New Roman"/>
        </w:rPr>
        <w:t xml:space="preserve"> </w:t>
      </w:r>
    </w:p>
    <w:p w14:paraId="239F44E6" w14:textId="17F5440F" w:rsidR="009D19F3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Objekts</w:t>
      </w:r>
      <w:r>
        <w:rPr>
          <w:i/>
          <w:sz w:val="24"/>
          <w:rFonts w:ascii="Times New Roman" w:hAnsi="Times New Roman"/>
        </w:rPr>
        <w:t xml:space="preserve">: maksimāli pieļaujamā plastmasas satura pakāpeniskas samazināšanas trajektorija vienreizlietojamās plastmasas krūzēs.</w:t>
      </w:r>
    </w:p>
    <w:p w14:paraId="3022F56F" w14:textId="0D90C636" w:rsidR="00763273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Stāšanās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b/>
          <w:bCs/>
          <w:rFonts w:ascii="Times New Roman" w:hAnsi="Times New Roman"/>
        </w:rPr>
        <w:t xml:space="preserve">spēkā</w:t>
      </w:r>
      <w:r>
        <w:rPr>
          <w:i/>
          <w:sz w:val="24"/>
          <w:rFonts w:ascii="Times New Roman" w:hAnsi="Times New Roman"/>
        </w:rPr>
        <w:t xml:space="preserve">: nākamajā dienā pēc rīkojuma publicēšanas Oficiālajā Vēstnesī.</w:t>
      </w:r>
    </w:p>
    <w:p w14:paraId="482E80E9" w14:textId="6D6083EB" w:rsidR="003D00E7" w:rsidRPr="003221AE" w:rsidRDefault="00763273" w:rsidP="00AE4D15">
      <w:pPr>
        <w:spacing w:line="240" w:lineRule="auto"/>
        <w:jc w:val="both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b/>
          <w:rFonts w:ascii="Times New Roman" w:hAnsi="Times New Roman"/>
        </w:rPr>
        <w:t xml:space="preserve">Īss apraksts: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Šis rīkojums definē maksimāli pieļaujamo plastmasas saturu vienreizlietojamās plastmasas krūzēs, sākot ar 2021. gada 3. jūliju.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Maksimāli pieļaujamo līmeni pakāpeniski samazina līdz nulles vērtībai, sākot ar</w:t>
      </w:r>
      <w:r>
        <w:rPr>
          <w:i/>
          <w:sz w:val="24"/>
          <w:vertAlign w:val="superscript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2026. gada 1. janvāri.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2024. gadā jāsagatavo progresa ziņojums, lai pārraudzītu progresu attiecībā uz alternatīviem risinājumiem vienreizlietojamām krūzēm.</w:t>
      </w:r>
      <w:r>
        <w:rPr>
          <w:i/>
          <w:sz w:val="24"/>
          <w:rFonts w:ascii="Times New Roman" w:hAnsi="Times New Roman"/>
        </w:rPr>
        <w:t xml:space="preserve">  </w:t>
      </w:r>
      <w:r>
        <w:rPr>
          <w:i/>
          <w:sz w:val="24"/>
          <w:rFonts w:ascii="Times New Roman" w:hAnsi="Times New Roman"/>
        </w:rPr>
        <w:t xml:space="preserve">Krūzēm, kas ražotas vai importētas noteiktajos termiņos, ir noteikts termiņš krājumu iznīcināšanai.</w:t>
      </w:r>
    </w:p>
    <w:p w14:paraId="3B143F77" w14:textId="1EE9F5B5" w:rsidR="003221AE" w:rsidRPr="00AE4D15" w:rsidRDefault="003221AE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b/>
        </w:rPr>
        <w:t xml:space="preserve">Atsauces:</w:t>
      </w:r>
      <w:r>
        <w:rPr>
          <w:i/>
        </w:rPr>
        <w:t xml:space="preserve"> rīkojums ir veikts saskaņā ar D. 541-330. pantu, kas grozīts ar 2020. gada 31. decembra Dekrētu Nr.2020-1828 par dažu vienreiz lietojamu plastmasas izstrādājumu aizliegšanu.</w:t>
      </w:r>
    </w:p>
    <w:p w14:paraId="12D38363" w14:textId="77777777" w:rsidR="002B354A" w:rsidRPr="00AE4D15" w:rsidRDefault="002B354A" w:rsidP="00AE4D15">
      <w:pPr>
        <w:pStyle w:val="Standard"/>
        <w:autoSpaceDE w:val="0"/>
        <w:jc w:val="both"/>
        <w:rPr>
          <w:rFonts w:eastAsiaTheme="minorHAnsi"/>
          <w:i/>
          <w:kern w:val="0"/>
          <w:lang w:eastAsia="en-US"/>
        </w:rPr>
      </w:pPr>
    </w:p>
    <w:p w14:paraId="384E7470" w14:textId="3647BEE2" w:rsidR="00106A26" w:rsidRPr="00AE4D15" w:rsidRDefault="002B354A" w:rsidP="00AE4D15">
      <w:pPr>
        <w:pStyle w:val="Standard"/>
        <w:autoSpaceDE w:val="0"/>
        <w:jc w:val="both"/>
        <w:rPr>
          <w:i/>
          <w:kern w:val="0"/>
          <w:rFonts w:eastAsiaTheme="minorHAnsi"/>
        </w:rPr>
      </w:pPr>
      <w:r>
        <w:rPr>
          <w:i/>
          <w:iCs/>
        </w:rPr>
        <w:t xml:space="preserve">Šis rīkojums ir pieejams Légifrance mājaslapā </w:t>
      </w:r>
      <w:r>
        <w:t xml:space="preserve">(</w:t>
      </w:r>
      <w:hyperlink r:id="rId5" w:history="1">
        <w:r>
          <w:rPr>
            <w:i/>
          </w:rPr>
          <w:t xml:space="preserve">https://www.legifrance.gouv.fr</w:t>
        </w:r>
      </w:hyperlink>
      <w:r>
        <w:t xml:space="preserve">).</w:t>
      </w:r>
      <w:r>
        <w:rPr>
          <w:i/>
        </w:rPr>
        <w:t xml:space="preserve"> </w:t>
      </w:r>
    </w:p>
    <w:p w14:paraId="34D5BE36" w14:textId="77777777" w:rsidR="003221AE" w:rsidRPr="00AE4D15" w:rsidRDefault="003221AE" w:rsidP="00AE4D1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EEE913" w14:textId="7701491E" w:rsidR="00763273" w:rsidRDefault="00763273" w:rsidP="007B4BDD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Ekoloģiskās pārejas ministrs un ekonomikas, finanšu un ekonomikas atveseļošanas ministrs,</w:t>
      </w:r>
    </w:p>
    <w:p w14:paraId="723E0A3D" w14:textId="6366A89B" w:rsidR="007B4BDD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ņemot vērā Eiropas Parlamenta un Padomes 2015. gada 9. septembra Direktīvu (ES) 2015/1535, ar ko nosaka informācijas sniegšanas kārtību tehnisko noteikumu un Informācijas sabiedrības pakalpojumu noteikumu jomā, un paziņojumu Nr. xx Eiropas Komisijai xx;</w:t>
      </w:r>
    </w:p>
    <w:p w14:paraId="4F350E60" w14:textId="12FEDB29" w:rsidR="007B4BDD" w:rsidRPr="00AE4D15" w:rsidRDefault="007B4BDD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ņemot vērā Eiropas Parlamenta un Padomes 2019. gada 5. jūnija Direktīvu (ES) 2019/904 par dažu plastmasas izstrādājumu ietekmes uz vidi samazināšanu un jo īpaši tās 4. pantu;</w:t>
      </w:r>
    </w:p>
    <w:p w14:paraId="16702E02" w14:textId="6FC60A7A" w:rsidR="00763273" w:rsidRPr="00733AFF" w:rsidRDefault="00763273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ņemot vērā Vides kodeksu, jo īpaši L. 541-15-10. pantu un D. 541-330. panta 7. punktu;</w:t>
      </w:r>
      <w:r>
        <w:rPr>
          <w:sz w:val="24"/>
          <w:rFonts w:ascii="Times New Roman" w:hAnsi="Times New Roman"/>
        </w:rPr>
        <w:t xml:space="preserve"> </w:t>
      </w:r>
    </w:p>
    <w:p w14:paraId="177AE15F" w14:textId="68514660" w:rsidR="00EE18AF" w:rsidRDefault="00763273" w:rsidP="008C49D1">
      <w:pPr>
        <w:spacing w:line="240" w:lineRule="auto"/>
        <w:jc w:val="both"/>
      </w:pPr>
      <w:r>
        <w:rPr>
          <w:sz w:val="24"/>
          <w:rFonts w:ascii="Times New Roman" w:hAnsi="Times New Roman"/>
        </w:rPr>
        <w:t xml:space="preserve">ņemot vērā 2020. gada 31. decembra Dekrētu Nr. 2020-1828 par dažu vienreiz lietojamu plastmasas izstrādājumu aizliegšanu, un jo īpaši tā 3. pantu;</w:t>
      </w:r>
      <w:r>
        <w:rPr>
          <w:sz w:val="24"/>
          <w:rFonts w:ascii="Times New Roman" w:hAnsi="Times New Roman"/>
        </w:rPr>
        <w:t xml:space="preserve"> </w:t>
      </w:r>
    </w:p>
    <w:p w14:paraId="55A5E3C4" w14:textId="0B8B113B" w:rsidR="00F17B54" w:rsidRPr="00AB2D96" w:rsidRDefault="007B4BDD" w:rsidP="00F17B54">
      <w:pPr>
        <w:spacing w:line="240" w:lineRule="auto"/>
        <w:jc w:val="both"/>
        <w:rPr>
          <w:sz w:val="24"/>
          <w:szCs w:val="24"/>
          <w:highlight w:val="yellow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ņemot vērā apsvērumus, kas izdarīti sabiedriskās apspriešanas laikā starp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un </w:t>
      </w:r>
      <w:r>
        <w:rPr>
          <w:sz w:val="24"/>
          <w:highlight w:val="yellow"/>
          <w:rFonts w:ascii="Times New Roman" w:hAnsi="Times New Roman"/>
        </w:rPr>
        <w:t xml:space="preserve">xx</w:t>
      </w:r>
      <w:r>
        <w:rPr>
          <w:sz w:val="24"/>
          <w:rFonts w:ascii="Times New Roman" w:hAnsi="Times New Roman"/>
        </w:rPr>
        <w:t xml:space="preserve"> saskaņā ar Vides kodeksa L123-19-1 pantu;</w:t>
      </w:r>
    </w:p>
    <w:p w14:paraId="581FC3D2" w14:textId="77777777" w:rsidR="00AE4D15" w:rsidRPr="00733AFF" w:rsidRDefault="00AE4D15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84586" w14:textId="1BD79584" w:rsidR="00763273" w:rsidRDefault="00763273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IZDOD ŠĀDU DEKRĒTU.</w:t>
      </w:r>
    </w:p>
    <w:p w14:paraId="338017A6" w14:textId="77777777" w:rsidR="00AE4D15" w:rsidRPr="00AE4D15" w:rsidRDefault="00AE4D15" w:rsidP="00AE4D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7F958" w14:textId="77777777" w:rsidR="009A22DE" w:rsidRPr="00733AFF" w:rsidRDefault="009A22DE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1. pants</w:t>
      </w:r>
    </w:p>
    <w:p w14:paraId="18A02092" w14:textId="415925EE" w:rsidR="00D1255D" w:rsidRDefault="002B1AAC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Piemērojot Vides kodeksa D. 541-330. panta 7. punktu, “maksimālais plastmasas saturs” ir maksimālais plastmasas masas procentuālais daudzums.</w:t>
      </w:r>
      <w:r>
        <w:rPr>
          <w:sz w:val="24"/>
          <w:rFonts w:ascii="Times New Roman" w:hAnsi="Times New Roman"/>
        </w:rPr>
        <w:t xml:space="preserve">  </w:t>
      </w:r>
    </w:p>
    <w:p w14:paraId="07F42030" w14:textId="77777777" w:rsidR="00D1255D" w:rsidRDefault="00D1255D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15219" w14:textId="77777777" w:rsidR="006B27B9" w:rsidRPr="00AE4D15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2. pants</w:t>
      </w:r>
    </w:p>
    <w:p w14:paraId="42BB73FD" w14:textId="3BBAD050" w:rsidR="00D61223" w:rsidRDefault="00D70EFE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 – Maksimālais pieļaujamais plastmasas saturs krūzēs, kas minētas D. 541-330. panta 7. punktā, ir:</w:t>
      </w:r>
    </w:p>
    <w:p w14:paraId="3E115AD9" w14:textId="35646C56" w:rsidR="007E2794" w:rsidRDefault="007E2794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15 % no 2021. gada 3. jūlija;</w:t>
      </w:r>
    </w:p>
    <w:p w14:paraId="23F6E32F" w14:textId="0D6E8369" w:rsidR="005260E4" w:rsidRDefault="00BD68E9" w:rsidP="007E2794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8 % no 2024. gada 1. janvāra;</w:t>
      </w:r>
    </w:p>
    <w:p w14:paraId="0C81AF8F" w14:textId="35CB6EF0" w:rsidR="006B27B9" w:rsidRDefault="00AE012F" w:rsidP="0020698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Ņemot vērā II punktā minētā progresa ziņojuma secinājumus, no 2026. gada 1. janvāra atļautās krūzes ir tās, kas nesatur plastmasu vai mikroelementus.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Šo termiņu var pārskatīt saskaņā ar progresa ziņojuma secinājumiem.</w:t>
      </w:r>
    </w:p>
    <w:p w14:paraId="73A2C6A4" w14:textId="71C39E8F" w:rsidR="00DD2217" w:rsidRDefault="00D70EFE" w:rsidP="002B5FC6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 — 2024. gadā, apspriežoties ar ieinteresētajām personām, ir jāsagatavo progresa ziņojums par alternatīviem risinājumiem vienreizlietojamām plastmasas krūzēm, lai novērtētu plastmasas neesamības tehnisko iespējamību krūzēs, kuras paliek atļautas no 2026. gada 1. janvāra.</w:t>
      </w:r>
      <w:r>
        <w:rPr>
          <w:sz w:val="24"/>
          <w:rFonts w:ascii="Times New Roman" w:hAnsi="Times New Roman"/>
        </w:rPr>
        <w:t xml:space="preserve"> </w:t>
      </w:r>
    </w:p>
    <w:p w14:paraId="6F380BA2" w14:textId="417EA6CD" w:rsidR="00F311C2" w:rsidRPr="00F311C2" w:rsidRDefault="00FB6B46" w:rsidP="00F311C2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— Krūzēm, kas ražotas vai importētas pirms katra no I punktā minētajiem termiņiem un kuras atbilst maksimāli atļautajam plastmasas saturam pirms šiem termiņiem, piešķir sešu mēnešu periodu krājumu iznīcināšanai pēc šiem termiņiem.</w:t>
      </w:r>
    </w:p>
    <w:p w14:paraId="6638B9F8" w14:textId="48B576AE" w:rsidR="006B27B9" w:rsidRPr="00733AFF" w:rsidRDefault="006B27B9" w:rsidP="00AE4D15">
      <w:pPr>
        <w:spacing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3. pants</w:t>
      </w:r>
    </w:p>
    <w:p w14:paraId="294341B3" w14:textId="39CAC495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Riska novēršanas ģenerāldirektors un Uzņēmumu ģenerāldirektors ir atbildīgi par šā rīkojuma izpildi, ko publicē Francijas Republikas Oficiālajā Vēstnesī.</w:t>
      </w:r>
    </w:p>
    <w:p w14:paraId="143C4B5E" w14:textId="77777777" w:rsidR="006B27B9" w:rsidRDefault="006B27B9" w:rsidP="00AE4D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418BB" w14:textId="77777777" w:rsidR="006B27B9" w:rsidRDefault="006B27B9" w:rsidP="00AE4D15">
      <w:pPr>
        <w:spacing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Datums</w:t>
      </w:r>
      <w:r>
        <w:rPr>
          <w:sz w:val="24"/>
          <w:rFonts w:ascii="Times New Roman" w:hAnsi="Times New Roman"/>
        </w:rPr>
        <w:t xml:space="preserve"> </w:t>
      </w:r>
    </w:p>
    <w:p w14:paraId="4BD5B7FE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Ekoloģiskās pārejas ministrs,</w:t>
      </w:r>
    </w:p>
    <w:p w14:paraId="610060FD" w14:textId="77777777" w:rsidR="005F2B32" w:rsidRP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Ministra vārdā:</w:t>
      </w:r>
    </w:p>
    <w:p w14:paraId="6695C251" w14:textId="77777777" w:rsidR="005F2B32" w:rsidRDefault="005F2B32" w:rsidP="005F2B32">
      <w:pPr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Riska novēršanas ģenerāldirektors</w:t>
      </w:r>
      <w:r>
        <w:rPr>
          <w:sz w:val="24"/>
          <w:rFonts w:ascii="Times New Roman" w:hAnsi="Times New Roman"/>
        </w:rPr>
        <w:t xml:space="preserve"> </w:t>
      </w:r>
    </w:p>
    <w:p w14:paraId="1A4C99A9" w14:textId="77777777" w:rsidR="005F2B32" w:rsidRDefault="005F2B32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AFA205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91007D" w14:textId="6872ADF5" w:rsidR="007B4BDD" w:rsidRPr="007B4BDD" w:rsidRDefault="007B4BDD" w:rsidP="00AB2D96">
      <w:pPr>
        <w:spacing w:line="240" w:lineRule="auto"/>
        <w:ind w:left="424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Ekonomikas un finanšu un ekonomikas atveseļošanas ministrs</w:t>
      </w:r>
    </w:p>
    <w:p w14:paraId="0ACC9840" w14:textId="77777777" w:rsidR="007B4BDD" w:rsidRPr="007B4BDD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Ministra vārdā:</w:t>
      </w:r>
    </w:p>
    <w:p w14:paraId="77E74113" w14:textId="65F984BF" w:rsidR="00F6699E" w:rsidRDefault="007B4BDD" w:rsidP="00AB2D96">
      <w:pPr>
        <w:spacing w:line="240" w:lineRule="auto"/>
        <w:ind w:left="3540" w:firstLine="708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Uzņēmumu ģenerāldirektors</w:t>
      </w:r>
    </w:p>
    <w:p w14:paraId="7DB87CFF" w14:textId="77777777" w:rsidR="00F6699E" w:rsidRDefault="00F6699E" w:rsidP="005F2B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FB061" w14:textId="17A63B86" w:rsidR="00BF637F" w:rsidRPr="00733AFF" w:rsidRDefault="008E73A1" w:rsidP="00AB2D96">
      <w:pPr>
        <w:rPr>
          <w:rFonts w:ascii="Times New Roman" w:hAnsi="Times New Roman" w:cs="Times New Roman"/>
          <w:sz w:val="24"/>
          <w:szCs w:val="24"/>
        </w:rPr>
      </w:pPr>
    </w:p>
    <w:sectPr w:rsidR="00BF637F" w:rsidRPr="0073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43A6"/>
    <w:multiLevelType w:val="hybridMultilevel"/>
    <w:tmpl w:val="34F6495C"/>
    <w:lvl w:ilvl="0" w:tplc="020254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BA1"/>
    <w:multiLevelType w:val="hybridMultilevel"/>
    <w:tmpl w:val="5CF6D830"/>
    <w:lvl w:ilvl="0" w:tplc="901AA7A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EBC"/>
    <w:multiLevelType w:val="hybridMultilevel"/>
    <w:tmpl w:val="3EF46994"/>
    <w:lvl w:ilvl="0" w:tplc="4E78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73"/>
    <w:rsid w:val="00000EC1"/>
    <w:rsid w:val="000077F1"/>
    <w:rsid w:val="0004588F"/>
    <w:rsid w:val="000A6EB2"/>
    <w:rsid w:val="000F5F9F"/>
    <w:rsid w:val="00106A26"/>
    <w:rsid w:val="00117C37"/>
    <w:rsid w:val="00121371"/>
    <w:rsid w:val="00122D87"/>
    <w:rsid w:val="00141A34"/>
    <w:rsid w:val="00162611"/>
    <w:rsid w:val="0018140A"/>
    <w:rsid w:val="0018241B"/>
    <w:rsid w:val="001B237F"/>
    <w:rsid w:val="00215ADA"/>
    <w:rsid w:val="002273B6"/>
    <w:rsid w:val="002678E0"/>
    <w:rsid w:val="00283922"/>
    <w:rsid w:val="002A01C4"/>
    <w:rsid w:val="002B1AAC"/>
    <w:rsid w:val="002B1CA6"/>
    <w:rsid w:val="002B354A"/>
    <w:rsid w:val="002B5FC6"/>
    <w:rsid w:val="002D74EA"/>
    <w:rsid w:val="002E6B39"/>
    <w:rsid w:val="003221AE"/>
    <w:rsid w:val="00342219"/>
    <w:rsid w:val="00363F2D"/>
    <w:rsid w:val="00370790"/>
    <w:rsid w:val="003723F8"/>
    <w:rsid w:val="00387990"/>
    <w:rsid w:val="00387BAA"/>
    <w:rsid w:val="003D00E7"/>
    <w:rsid w:val="003D5107"/>
    <w:rsid w:val="003E4344"/>
    <w:rsid w:val="003F12A6"/>
    <w:rsid w:val="00401482"/>
    <w:rsid w:val="0040286F"/>
    <w:rsid w:val="00423474"/>
    <w:rsid w:val="004354EB"/>
    <w:rsid w:val="00482B59"/>
    <w:rsid w:val="004B6799"/>
    <w:rsid w:val="004F292D"/>
    <w:rsid w:val="004F6DBE"/>
    <w:rsid w:val="00513845"/>
    <w:rsid w:val="00524256"/>
    <w:rsid w:val="005260E4"/>
    <w:rsid w:val="0055159D"/>
    <w:rsid w:val="0059117B"/>
    <w:rsid w:val="005C6909"/>
    <w:rsid w:val="005C6D5F"/>
    <w:rsid w:val="005E274E"/>
    <w:rsid w:val="005E3324"/>
    <w:rsid w:val="005F110E"/>
    <w:rsid w:val="005F2B32"/>
    <w:rsid w:val="0064736D"/>
    <w:rsid w:val="006722D5"/>
    <w:rsid w:val="006919E7"/>
    <w:rsid w:val="00694BF3"/>
    <w:rsid w:val="006A52C5"/>
    <w:rsid w:val="006B24DB"/>
    <w:rsid w:val="006B2699"/>
    <w:rsid w:val="006B27B9"/>
    <w:rsid w:val="006B2E1F"/>
    <w:rsid w:val="006C2446"/>
    <w:rsid w:val="006D1241"/>
    <w:rsid w:val="007066BD"/>
    <w:rsid w:val="00733AFF"/>
    <w:rsid w:val="00742BBE"/>
    <w:rsid w:val="00762BB1"/>
    <w:rsid w:val="00763273"/>
    <w:rsid w:val="00774498"/>
    <w:rsid w:val="007A654B"/>
    <w:rsid w:val="007B4BDD"/>
    <w:rsid w:val="007D66FD"/>
    <w:rsid w:val="007E2794"/>
    <w:rsid w:val="007E6DA3"/>
    <w:rsid w:val="008048BC"/>
    <w:rsid w:val="0080503C"/>
    <w:rsid w:val="00805A4E"/>
    <w:rsid w:val="00822DAC"/>
    <w:rsid w:val="00823A6B"/>
    <w:rsid w:val="00853577"/>
    <w:rsid w:val="00861DF6"/>
    <w:rsid w:val="00866C7A"/>
    <w:rsid w:val="0088162F"/>
    <w:rsid w:val="008A2977"/>
    <w:rsid w:val="008C49D1"/>
    <w:rsid w:val="008C7286"/>
    <w:rsid w:val="008D0D3B"/>
    <w:rsid w:val="008E73A1"/>
    <w:rsid w:val="008F57A1"/>
    <w:rsid w:val="00911E42"/>
    <w:rsid w:val="009477DF"/>
    <w:rsid w:val="00952CB3"/>
    <w:rsid w:val="009838D9"/>
    <w:rsid w:val="009A22DE"/>
    <w:rsid w:val="009A7FB3"/>
    <w:rsid w:val="009B665B"/>
    <w:rsid w:val="009D19F3"/>
    <w:rsid w:val="00A14D1B"/>
    <w:rsid w:val="00A20387"/>
    <w:rsid w:val="00A22D8F"/>
    <w:rsid w:val="00A36DEC"/>
    <w:rsid w:val="00A659BB"/>
    <w:rsid w:val="00A75B5E"/>
    <w:rsid w:val="00AA45AC"/>
    <w:rsid w:val="00AB2D96"/>
    <w:rsid w:val="00AE012F"/>
    <w:rsid w:val="00AE4D15"/>
    <w:rsid w:val="00AF321C"/>
    <w:rsid w:val="00B143B7"/>
    <w:rsid w:val="00B30F08"/>
    <w:rsid w:val="00B44787"/>
    <w:rsid w:val="00B506B2"/>
    <w:rsid w:val="00B738C5"/>
    <w:rsid w:val="00B74B3E"/>
    <w:rsid w:val="00BD68E9"/>
    <w:rsid w:val="00C22CF3"/>
    <w:rsid w:val="00C2576F"/>
    <w:rsid w:val="00C33C40"/>
    <w:rsid w:val="00C92B4A"/>
    <w:rsid w:val="00CC06F9"/>
    <w:rsid w:val="00CC6E54"/>
    <w:rsid w:val="00CD723B"/>
    <w:rsid w:val="00CE5CDB"/>
    <w:rsid w:val="00CE6194"/>
    <w:rsid w:val="00D11BF2"/>
    <w:rsid w:val="00D1255D"/>
    <w:rsid w:val="00D15AED"/>
    <w:rsid w:val="00D61223"/>
    <w:rsid w:val="00D70EFE"/>
    <w:rsid w:val="00D816DF"/>
    <w:rsid w:val="00DA4A7C"/>
    <w:rsid w:val="00DD2217"/>
    <w:rsid w:val="00DE1B9A"/>
    <w:rsid w:val="00E11BA6"/>
    <w:rsid w:val="00E20959"/>
    <w:rsid w:val="00E25026"/>
    <w:rsid w:val="00E45DCE"/>
    <w:rsid w:val="00E6194F"/>
    <w:rsid w:val="00E91183"/>
    <w:rsid w:val="00E96C41"/>
    <w:rsid w:val="00EA477A"/>
    <w:rsid w:val="00EB3F63"/>
    <w:rsid w:val="00EC0E2C"/>
    <w:rsid w:val="00ED674D"/>
    <w:rsid w:val="00EE1824"/>
    <w:rsid w:val="00EE18AF"/>
    <w:rsid w:val="00EE5A5D"/>
    <w:rsid w:val="00F17B54"/>
    <w:rsid w:val="00F27F08"/>
    <w:rsid w:val="00F311C2"/>
    <w:rsid w:val="00F6699E"/>
    <w:rsid w:val="00FB34D8"/>
    <w:rsid w:val="00FB69AD"/>
    <w:rsid w:val="00FB6B46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D5D6"/>
  <w15:chartTrackingRefBased/>
  <w15:docId w15:val="{E401B12C-71C5-4C58-9F5F-84CE2690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221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NREPUBLIQUE">
    <w:name w:val="SNREPUBLIQUE"/>
    <w:basedOn w:val="Standard"/>
    <w:rsid w:val="003221AE"/>
    <w:pPr>
      <w:jc w:val="center"/>
    </w:pPr>
    <w:rPr>
      <w:b/>
      <w:bCs/>
      <w:szCs w:val="20"/>
    </w:rPr>
  </w:style>
  <w:style w:type="paragraph" w:customStyle="1" w:styleId="SNTimbre">
    <w:name w:val="SNTimbre"/>
    <w:basedOn w:val="Standard"/>
    <w:rsid w:val="003221AE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Nature">
    <w:name w:val="SNNature"/>
    <w:basedOn w:val="Standard"/>
    <w:next w:val="Normal"/>
    <w:rsid w:val="003221A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styleId="NormalWeb">
    <w:name w:val="Normal (Web)"/>
    <w:basedOn w:val="Standard"/>
    <w:rsid w:val="003221AE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efaultParagraphFont"/>
    <w:rsid w:val="003221AE"/>
    <w:rPr>
      <w:b/>
      <w:bCs/>
    </w:rPr>
  </w:style>
  <w:style w:type="character" w:customStyle="1" w:styleId="Internetlink">
    <w:name w:val="Internet link"/>
    <w:basedOn w:val="DefaultParagraphFont"/>
    <w:rsid w:val="00322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6C7A"/>
    <w:pPr>
      <w:ind w:left="720"/>
      <w:contextualSpacing/>
    </w:pPr>
  </w:style>
  <w:style w:type="paragraph" w:customStyle="1" w:styleId="Default">
    <w:name w:val="Default"/>
    <w:rsid w:val="00EE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54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FEVRE Cecile</dc:creator>
  <cp:keywords/>
  <dc:description/>
  <cp:lastModifiedBy>Dimitris Dimitriadis</cp:lastModifiedBy>
  <cp:revision>4</cp:revision>
  <cp:lastPrinted>2020-07-07T16:39:00Z</cp:lastPrinted>
  <dcterms:created xsi:type="dcterms:W3CDTF">2021-04-28T09:13:00Z</dcterms:created>
  <dcterms:modified xsi:type="dcterms:W3CDTF">2021-04-30T09:23:00Z</dcterms:modified>
</cp:coreProperties>
</file>