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466859EA" w:rsidR="00DF230E" w:rsidRDefault="00C641B5" w:rsidP="00E044E9">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00194479">
            <wp:simplePos x="0" y="0"/>
            <wp:positionH relativeFrom="column">
              <wp:posOffset>3350895</wp:posOffset>
            </wp:positionH>
            <wp:positionV relativeFrom="paragraph">
              <wp:posOffset>-1270</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49EEBBAE">
                <wp:simplePos x="0" y="0"/>
                <wp:positionH relativeFrom="column">
                  <wp:posOffset>3829464</wp:posOffset>
                </wp:positionH>
                <wp:positionV relativeFrom="paragraph">
                  <wp:posOffset>1132</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ΣΟΥΗΔΙΚΗ ΥΠΗΡΕΣΙΑ ΜΕΤΑΦΟΡΩΝ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301.55pt;margin-top:.1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" fillcolor="white [3201]" stroked="f" strokeweight=".5pt">
                <v:textbox inset="0,0,0,0">
                  <w:txbxContent>
                    <w:p w14:paraId="0E4F1C78" w14:textId="649D1583" w:rsidR="00BF48CC" w:rsidRPr="00BF48CC" w:rsidRDefault="00BF48CC">
                      <w:pPr>
                        <w:rPr>
                          <w:b/>
                          <w:bCs/>
                          <w:sz w:val="22"/>
                          <w:szCs w:val="22"/>
                        </w:rPr>
                      </w:pPr>
                      <w:r>
                        <w:rPr>
                          <w:b/>
                          <w:sz w:val="22"/>
                        </w:rPr>
                        <w:t>ΣΟΥΗΔΙΚΗ ΥΠΗΡΕΣΙΑ ΜΕΤΑΦΟΡΩΝ</w:t>
                      </w:r>
                    </w:p>
                  </w:txbxContent>
                </v:textbox>
              </v:shape>
            </w:pict>
          </mc:Fallback>
        </mc:AlternateContent>
      </w:r>
      <w:r w:rsidR="00BF48CC">
        <w:t xml:space="preserve">Κώδικας Νόμων της Σουηδικής </w:t>
      </w:r>
      <w:r>
        <w:br/>
      </w:r>
      <w:r w:rsidR="00BF48CC">
        <w:t>Υπηρεσίας Μεταφορών</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Οι κανονισμοί της Σουηδικής Υπηρεσίας Μεταφορών σχετικά με τις </w:t>
      </w:r>
      <w:sdt>
        <w:sdtPr>
          <w:alias w:val="Κάντε κλικ εδώ και εισάγετε κείμενο"/>
          <w:tag w:val="Rub"/>
          <w:id w:val="1080104925"/>
          <w:placeholder>
            <w:docPart w:val="F22C8F9D5F9340BE9A821B78F374FAD6"/>
          </w:placeholder>
          <w:dataBinding w:prefixMappings="xmlns:ns0='consensis-fs'" w:xpath="/ns0:root[1]/ns0:fs-fields[1]/ns0:fs-heading[1]" w:storeItemID="{F222B965-9C48-4AC7-962E-E2AF3EEF1550}"/>
          <w:text/>
        </w:sdtPr>
        <w:sdtContent>
          <w:r>
            <w:t>τεχνικές απαιτήσεις για συνδυασμούς οχημάτων μήκους άνω των 25,25 μέτρων</w:t>
          </w:r>
        </w:sdtContent>
      </w:sdt>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Έτος"/>
                                <w:tag w:val="År"/>
                                <w:id w:val="-1222900966"/>
                                <w:showingPlcHdr/>
                                <w:dataBinding w:prefixMappings="xmlns:ns0='consensis-fs'" w:xpath="/ns0:root[1]/ns0:fs-fields[1]/ns0:fs-year[1]" w:storeItemID="{F222B965-9C48-4AC7-962E-E2AF3EEF1550}"/>
                                <w:text/>
                              </w:sdtPr>
                              <w:sdtContent>
                                <w:r w:rsidR="00E044E9">
                                  <w:rPr>
                                    <w:rStyle w:val="PlaceholderText"/>
                                  </w:rPr>
                                  <w:t>[Έτος]</w:t>
                                </w:r>
                              </w:sdtContent>
                            </w:sdt>
                            <w:r w:rsidR="00E044E9">
                              <w:t>:</w:t>
                            </w:r>
                            <w:sdt>
                              <w:sdtPr>
                                <w:alias w:val="Αριθ."/>
                                <w:tag w:val="Nr"/>
                                <w:id w:val="1068315890"/>
                                <w:showingPlcHdr/>
                                <w:dataBinding w:prefixMappings="xmlns:ns0='consensis-fs'" w:xpath="/ns0:root[1]/ns0:fs-fields[1]/ns0:fs-no[1]" w:storeItemID="{F222B965-9C48-4AC7-962E-E2AF3EEF1550}"/>
                                <w:text/>
                              </w:sdtPr>
                              <w:sdtContent>
                                <w:r w:rsidR="00E044E9">
                                  <w:rPr>
                                    <w:rStyle w:val="PlaceholderText"/>
                                  </w:rPr>
                                  <w:t>[Αριθ.]</w:t>
                                </w:r>
                              </w:sdtContent>
                            </w:sdt>
                          </w:p>
                          <w:p w14:paraId="7AC60FE8" w14:textId="77777777" w:rsidR="00925C91" w:rsidRDefault="00925C91" w:rsidP="001E320C">
                            <w:pPr>
                              <w:pStyle w:val="Trycket"/>
                              <w:shd w:val="clear" w:color="auto" w:fill="auto"/>
                            </w:pPr>
                            <w:r>
                              <w:t>Δημοσιεύτηκαν</w:t>
                            </w:r>
                            <w:r>
                              <w:br/>
                              <w:t xml:space="preserve">στις </w:t>
                            </w:r>
                            <w:sdt>
                              <w:sdtPr>
                                <w:alias w:val="Επιλέξτε ημερομηνία"/>
                                <w:tag w:val="Utkom datum"/>
                                <w:id w:val="1764647152"/>
                                <w:showingPlcHdr/>
                                <w:dataBinding w:prefixMappings="xmlns:ns0='consensis-fs'" w:xpath="/ns0:root[1]/ns0:fs-fields[1]/ns0:fs-date[1]" w:storeItemID="{F222B965-9C48-4AC7-962E-E2AF3EEF1550}"/>
                                <w:date>
                                  <w:dateFormat w:val="d MMMM yyyy"/>
                                  <w:lid w:val="el-GR"/>
                                  <w:storeMappedDataAs w:val="dateTime"/>
                                  <w:calendar w:val="gregorian"/>
                                </w:date>
                              </w:sdtPr>
                              <w:sdtContent>
                                <w:r>
                                  <w:rPr>
                                    <w:rStyle w:val="PlaceholderText"/>
                                  </w:rPr>
                                  <w:t>[Επιλέξτε ημερομηνία]</w:t>
                                </w:r>
                              </w:sdtContent>
                            </w:sdt>
                          </w:p>
                          <w:sdt>
                            <w:sdtPr>
                              <w:alias w:val="Να συμπληρωθεί η σειρά"/>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ΟΔΟΙ</w:t>
                                </w:r>
                              </w:p>
                            </w:sdtContent>
                          </w:sdt>
                          <w:p w14:paraId="615A4AE6" w14:textId="77777777" w:rsidR="00925C91" w:rsidRPr="007C403E" w:rsidRDefault="00000000" w:rsidP="007C403E">
                            <w:pPr>
                              <w:pStyle w:val="Underserie"/>
                              <w:rPr>
                                <w:bCs/>
                              </w:rPr>
                            </w:pPr>
                            <w:sdt>
                              <w:sdtPr>
                                <w:alias w:val="Να συμπληρωθούν οι επιμέρους σειρές"/>
                                <w:tag w:val="Userie"/>
                                <w:id w:val="1607690029"/>
                                <w:showingPlcHdr/>
                                <w:dataBinding w:prefixMappings="xmlns:ns0='consensis-fs'" w:xpath="/ns0:root[1]/ns0:fs-fields[1]/ns0:fs-subseries[1]" w:storeItemID="{F222B965-9C48-4AC7-962E-E2AF3EEF1550}"/>
                                <w:text/>
                              </w:sdtPr>
                              <w:sdtContent>
                                <w:r w:rsidR="00E044E9">
                                  <w:rPr>
                                    <w:rStyle w:val="PlaceholderText"/>
                                  </w:rPr>
                                  <w:t>[Να συμπληρωθούν οι επιμέρους σειρές]</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Έτος"/>
                          <w:tag w:val="År"/>
                          <w:id w:val="-1222900966"/>
                          <w:showingPlcHdr/>
                          <w:dataBinding w:prefixMappings="xmlns:ns0='consensis-fs'" w:xpath="/ns0:root[1]/ns0:fs-fields[1]/ns0:fs-year[1]" w:storeItemID="{F222B965-9C48-4AC7-962E-E2AF3EEF1550}"/>
                          <w:text/>
                        </w:sdtPr>
                        <w:sdtEndPr/>
                        <w:sdtContent>
                          <w:r>
                            <w:rPr>
                              <w:rStyle w:val="PlaceholderText"/>
                            </w:rPr>
                            <w:t xml:space="preserve">[Έτος]</w:t>
                          </w:r>
                        </w:sdtContent>
                      </w:sdt>
                      <w:r>
                        <w:t xml:space="preserve">:</w:t>
                      </w:r>
                      <w:sdt>
                        <w:sdtPr>
                          <w:alias w:val="Αριθ."/>
                          <w:tag w:val="Nr"/>
                          <w:id w:val="1068315890"/>
                          <w:showingPlcHdr/>
                          <w:dataBinding w:prefixMappings="xmlns:ns0='consensis-fs'" w:xpath="/ns0:root[1]/ns0:fs-fields[1]/ns0:fs-no[1]" w:storeItemID="{F222B965-9C48-4AC7-962E-E2AF3EEF1550}"/>
                          <w:text/>
                        </w:sdtPr>
                        <w:sdtEndPr/>
                        <w:sdtContent>
                          <w:r>
                            <w:rPr>
                              <w:rStyle w:val="PlaceholderText"/>
                            </w:rPr>
                            <w:t xml:space="preserve">[Αριθ.]</w:t>
                          </w:r>
                        </w:sdtContent>
                      </w:sdt>
                    </w:p>
                    <w:p w14:paraId="7AC60FE8" w14:textId="77777777" w:rsidR="00925C91" w:rsidRDefault="00925C91" w:rsidP="001E320C">
                      <w:pPr>
                        <w:pStyle w:val="Trycket"/>
                        <w:shd w:val="clear" w:color="auto" w:fill="auto"/>
                      </w:pPr>
                      <w:r>
                        <w:t xml:space="preserve">Δημοσιεύτηκαν</w:t>
                      </w:r>
                      <w:r>
                        <w:br/>
                      </w:r>
                      <w:r>
                        <w:t xml:space="preserve">στις </w:t>
                      </w:r>
                      <w:sdt>
                        <w:sdtPr>
                          <w:alias w:val="Επιλέξτε ημερομηνία"/>
                          <w:tag w:val="Utkom datum"/>
                          <w:id w:val="1764647152"/>
                          <w:showingPlcHdr/>
                          <w:dataBinding w:prefixMappings="xmlns:ns0='consensis-fs'" w:xpath="/ns0:root[1]/ns0:fs-fields[1]/ns0:fs-date[1]" w:storeItemID="{F222B965-9C48-4AC7-962E-E2AF3EEF1550}"/>
                          <w:date>
                            <w:dateFormat w:val="d MMMM yyyy"/>
                            <w:lid w:val="el-GR"/>
                            <w:storeMappedDataAs w:val="dateTime"/>
                            <w:calendar w:val="gregorian"/>
                          </w:date>
                        </w:sdtPr>
                        <w:sdtEndPr/>
                        <w:sdtContent>
                          <w:r>
                            <w:rPr>
                              <w:rStyle w:val="PlaceholderText"/>
                            </w:rPr>
                            <w:t xml:space="preserve">[Επιλέξτε ημερομηνία]</w:t>
                          </w:r>
                        </w:sdtContent>
                      </w:sdt>
                    </w:p>
                    <w:sdt>
                      <w:sdtPr>
                        <w:alias w:val="Να συμπληρωθεί η σειρά"/>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ΟΔΟΙ</w:t>
                          </w:r>
                        </w:p>
                      </w:sdtContent>
                    </w:sdt>
                    <w:p w14:paraId="615A4AE6" w14:textId="77777777" w:rsidR="00925C91" w:rsidRPr="007C403E" w:rsidRDefault="00E044E9" w:rsidP="007C403E">
                      <w:pPr>
                        <w:pStyle w:val="Underserie"/>
                        <w:rPr>
                          <w:bCs/>
                        </w:rPr>
                      </w:pPr>
                      <w:sdt>
                        <w:sdtPr>
                          <w:alias w:val="Να συμπληρωθούν οι επιμέρους σειρές"/>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[Να συμπληρωθούν οι επιμέρους σειρές]</w:t>
                          </w:r>
                        </w:sdtContent>
                      </w:sdt>
                    </w:p>
                  </w:txbxContent>
                </v:textbox>
                <w10:wrap anchorx="page" anchory="page"/>
                <w10:anchorlock/>
              </v:shape>
            </w:pict>
          </mc:Fallback>
        </mc:AlternateContent>
      </w:r>
      <w:r>
        <w:t xml:space="preserve">εγκρίθηκαν στις </w:t>
      </w:r>
      <w:sdt>
        <w:sdtPr>
          <w:rPr>
            <w:szCs w:val="22"/>
          </w:rPr>
          <w:alias w:val="Επιλέξτε ημερομηνία"/>
          <w:tag w:val="Välj ett datum"/>
          <w:id w:val="1438946608"/>
          <w:placeholder>
            <w:docPart w:val="0EA98AAD02484BC4BACB240D92FCD4DF"/>
          </w:placeholder>
          <w:showingPlcHdr/>
          <w:date>
            <w:dateFormat w:val="d MMMM yyyy"/>
            <w:lid w:val="el-GR"/>
            <w:storeMappedDataAs w:val="dateTime"/>
            <w:calendar w:val="gregorian"/>
          </w:date>
        </w:sdtPr>
        <w:sdtContent>
          <w:r>
            <w:rPr>
              <w:rStyle w:val="PlaceholderText"/>
            </w:rPr>
            <w:t>[Επιλέξτε ημερομηνία]</w:t>
          </w:r>
        </w:sdtContent>
      </w:sdt>
      <w:r>
        <w:t>.</w:t>
      </w:r>
    </w:p>
    <w:p w14:paraId="5FF84AFF" w14:textId="6FCE1252" w:rsidR="00E43EE1" w:rsidRDefault="00B71032" w:rsidP="00B71032">
      <w:pPr>
        <w:pStyle w:val="Styckemedindrag"/>
      </w:pPr>
      <w:r>
        <w:t xml:space="preserve">Σύμφωνα με το κεφάλαιο 4 άρθρα 12, 13 και 17 </w:t>
      </w:r>
      <w:proofErr w:type="spellStart"/>
      <w:r>
        <w:t>στ</w:t>
      </w:r>
      <w:proofErr w:type="spellEnd"/>
      <w:r>
        <w:t xml:space="preserve"> του κανονισμού για την κυκλοφορία (1998:1276) και το κεφάλαιο 8 άρθρο 16 του κανονισμού για τα οχήματα (2009:211), η Σουηδική Υπηρεσία Μεταφορών καθορίζει</w:t>
      </w:r>
      <w:r>
        <w:rPr>
          <w:rStyle w:val="FootnoteReference"/>
        </w:rPr>
        <w:footnoteReference w:id="2"/>
      </w:r>
      <w:r>
        <w:t xml:space="preserve"> τα ακόλουθα.</w:t>
      </w:r>
    </w:p>
    <w:p w14:paraId="4552D472" w14:textId="047D4784" w:rsidR="00B71032" w:rsidRDefault="00543345" w:rsidP="00654E7A">
      <w:pPr>
        <w:pStyle w:val="Heading3"/>
      </w:pPr>
      <w:r>
        <w:t>Εισαγωγικές διατάξεις</w:t>
      </w:r>
    </w:p>
    <w:p w14:paraId="3966556B" w14:textId="5FB95A13" w:rsidR="00543345" w:rsidRDefault="00031159" w:rsidP="00031159">
      <w:pPr>
        <w:pStyle w:val="Stycke"/>
        <w:spacing w:before="120"/>
      </w:pPr>
      <w:r>
        <w:rPr>
          <w:rStyle w:val="Fparagrafbeteckning"/>
        </w:rPr>
        <w:t>Άρθρο 1 </w:t>
      </w:r>
      <w:r>
        <w:t xml:space="preserve">Οι εν λόγω κανονισμοί καθορίζουν λεπτομερείς κανόνες για την κατασκευή και τον εξοπλισμό οδικών συρμών άνω των 25,25 μέτρων αλλά όχι άνω των 34,5 μέτρων, καθώς και για τα οχήματα που περιλαμβάνονται στον οδικό συρμό. Οι κανονισμοί εφαρμόζονται για διαδρομές σε οδούς όταν η οδική αρχή, σύμφωνα με το κεφάλαιο 4 άρθρο 17 </w:t>
      </w:r>
      <w:proofErr w:type="spellStart"/>
      <w:r>
        <w:t>στ</w:t>
      </w:r>
      <w:proofErr w:type="spellEnd"/>
      <w:r>
        <w:t xml:space="preserve"> του κανονισμού για την κυκλοφορία (1998:1276), έχει εκδώσει κανονισμούς σύμφωνα με τους οποίους το μήκος οδικού συρμού δεν μπορεί να υπερβαίνει τα 34,5 μέτρα.</w:t>
      </w:r>
    </w:p>
    <w:p w14:paraId="06E20FC3" w14:textId="6ACEA899" w:rsidR="00D506F9" w:rsidRDefault="0068573B" w:rsidP="003F4DC3">
      <w:pPr>
        <w:pStyle w:val="Stycke"/>
        <w:spacing w:before="120"/>
      </w:pPr>
      <w:r>
        <w:rPr>
          <w:rStyle w:val="Fparagrafbeteckning"/>
        </w:rPr>
        <w:t>Άρθρο 2 </w:t>
      </w:r>
      <w:r>
        <w:t>Τα εμπορεύματα που διατίθενται νόμιμα στην αγορά άλλου κράτους μέλους της Ευρωπαϊκής Ένωσης ή της Τουρκίας, ή που προέρχονται από και διατίθενται νόμιμα σε κράτος της ΕΖΕΣ που είναι μέρος της Συμφωνίας ΕΟΧ, τεκμαίρεται ότι συμμορφώνονται με τις παρούσες διατάξεις. Η εφαρμογή των παρόντων κανονισμών καλύπτεται από τον κανονισμό (ΕΕ) 2019/515 του Ευρωπαϊκού Κοινοβουλίου και του Συμβουλίου της 19ης Μαρτίου 2019, σχετικά με την αμοιβαία αναγνώριση των εμπορευμάτων που κυκλοφορούν νόμιμα στην αγορά άλλου κράτους μέλους και την κατάργηση του κανονισμού (ΕΚ) αριθ. 764/2008.</w:t>
      </w:r>
    </w:p>
    <w:p w14:paraId="00B4A5A3" w14:textId="47704300" w:rsidR="0000372E" w:rsidRDefault="0012379D" w:rsidP="00031159">
      <w:pPr>
        <w:pStyle w:val="Stycke"/>
        <w:spacing w:before="120"/>
      </w:pPr>
      <w:r>
        <w:rPr>
          <w:rStyle w:val="Fparagrafbeteckning"/>
        </w:rPr>
        <w:lastRenderedPageBreak/>
        <w:t>Άρθρο 3 </w:t>
      </w:r>
      <w:r>
        <w:t xml:space="preserve">Οι όροι που χρησιμοποιούνται στους παρόντες κανονισμούς έχουν την έννοια που ορίζεται στον νόμο περί ορισμών οδική κυκλοφορίας (2001:559). </w:t>
      </w:r>
    </w:p>
    <w:p w14:paraId="29432767" w14:textId="058536F8" w:rsidR="00553E8F" w:rsidRDefault="00031159" w:rsidP="00553E8F">
      <w:pPr>
        <w:pStyle w:val="Styckemedindrag"/>
      </w:pPr>
      <w:r>
        <w:t>Διαφορετικά, για τους σκοπούς των παρόντων κανονισμών, χρησιμοποιούνται οι ακόλουθοι όροι και ορισμοί.</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A-διπλό</w:t>
            </w:r>
          </w:p>
        </w:tc>
        <w:tc>
          <w:tcPr>
            <w:tcW w:w="4338" w:type="dxa"/>
          </w:tcPr>
          <w:p w14:paraId="4806A036" w14:textId="241CA4B6" w:rsidR="006B4159" w:rsidRPr="006B4159" w:rsidRDefault="00E31D87" w:rsidP="000B177D">
            <w:pPr>
              <w:pStyle w:val="Stycke"/>
              <w:jc w:val="left"/>
            </w:pPr>
            <w:r>
              <w:t xml:space="preserve">συνδυασμός οχημάτων αποτελούμενος από έναν </w:t>
            </w:r>
            <w:r>
              <w:rPr>
                <w:i/>
              </w:rPr>
              <w:t>ελκυστήρα</w:t>
            </w:r>
            <w:r>
              <w:t xml:space="preserve"> συζευγμένο με </w:t>
            </w:r>
            <w:proofErr w:type="spellStart"/>
            <w:r>
              <w:t>ημιρυμουλκούμενο</w:t>
            </w:r>
            <w:proofErr w:type="spellEnd"/>
            <w:r>
              <w:t xml:space="preserve"> και καρότσα με συνδεδεμένο </w:t>
            </w:r>
            <w:proofErr w:type="spellStart"/>
            <w:r>
              <w:t>ημιρυμουλκούμενο</w:t>
            </w:r>
            <w:proofErr w:type="spellEnd"/>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ΑΒ-διπλό</w:t>
            </w:r>
          </w:p>
        </w:tc>
        <w:tc>
          <w:tcPr>
            <w:tcW w:w="4338" w:type="dxa"/>
          </w:tcPr>
          <w:p w14:paraId="059F7929" w14:textId="55158731" w:rsidR="006B4159" w:rsidRDefault="00E31D87" w:rsidP="00567D83">
            <w:pPr>
              <w:pStyle w:val="Stycke"/>
              <w:jc w:val="left"/>
            </w:pPr>
            <w:r>
              <w:t xml:space="preserve">συνδυασμός οχημάτων αποτελούμενος από βαρύ επαγγελματικό όχημα συζευγμένο με καρότσα με προσαρτημένο </w:t>
            </w:r>
            <w:proofErr w:type="spellStart"/>
            <w:r>
              <w:rPr>
                <w:i/>
              </w:rPr>
              <w:t>ημιρυμουλκούμενο</w:t>
            </w:r>
            <w:proofErr w:type="spellEnd"/>
            <w:r>
              <w:rPr>
                <w:i/>
              </w:rPr>
              <w:t xml:space="preserve"> ζεύξης</w:t>
            </w:r>
            <w:r>
              <w:t xml:space="preserve">, το οποίο με τη σειρά του συνδέεται με </w:t>
            </w:r>
            <w:proofErr w:type="spellStart"/>
            <w:r>
              <w:t>ημιρυμουλκούμενο</w:t>
            </w:r>
            <w:proofErr w:type="spellEnd"/>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ελκυστήρας</w:t>
            </w:r>
          </w:p>
        </w:tc>
        <w:tc>
          <w:tcPr>
            <w:tcW w:w="4338" w:type="dxa"/>
          </w:tcPr>
          <w:p w14:paraId="5F0BBB3A" w14:textId="2FEAB1D0" w:rsidR="007A578D" w:rsidRDefault="007A578D" w:rsidP="00F50DFF">
            <w:pPr>
              <w:pStyle w:val="Stycke"/>
              <w:jc w:val="left"/>
            </w:pPr>
            <w:r>
              <w:t xml:space="preserve">βαρύ επαγγελματικό όχημα εξοπλισμένο με διάταξη ζεύξης (πέμπτος τροχός) για </w:t>
            </w:r>
            <w:proofErr w:type="spellStart"/>
            <w:r>
              <w:t>ημιρυμουλκούμενο</w:t>
            </w:r>
            <w:proofErr w:type="spellEnd"/>
            <w:r>
              <w:t xml:space="preserve"> </w:t>
            </w:r>
          </w:p>
        </w:tc>
      </w:tr>
      <w:tr w:rsidR="007A578D" w:rsidRPr="000641AC" w14:paraId="4533314E" w14:textId="77777777" w:rsidTr="00D506F9">
        <w:tc>
          <w:tcPr>
            <w:tcW w:w="1617" w:type="dxa"/>
          </w:tcPr>
          <w:p w14:paraId="67B60511" w14:textId="57F74B69" w:rsidR="007A578D" w:rsidRDefault="007A578D" w:rsidP="00C641B5">
            <w:pPr>
              <w:pStyle w:val="Stycke"/>
              <w:ind w:right="-105"/>
              <w:rPr>
                <w:i/>
              </w:rPr>
            </w:pPr>
            <w:proofErr w:type="spellStart"/>
            <w:r>
              <w:rPr>
                <w:i/>
              </w:rPr>
              <w:t>ημιρυμουλκούμενο</w:t>
            </w:r>
            <w:proofErr w:type="spellEnd"/>
            <w:r>
              <w:rPr>
                <w:i/>
              </w:rPr>
              <w:t xml:space="preserve"> ζεύξης</w:t>
            </w:r>
          </w:p>
        </w:tc>
        <w:tc>
          <w:tcPr>
            <w:tcW w:w="4338" w:type="dxa"/>
          </w:tcPr>
          <w:p w14:paraId="4CED4314" w14:textId="3FE02C7D" w:rsidR="007A578D" w:rsidRDefault="007A578D" w:rsidP="00232756">
            <w:pPr>
              <w:pStyle w:val="Stycke"/>
              <w:jc w:val="left"/>
            </w:pPr>
            <w:proofErr w:type="spellStart"/>
            <w:r>
              <w:t>ημιρυμουλκούμενο</w:t>
            </w:r>
            <w:proofErr w:type="spellEnd"/>
            <w:r>
              <w:t xml:space="preserve"> με οπίσθιο πέμπτο τροχό για ζεύξη με άλλο </w:t>
            </w:r>
            <w:proofErr w:type="spellStart"/>
            <w:r>
              <w:t>ημιρυμουλκούμενο</w:t>
            </w:r>
            <w:proofErr w:type="spellEnd"/>
            <w:r>
              <w:t xml:space="preserve">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τιμή απόδοσης </w:t>
            </w:r>
          </w:p>
        </w:tc>
        <w:tc>
          <w:tcPr>
            <w:tcW w:w="4338" w:type="dxa"/>
          </w:tcPr>
          <w:p w14:paraId="6311725D" w14:textId="0960B9B3" w:rsidR="002D153A" w:rsidRDefault="009F5C5A" w:rsidP="00AB1C5A">
            <w:pPr>
              <w:pStyle w:val="Stycke"/>
              <w:jc w:val="left"/>
            </w:pPr>
            <w:r>
              <w:t>τιμή που καθορίζεται από τον κατασκευαστή, η οποία δείχνει το φορτίο που μπορεί να αντέξει ένα όχημα και η διάταξη ζεύξης του</w:t>
            </w:r>
          </w:p>
        </w:tc>
      </w:tr>
      <w:tr w:rsidR="00DB0AB5" w:rsidRPr="000641AC" w14:paraId="6B4B0724" w14:textId="77777777" w:rsidTr="00D506F9">
        <w:tc>
          <w:tcPr>
            <w:tcW w:w="1617" w:type="dxa"/>
          </w:tcPr>
          <w:p w14:paraId="041CF414" w14:textId="4F967FED" w:rsidR="00DB0AB5" w:rsidRDefault="00DB0AB5" w:rsidP="00720A9F">
            <w:pPr>
              <w:pStyle w:val="Stycke"/>
              <w:rPr>
                <w:i/>
              </w:rPr>
            </w:pPr>
            <w:proofErr w:type="spellStart"/>
            <w:r>
              <w:rPr>
                <w:i/>
              </w:rPr>
              <w:t>αυτοστρεφόμενος</w:t>
            </w:r>
            <w:proofErr w:type="spellEnd"/>
            <w:r>
              <w:rPr>
                <w:i/>
              </w:rPr>
              <w:t xml:space="preserve"> άξονας</w:t>
            </w:r>
          </w:p>
        </w:tc>
        <w:tc>
          <w:tcPr>
            <w:tcW w:w="4338" w:type="dxa"/>
          </w:tcPr>
          <w:p w14:paraId="65CC57A3" w14:textId="33BDDEC7" w:rsidR="00DB0AB5" w:rsidRDefault="00D356E7" w:rsidP="000F2D4A">
            <w:pPr>
              <w:pStyle w:val="Stycke"/>
              <w:jc w:val="left"/>
            </w:pPr>
            <w:r>
              <w:t>άξονας διεύθυνσης του οποίου η γωνία διεύθυνσης τροποποιείται από την τριβή μεταξύ ελαστικού-οδού</w:t>
            </w:r>
          </w:p>
        </w:tc>
      </w:tr>
    </w:tbl>
    <w:p w14:paraId="6965F6D4" w14:textId="58F802B0" w:rsidR="0054771A" w:rsidRPr="00A313CC" w:rsidRDefault="00572D73" w:rsidP="0054771A">
      <w:pPr>
        <w:pStyle w:val="Stycke"/>
        <w:spacing w:before="120"/>
      </w:pPr>
      <w:r>
        <w:rPr>
          <w:rStyle w:val="Fparagrafbeteckning"/>
        </w:rPr>
        <w:t>Άρθρο 4 </w:t>
      </w:r>
      <w:r>
        <w:t>Για τους σκοπούς των παρόντων κανονισμών ισχύουν οι ακόλουθοι ορισμοί:</w:t>
      </w:r>
    </w:p>
    <w:p w14:paraId="6E790FE2" w14:textId="702175ED" w:rsidR="0054771A" w:rsidRPr="00A313CC" w:rsidRDefault="0054771A" w:rsidP="0054771A">
      <w:pPr>
        <w:pStyle w:val="Styckemedindrag"/>
      </w:pPr>
      <w:r>
        <w:t>– Κανονισμός 13 της ΟΕΕ Ενιαίες διατάξεις σχετικά με την έγκριση οχημάτων των κατηγοριών Μ, Ν και Ο όσον αφορά την πέδηση</w:t>
      </w:r>
    </w:p>
    <w:p w14:paraId="3ADC911D" w14:textId="7838A56B" w:rsidR="0054771A" w:rsidRPr="00A313CC" w:rsidRDefault="0054771A" w:rsidP="00425CD0">
      <w:pPr>
        <w:pStyle w:val="Styckemedindrag"/>
      </w:pPr>
      <w:r>
        <w:t>– Κανονισμός 55 της ΟΕΕ Ενιαίες διατάξεις σχετικά με την έγκριση των μηχανικών κατασκευαστικών στοιχείων ζεύξης συνδυασμών οχημάτων.</w:t>
      </w:r>
    </w:p>
    <w:p w14:paraId="09BB2E7C" w14:textId="4AFA7F89" w:rsidR="00BB64A3" w:rsidRPr="00BB64A3" w:rsidRDefault="00BB64A3" w:rsidP="00BB64A3">
      <w:pPr>
        <w:pStyle w:val="Heading3"/>
      </w:pPr>
      <w:r>
        <w:t>Γενικές απαιτήσεις</w:t>
      </w:r>
    </w:p>
    <w:p w14:paraId="28780548" w14:textId="34E14EC2" w:rsidR="006E2742" w:rsidRPr="006E2742" w:rsidRDefault="00654E7A" w:rsidP="006E2742">
      <w:pPr>
        <w:pStyle w:val="Stycke"/>
        <w:spacing w:before="120"/>
      </w:pPr>
      <w:r>
        <w:rPr>
          <w:rStyle w:val="Fparagrafbeteckning"/>
        </w:rPr>
        <w:t>Άρθρο 5 </w:t>
      </w:r>
      <w:r>
        <w:rPr>
          <w:rStyle w:val="Fparagrafbeteckning"/>
          <w:b w:val="0"/>
        </w:rPr>
        <w:t xml:space="preserve">Ο οδικός συρμός αποτελείται από συνδυασμό A-διπλό ή AB-διπλό. </w:t>
      </w:r>
      <w:r>
        <w:t>Τα οχήματα και οι οδικοί συρμοί συμμορφώνονται με τους όρους που καθορίζονται στα άρθρα 6 έως 12. Επιπλέον, ο συνδυασμός Α-διπλού πρέπει να πληροί τους όρους που καθορίζονται στα άρθρα 13 έως 23 και ο συνδυασμός AB-διπλό πρέπει να πληροί τους όρους που καθορίζονται στα άρθρα 24 έως 31.</w:t>
      </w:r>
    </w:p>
    <w:p w14:paraId="5B645A93" w14:textId="7BE20624" w:rsidR="00907DF3" w:rsidRDefault="00654E7A" w:rsidP="0026562C">
      <w:pPr>
        <w:pStyle w:val="Stycke"/>
        <w:spacing w:before="120"/>
      </w:pPr>
      <w:r>
        <w:rPr>
          <w:rStyle w:val="Fparagrafbeteckning"/>
        </w:rPr>
        <w:t>Άρθρο 6 </w:t>
      </w:r>
      <w:r>
        <w:t xml:space="preserve">Το βαρύ όχημα πρέπει να έχει τουλάχιστον τρεις άξονες. Τα </w:t>
      </w:r>
      <w:proofErr w:type="spellStart"/>
      <w:r>
        <w:t>ρυμουλκούμενα</w:t>
      </w:r>
      <w:proofErr w:type="spellEnd"/>
      <w:r>
        <w:t xml:space="preserve"> που περιλαμβάνονται στον οδικό συρμό έχουν τουλάχιστον δύο άξονες.</w:t>
      </w:r>
    </w:p>
    <w:p w14:paraId="5F01A09F" w14:textId="37445118" w:rsidR="00342CD6" w:rsidRDefault="00654E7A" w:rsidP="00CB6F3B">
      <w:pPr>
        <w:pStyle w:val="Stycke"/>
        <w:spacing w:before="120"/>
      </w:pPr>
      <w:r>
        <w:rPr>
          <w:rStyle w:val="Fparagrafbeteckning"/>
        </w:rPr>
        <w:lastRenderedPageBreak/>
        <w:t>Άρθρο 7 </w:t>
      </w:r>
      <w:r>
        <w:t>Τα οχήματα με το μέγιστο τρεις άξονες πρέπει να διαθέτουν σύστημα ευστάθειας σύμφωνα με τον κανονισμό ΟΕΕ 13, σειρά τροποποιήσεων 11 προσάρτημα 3 ή νεότερη έκδοση.</w:t>
      </w:r>
    </w:p>
    <w:p w14:paraId="13D4D58B" w14:textId="7481C6CC" w:rsidR="00342CD6" w:rsidRDefault="00654E7A" w:rsidP="00974FCA">
      <w:pPr>
        <w:pStyle w:val="Stycke"/>
        <w:spacing w:before="120"/>
      </w:pPr>
      <w:r>
        <w:rPr>
          <w:rStyle w:val="Fparagrafbeteckning"/>
        </w:rPr>
        <w:t>Άρθρο 8 </w:t>
      </w:r>
      <w:r>
        <w:rPr>
          <w:rStyle w:val="Fparagrafbeteckning"/>
          <w:b w:val="0"/>
        </w:rPr>
        <w:t>Το βαρύ όχημα πρέπει να διαθέτει εξοπλισμό που επιτρέπει στον μηχανοδηγό να παρατηρεί τη δεξιά πλευρά του οδικού συρμού από τη θέση του μηχανοδηγού</w:t>
      </w:r>
      <w:r>
        <w:t>.</w:t>
      </w:r>
    </w:p>
    <w:p w14:paraId="26CC4ADA" w14:textId="1AFE7C5C" w:rsidR="00F654A8" w:rsidRDefault="00654E7A" w:rsidP="00F654A8">
      <w:pPr>
        <w:pStyle w:val="Stycke"/>
        <w:spacing w:before="120"/>
      </w:pPr>
      <w:r>
        <w:rPr>
          <w:rStyle w:val="Fparagrafbeteckning"/>
        </w:rPr>
        <w:t>Άρθρο 9 </w:t>
      </w:r>
      <w:r>
        <w:t xml:space="preserve">Όλα τα οχήματα του οδικού συρμού πρέπει να είναι εξοπλισμένα με ηλεκτρονικά συστήματα πέδησης με λειτουργία </w:t>
      </w:r>
      <w:proofErr w:type="spellStart"/>
      <w:r>
        <w:t>αντιεμπλοκής</w:t>
      </w:r>
      <w:proofErr w:type="spellEnd"/>
      <w:r>
        <w:t xml:space="preserve"> κατά την πέδηση και αυτόματη προσαρμογή της πέδης σύμφωνα με τον κανονισμό ΟΕΕ 13 σειρά τροποποιήσεων 11 ή νεότερη.</w:t>
      </w:r>
    </w:p>
    <w:p w14:paraId="2FF5871A" w14:textId="03FC025B" w:rsidR="00693298" w:rsidRPr="00693298" w:rsidRDefault="00693298" w:rsidP="00693298">
      <w:pPr>
        <w:pStyle w:val="Stycke"/>
        <w:spacing w:before="120"/>
      </w:pPr>
      <w:r>
        <w:rPr>
          <w:rStyle w:val="Fparagrafbeteckning"/>
        </w:rPr>
        <w:t>Άρθρο 10 </w:t>
      </w:r>
      <w:r>
        <w:t>Ο πέμπτος τροχός της καρότσας περιστρέφεται γύρω από έναν κατακόρυφο άξονα μέσω του σημείου ζεύξης.</w:t>
      </w:r>
    </w:p>
    <w:p w14:paraId="5E1694F9" w14:textId="3CF383C6" w:rsidR="004E0F5A" w:rsidRDefault="004E0F5A" w:rsidP="004E0F5A">
      <w:pPr>
        <w:pStyle w:val="Heading3"/>
      </w:pPr>
      <w:r>
        <w:t>Σήματα</w:t>
      </w:r>
    </w:p>
    <w:p w14:paraId="4592D004" w14:textId="11082E40" w:rsidR="008C4B99" w:rsidRDefault="00691657" w:rsidP="008C4B99">
      <w:pPr>
        <w:pStyle w:val="Stycke"/>
        <w:spacing w:before="120"/>
      </w:pPr>
      <w:r>
        <w:rPr>
          <w:rStyle w:val="Fparagrafbeteckning"/>
        </w:rPr>
        <w:t>Άρθρο 11 </w:t>
      </w:r>
      <w:r>
        <w:t xml:space="preserve">Ο οδικός συρμός πρέπει στην μπροστινή και την οπίσθια πλευρά να διαθέτει σήματα που </w:t>
      </w:r>
      <w:proofErr w:type="spellStart"/>
      <w:r>
        <w:t>εμφαίνονται</w:t>
      </w:r>
      <w:proofErr w:type="spellEnd"/>
      <w:r>
        <w:t xml:space="preserve"> στο σχήμα 1. Το κατώτερο άκρο του σήματος δεν πρέπει να υπερβαίνει τα 2,0 μέτρα πάνω από την οδό. Το μπροστινό σήμα πρέπει βρίσκεται κάτω από το κάτω άκρο του αλεξήνεμου. Το οπίσθιο σήμα πρέπει να βρίσκεται στα αριστερά του κεντρικού άξονα του οχήματος.</w:t>
      </w:r>
    </w:p>
    <w:p w14:paraId="0B74021B" w14:textId="239ACB2F" w:rsidR="00BD677C" w:rsidRDefault="008C4B99" w:rsidP="00876EDB">
      <w:pPr>
        <w:pStyle w:val="Styckemedindrag"/>
      </w:pPr>
      <w:r>
        <w:t>Τα σήματα πρέπει να έχουν:</w:t>
      </w:r>
    </w:p>
    <w:p w14:paraId="44B2EF3A" w14:textId="61AEB2A1" w:rsidR="00EB7A30" w:rsidRPr="006800D8" w:rsidRDefault="00EB7A30" w:rsidP="00EB7A30">
      <w:pPr>
        <w:pStyle w:val="Styckemedindrag"/>
      </w:pPr>
      <w:r>
        <w:t>1. κίτρινο φόντο και κόκκινο περίγραμμα, τα οποία είναι αντανακλαστικά,</w:t>
      </w:r>
    </w:p>
    <w:p w14:paraId="1F904A48" w14:textId="464B2F56" w:rsidR="00EB7A30" w:rsidRPr="005C2570" w:rsidRDefault="00EB7A30" w:rsidP="00EB7A30">
      <w:pPr>
        <w:pStyle w:val="Styckemedindrag"/>
      </w:pPr>
      <w:r>
        <w:t>2. πλάτος περιγράμματος 3,0 εκατοστά,</w:t>
      </w:r>
    </w:p>
    <w:p w14:paraId="7D7E6732" w14:textId="1CDF41F9" w:rsidR="00EB7A30" w:rsidRDefault="006C6A1C" w:rsidP="00EB7A30">
      <w:pPr>
        <w:pStyle w:val="Styckemedindrag"/>
        <w:rPr>
          <w:rFonts w:cstheme="minorHAnsi"/>
        </w:rPr>
      </w:pPr>
      <w:r>
        <w:t xml:space="preserve">3. κείμενο γραμματοσειράς </w:t>
      </w:r>
      <w:proofErr w:type="spellStart"/>
      <w:r>
        <w:t>Tratexsvart</w:t>
      </w:r>
      <w:proofErr w:type="spellEnd"/>
      <w:r>
        <w:t>, μέγεθος κειμένου 75 χιλιοστών και</w:t>
      </w:r>
    </w:p>
    <w:p w14:paraId="160C24F8" w14:textId="541D68BF" w:rsidR="00EB7A30" w:rsidRDefault="00EB7A30" w:rsidP="00EB7A30">
      <w:pPr>
        <w:pStyle w:val="Styckemedindrag"/>
      </w:pPr>
      <w:r>
        <w:t>4. πλάτος τουλάχιστον 0,90 μέτρα και ύψος τουλάχιστον 0,45 μέτρα.</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1B66AE46">
                <wp:simplePos x="0" y="0"/>
                <wp:positionH relativeFrom="column">
                  <wp:posOffset>138651</wp:posOffset>
                </wp:positionH>
                <wp:positionV relativeFrom="paragraph">
                  <wp:posOffset>1457215</wp:posOffset>
                </wp:positionV>
                <wp:extent cx="3450811" cy="556591"/>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450811" cy="556591"/>
                        </a:xfrm>
                        <a:prstGeom prst="rect">
                          <a:avLst/>
                        </a:prstGeom>
                        <a:solidFill>
                          <a:srgbClr val="FFCB25"/>
                        </a:solidFill>
                        <a:ln w="6350">
                          <a:noFill/>
                        </a:ln>
                      </wps:spPr>
                      <wps:txbx>
                        <w:txbxContent>
                          <w:p w14:paraId="40B229A7" w14:textId="1F4E24A1" w:rsidR="00BF48CC" w:rsidRPr="00F15BAD" w:rsidRDefault="00BF48CC" w:rsidP="00F15BAD">
                            <w:pPr>
                              <w:rPr>
                                <w:rFonts w:ascii="Arial" w:hAnsi="Arial" w:cs="Arial"/>
                                <w:b/>
                                <w:bCs/>
                                <w:sz w:val="48"/>
                                <w:szCs w:val="48"/>
                              </w:rPr>
                            </w:pPr>
                            <w:r w:rsidRPr="00F15BAD">
                              <w:rPr>
                                <w:rFonts w:ascii="Arial" w:hAnsi="Arial"/>
                                <w:b/>
                                <w:sz w:val="48"/>
                                <w:szCs w:val="48"/>
                              </w:rPr>
                              <w:t>Μακρύς οδικός συρμός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0FCB" id="Text Box 2" o:spid="_x0000_s1028" type="#_x0000_t202" style="position:absolute;left:0;text-align:left;margin-left:10.9pt;margin-top:114.75pt;width:271.7pt;height:43.8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" fillcolor="#ffcb25" stroked="f" strokeweight=".5pt">
                <v:textbox inset="0,0,0,0">
                  <w:txbxContent>
                    <w:p w14:paraId="40B229A7" w14:textId="1F4E24A1" w:rsidR="00BF48CC" w:rsidRPr="00F15BAD" w:rsidRDefault="00BF48CC" w:rsidP="00F15BAD">
                      <w:pPr>
                        <w:rPr>
                          <w:rFonts w:ascii="Arial" w:hAnsi="Arial" w:cs="Arial"/>
                          <w:b/>
                          <w:bCs/>
                          <w:sz w:val="48"/>
                          <w:szCs w:val="48"/>
                        </w:rPr>
                      </w:pPr>
                      <w:r w:rsidRPr="00F15BAD">
                        <w:rPr>
                          <w:rFonts w:ascii="Arial" w:hAnsi="Arial"/>
                          <w:b/>
                          <w:sz w:val="48"/>
                          <w:szCs w:val="48"/>
                        </w:rPr>
                        <w:t>Μακρύς οδικός συρμός</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Ο λόγος του πλάτους προς το ύψος είναι 2:1.</w:t>
      </w:r>
      <w:r>
        <w:rPr>
          <w:rFonts w:ascii="Segoe UI" w:hAnsi="Segoe UI"/>
          <w:color w:val="000000"/>
          <w:sz w:val="20"/>
        </w:rPr>
        <w:t xml:space="preserve"> </w:t>
      </w:r>
      <w:r>
        <w:t>Εάν αυξηθεί το μέγεθος του σήματος, το πλάτος του περιγράμματος και το μέγεθος του κειμένου αυξάνονται αναλόγως.</w:t>
      </w:r>
    </w:p>
    <w:p w14:paraId="6A13AE47" w14:textId="53EBCBA3" w:rsidR="00B204CA" w:rsidRDefault="00B204CA" w:rsidP="00DD47B8">
      <w:pPr>
        <w:pStyle w:val="Tabelltext"/>
      </w:pPr>
      <w:r>
        <w:lastRenderedPageBreak/>
        <w:t>Εικόνα 1. Σχεδιασμός σήμανσης για μακρύ οδικό συρμό.</w:t>
      </w:r>
    </w:p>
    <w:p w14:paraId="06E84C76" w14:textId="72560BE8" w:rsidR="00C807A6" w:rsidRDefault="00EE3B53">
      <w:pPr>
        <w:pStyle w:val="Heading3"/>
      </w:pPr>
      <w:r>
        <w:t>Κινητήριοι άξονες και ισχύς κινητήρα</w:t>
      </w:r>
    </w:p>
    <w:p w14:paraId="7C036BB8" w14:textId="09DAA351" w:rsidR="007B4D0A" w:rsidRPr="000C2719" w:rsidRDefault="00691657" w:rsidP="00EB57E6">
      <w:pPr>
        <w:pStyle w:val="Stycke"/>
        <w:spacing w:before="120"/>
      </w:pPr>
      <w:r>
        <w:rPr>
          <w:rStyle w:val="Fparagrafbeteckning"/>
        </w:rPr>
        <w:t>Άρθρο 12 </w:t>
      </w:r>
      <w:r>
        <w:t>Εάν το συνολικό μεικτό βάρος του οδικού συρμού υπερβαίνει τους 64 τόνους, το βαρύ επαγγελματικό όχημα έχει τουλάχιστον δύο κινητήριους άξονες και ισχύ κινητήρα τουλάχιστον 310 </w:t>
      </w:r>
      <w:proofErr w:type="spellStart"/>
      <w:r>
        <w:t>kW</w:t>
      </w:r>
      <w:proofErr w:type="spellEnd"/>
      <w:r>
        <w:t>.</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Ειδικοί όροι για τον συνδυασμό Α-διπλού</w:t>
      </w:r>
    </w:p>
    <w:p w14:paraId="5A896C78" w14:textId="5B717027" w:rsidR="00553E8F" w:rsidRPr="00553E8F" w:rsidRDefault="00553E8F" w:rsidP="00553E8F">
      <w:pPr>
        <w:pStyle w:val="Tabelltext"/>
        <w:rPr>
          <w:b/>
        </w:rPr>
      </w:pPr>
      <w:r>
        <w:t>Εικόνα 2. Συνδυασμός Α-διπλού</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 xml:space="preserve">Εμπρόσθιο </w:t>
      </w:r>
      <w:proofErr w:type="spellStart"/>
      <w:r>
        <w:rPr>
          <w:rStyle w:val="Fparagrafbeteckning"/>
          <w:rFonts w:asciiTheme="minorHAnsi" w:hAnsiTheme="minorHAnsi"/>
          <w:b w:val="0"/>
        </w:rPr>
        <w:t>ημιρυμουλκούμενο</w:t>
      </w:r>
      <w:proofErr w:type="spellEnd"/>
    </w:p>
    <w:p w14:paraId="62A94401" w14:textId="42001BAF" w:rsidR="002A63C1" w:rsidRDefault="00D96C34" w:rsidP="00DC3F69">
      <w:pPr>
        <w:pStyle w:val="Stycke"/>
        <w:spacing w:before="120"/>
      </w:pPr>
      <w:r>
        <w:rPr>
          <w:rStyle w:val="Fparagrafbeteckning"/>
        </w:rPr>
        <w:t>Άρθρο 13 </w:t>
      </w:r>
      <w:r>
        <w:t xml:space="preserve">Ο τελευταίος άξονας του εμπρόσθιου </w:t>
      </w:r>
      <w:proofErr w:type="spellStart"/>
      <w:r>
        <w:t>ημιρυμουλκούμενου</w:t>
      </w:r>
      <w:proofErr w:type="spellEnd"/>
      <w:r>
        <w:t xml:space="preserve"> ενός συνδυασμού Α-διπλού πρέπει να είναι </w:t>
      </w:r>
      <w:proofErr w:type="spellStart"/>
      <w:r>
        <w:t>αυτοστρεφόμενος</w:t>
      </w:r>
      <w:proofErr w:type="spellEnd"/>
      <w:r>
        <w:t xml:space="preserve"> σε ταχύτητες τουλάχιστον 30 χιλιομέτρων ανά ώρα αλλά όχι άνω των 40 χιλιομέτρων ανά ώρα.</w:t>
      </w:r>
    </w:p>
    <w:p w14:paraId="7DE8E0CA" w14:textId="6D1DB835" w:rsidR="00840699" w:rsidRDefault="00D96C34" w:rsidP="002A63C1">
      <w:pPr>
        <w:pStyle w:val="Stycke"/>
        <w:spacing w:before="120"/>
      </w:pPr>
      <w:r>
        <w:rPr>
          <w:rStyle w:val="Fparagrafbeteckning"/>
        </w:rPr>
        <w:t>Άρθρο 14 </w:t>
      </w:r>
      <w:r>
        <w:t xml:space="preserve">Εάν το εμπρόσθιο </w:t>
      </w:r>
      <w:proofErr w:type="spellStart"/>
      <w:r>
        <w:t>ημιρυμουλκούμενο</w:t>
      </w:r>
      <w:proofErr w:type="spellEnd"/>
      <w:r>
        <w:t xml:space="preserve"> έχει δύο άξονες, η απόσταση μεταξύ της εμπρόσθιας διάταξης ζεύξης και του κέντρου του πρώτου άξονα πρέπει να είναι τουλάχιστον 7,7 μέτρα.</w:t>
      </w:r>
    </w:p>
    <w:p w14:paraId="0B9C6A61" w14:textId="26E90CCD" w:rsidR="002A63C1" w:rsidRPr="00DB5916" w:rsidRDefault="006B128F" w:rsidP="00840699">
      <w:pPr>
        <w:pStyle w:val="Styckemedindrag"/>
      </w:pPr>
      <w:r>
        <w:t xml:space="preserve">Εάν το εμπρόσθιο </w:t>
      </w:r>
      <w:proofErr w:type="spellStart"/>
      <w:r>
        <w:t>ημιρυμουλκούμενο</w:t>
      </w:r>
      <w:proofErr w:type="spellEnd"/>
      <w:r>
        <w:t xml:space="preserve"> έχει τρεις άξονες, η απόσταση μεταξύ της πρόσθιας διάταξης ζεύξης και του κέντρου του πρώτου άξονα πρέπει να είναι τουλάχιστον 7,0 μέτρα.</w:t>
      </w:r>
    </w:p>
    <w:p w14:paraId="0AA9BDE5" w14:textId="4B8E4B48" w:rsidR="002A63C1" w:rsidRDefault="003E081D" w:rsidP="002A63C1">
      <w:pPr>
        <w:pStyle w:val="Stycke"/>
        <w:spacing w:before="120"/>
      </w:pPr>
      <w:r>
        <w:rPr>
          <w:rStyle w:val="Fparagrafbeteckning"/>
        </w:rPr>
        <w:t>Άρθρο 15 </w:t>
      </w:r>
      <w:r>
        <w:t xml:space="preserve">Η απόσταση μεταξύ του τελευταίου άξονα και της οπίσθιας διάταξης ζεύξης του εμπρόσθιου </w:t>
      </w:r>
      <w:proofErr w:type="spellStart"/>
      <w:r>
        <w:t>ημιρυμουλκούμενου</w:t>
      </w:r>
      <w:proofErr w:type="spellEnd"/>
      <w:r>
        <w:t xml:space="preserve"> δεν πρέπει να υπερβαίνει τα 1,4 μέτρα.</w:t>
      </w:r>
    </w:p>
    <w:p w14:paraId="2CE6A594" w14:textId="3DC05D79" w:rsidR="002A63C1" w:rsidRDefault="003E081D" w:rsidP="002A63C1">
      <w:pPr>
        <w:pStyle w:val="Stycke"/>
        <w:spacing w:before="120"/>
      </w:pPr>
      <w:r>
        <w:rPr>
          <w:rStyle w:val="Fparagrafbeteckning"/>
        </w:rPr>
        <w:t>Άρθρο 16 </w:t>
      </w:r>
      <w:r>
        <w:t xml:space="preserve">Εάν το εμπρόσθιο </w:t>
      </w:r>
      <w:proofErr w:type="spellStart"/>
      <w:r>
        <w:t>ημιρυμουλκούμενο</w:t>
      </w:r>
      <w:proofErr w:type="spellEnd"/>
      <w:r>
        <w:t xml:space="preserve"> έχει τουλάχιστον τρεις άξονες, ο πρώτος άξονας πρέπει να είναι ανασυρόμενος. Πρέπει ο άξονας να μπορεί να ανυψωθεί και να χαμηλώσει από τη θέση του οδηγού κατά τη διάρκεια της διαδρομής.</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 xml:space="preserve">Οπίσθιο </w:t>
      </w:r>
      <w:proofErr w:type="spellStart"/>
      <w:r>
        <w:rPr>
          <w:rStyle w:val="Fparagrafbeteckning"/>
          <w:rFonts w:asciiTheme="minorHAnsi" w:hAnsiTheme="minorHAnsi"/>
          <w:b w:val="0"/>
        </w:rPr>
        <w:t>ημιρυμουλκούμενο</w:t>
      </w:r>
      <w:proofErr w:type="spellEnd"/>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Άρθρο 17 </w:t>
      </w:r>
      <w:r>
        <w:t xml:space="preserve">Η απόσταση μεταξύ της εμπρόσθιας διάταξης ζεύξης και του κέντρου του πρώτου άξονα του οπίσθιου </w:t>
      </w:r>
      <w:proofErr w:type="spellStart"/>
      <w:r>
        <w:t>ημιρυμουλκούμενου</w:t>
      </w:r>
      <w:proofErr w:type="spellEnd"/>
      <w:r>
        <w:t xml:space="preserve"> πρέπει να είναι τουλάχιστον 6,2 μέτρα.</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lastRenderedPageBreak/>
        <w:t>Συστήματα ζεύξης</w:t>
      </w:r>
    </w:p>
    <w:p w14:paraId="0E894B9A" w14:textId="741FC0F2" w:rsidR="00B41321" w:rsidRDefault="009E4F27" w:rsidP="00B41321">
      <w:pPr>
        <w:pStyle w:val="Stycke"/>
        <w:spacing w:before="120"/>
      </w:pPr>
      <w:r>
        <w:rPr>
          <w:rStyle w:val="Fparagrafbeteckning"/>
        </w:rPr>
        <w:t>Άρθρο 18 </w:t>
      </w:r>
      <w:r>
        <w:t xml:space="preserve">Οι διατάξεις ζεύξης εγκρίνονται σύμφωνα με τον κανονισμό ΟΕΕ 55 σειρά τροποποιήσεων 01 ή μεταγενέστερη. Οι διατάξεις συμμορφώνονται με τους κανονισμούς της Υπηρεσίας Μεταφορών (TSFS 2019:127) σχετικά με τη ζεύξη αυτοκινήτων και </w:t>
      </w:r>
      <w:proofErr w:type="spellStart"/>
      <w:r>
        <w:t>ρυμουλκουμένων</w:t>
      </w:r>
      <w:proofErr w:type="spellEnd"/>
      <w:r>
        <w:t xml:space="preserve"> όσον αφορά τις τιμές επιδόσεων, ή με τα άρθρα 19 έως 22.</w:t>
      </w:r>
    </w:p>
    <w:p w14:paraId="5B54B9A5" w14:textId="2E9B1C02" w:rsidR="00F87551" w:rsidRDefault="00114615" w:rsidP="008C2A5B">
      <w:pPr>
        <w:pStyle w:val="Stycke"/>
        <w:spacing w:before="120"/>
      </w:pPr>
      <w:r>
        <w:rPr>
          <w:rStyle w:val="Fparagrafbeteckning"/>
        </w:rPr>
        <w:t>Άρθρο 19 </w:t>
      </w:r>
      <w:r>
        <w:t xml:space="preserve">Η διάταξη ζεύξης του ελκυστήρα πρέπει να έχει τιμή D τουλάχιστον 130 </w:t>
      </w:r>
      <w:proofErr w:type="spellStart"/>
      <w:r>
        <w:t>kN</w:t>
      </w:r>
      <w:proofErr w:type="spellEnd"/>
      <w:r>
        <w:t>.</w:t>
      </w:r>
    </w:p>
    <w:p w14:paraId="1A7DBCFD" w14:textId="5031FEE4" w:rsidR="00B41321" w:rsidRPr="00F87551" w:rsidRDefault="00691657" w:rsidP="00EA023A">
      <w:pPr>
        <w:pStyle w:val="Stycke"/>
        <w:spacing w:before="120"/>
      </w:pPr>
      <w:r>
        <w:rPr>
          <w:rStyle w:val="Fparagrafbeteckning"/>
        </w:rPr>
        <w:t>Άρθρο 20 </w:t>
      </w:r>
      <w:r>
        <w:t xml:space="preserve">Η εμπρόσθια διάταξη ζεύξης του εμπρόσθιου </w:t>
      </w:r>
      <w:proofErr w:type="spellStart"/>
      <w:r>
        <w:t>ημιρυμουλκούμενου</w:t>
      </w:r>
      <w:proofErr w:type="spellEnd"/>
      <w:r>
        <w:t xml:space="preserve"> πρέπει να έχει τιμή D τουλάχιστον 130 </w:t>
      </w:r>
      <w:proofErr w:type="spellStart"/>
      <w:r>
        <w:t>kN</w:t>
      </w:r>
      <w:proofErr w:type="spellEnd"/>
      <w:r>
        <w:t xml:space="preserve">. Η οπίσθια διάταξη ζεύξης έχει τιμή συνεχούς ρεύματος τουλάχιστον 120 </w:t>
      </w:r>
      <w:proofErr w:type="spellStart"/>
      <w:r>
        <w:t>kN</w:t>
      </w:r>
      <w:proofErr w:type="spellEnd"/>
      <w:r>
        <w:t xml:space="preserve">, τιμή D τουλάχιστον 130 </w:t>
      </w:r>
      <w:proofErr w:type="spellStart"/>
      <w:r>
        <w:t>kN</w:t>
      </w:r>
      <w:proofErr w:type="spellEnd"/>
      <w:r>
        <w:t xml:space="preserve"> και τιμή V τουλάχιστον 32 </w:t>
      </w:r>
      <w:proofErr w:type="spellStart"/>
      <w:r>
        <w:t>kN</w:t>
      </w:r>
      <w:proofErr w:type="spellEnd"/>
      <w:r>
        <w:t>.</w:t>
      </w:r>
    </w:p>
    <w:p w14:paraId="6531828C" w14:textId="4A50B67A" w:rsidR="00B41321" w:rsidRPr="00F87551" w:rsidRDefault="000123E4" w:rsidP="00894B88">
      <w:pPr>
        <w:pStyle w:val="Stycke"/>
        <w:spacing w:before="120"/>
      </w:pPr>
      <w:r>
        <w:rPr>
          <w:rStyle w:val="Fparagrafbeteckning"/>
        </w:rPr>
        <w:t>Άρθρο 21 </w:t>
      </w:r>
      <w:r>
        <w:t xml:space="preserve">Η πρόσθια διάταξη ζεύξης της καρότσας έχει τιμή συνεχούς ρεύματος τουλάχιστον 120 </w:t>
      </w:r>
      <w:proofErr w:type="spellStart"/>
      <w:r>
        <w:t>kN</w:t>
      </w:r>
      <w:proofErr w:type="spellEnd"/>
      <w:r>
        <w:t xml:space="preserve">, τιμή D τουλάχιστον 130 </w:t>
      </w:r>
      <w:proofErr w:type="spellStart"/>
      <w:r>
        <w:t>kN</w:t>
      </w:r>
      <w:proofErr w:type="spellEnd"/>
      <w:r>
        <w:t xml:space="preserve"> και τιμή V τουλάχιστον 32 </w:t>
      </w:r>
      <w:proofErr w:type="spellStart"/>
      <w:r>
        <w:t>kN</w:t>
      </w:r>
      <w:proofErr w:type="spellEnd"/>
      <w:r>
        <w:t>. Η οπίσθια διάταξη ζεύξης έχει τιμή D τουλάχιστον 130</w:t>
      </w:r>
      <w:r w:rsidR="00F15BAD">
        <w:t> </w:t>
      </w:r>
      <w:proofErr w:type="spellStart"/>
      <w:r>
        <w:t>kN</w:t>
      </w:r>
      <w:proofErr w:type="spellEnd"/>
      <w:r>
        <w:t>.</w:t>
      </w:r>
    </w:p>
    <w:p w14:paraId="26AD840E" w14:textId="1E693AAE" w:rsidR="009E4F27" w:rsidRDefault="000123E4" w:rsidP="008A2747">
      <w:pPr>
        <w:pStyle w:val="Stycke"/>
        <w:spacing w:before="120"/>
      </w:pPr>
      <w:r>
        <w:rPr>
          <w:rStyle w:val="Fparagrafbeteckning"/>
        </w:rPr>
        <w:t>Άρθρο 22 </w:t>
      </w:r>
      <w:r>
        <w:t xml:space="preserve">Η διάταξη ζεύξης του οπίσθιου </w:t>
      </w:r>
      <w:proofErr w:type="spellStart"/>
      <w:r>
        <w:t>ημιρυμουλκούμενου</w:t>
      </w:r>
      <w:proofErr w:type="spellEnd"/>
      <w:r>
        <w:t xml:space="preserve"> πρέπει να έχει τιμή D τουλάχιστον 130 </w:t>
      </w:r>
      <w:proofErr w:type="spellStart"/>
      <w:r>
        <w:t>kN</w:t>
      </w:r>
      <w:proofErr w:type="spellEnd"/>
      <w:r>
        <w:t>.</w:t>
      </w:r>
    </w:p>
    <w:p w14:paraId="1B2BE8B3" w14:textId="1C2C838A" w:rsidR="00837AB8" w:rsidRDefault="00837AB8" w:rsidP="00572D73">
      <w:pPr>
        <w:pStyle w:val="Heading4"/>
      </w:pPr>
      <w:r>
        <w:t>Παρέκκλιση από τις διατάξεις σχετικά με τις αποστάσεις μεταξύ αξόνων</w:t>
      </w:r>
    </w:p>
    <w:p w14:paraId="29113AD4" w14:textId="12C4B2D1" w:rsidR="00362A7B" w:rsidRDefault="00894B88" w:rsidP="00362A7B">
      <w:pPr>
        <w:pStyle w:val="Stycke"/>
        <w:spacing w:before="120"/>
      </w:pPr>
      <w:r>
        <w:rPr>
          <w:rStyle w:val="Fparagrafbeteckning"/>
        </w:rPr>
        <w:t>Άρθρο 23 </w:t>
      </w:r>
      <w:r>
        <w:t>Παρά το κεφάλαιο 4 άρθρο 13 πρώτο εδάφιο σημείο 4 του κανονισμού για την κυκλοφορία (1998:1276), η απόσταση μεταξύ αξόνων επί οδού που ανήκουν στην κατηγορία χωρητικότητας φορτίου 1 μπορεί να είναι μικρότερη από 5 μέτρα αλλά όχι 4 μέτρα. Αυτό ισχύει εάν το συνολικό βάρος φορείου και τριπλού άξονα είναι μικρότερο από τη μέγιστη επιτρεπόμενη μεικτή μάζα για την αντίστοιχη απόσταση μεταξύ του πρώτου και του τελευταίου άξονα για τις εν λόγω ομάδες αξόνων, όπως ορίζεται στο παράρτημα 1 του εν λόγω κανονισμού.</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Ειδικοί όροι για τους συνδυασμούς AB-διπλό</w:t>
      </w:r>
    </w:p>
    <w:p w14:paraId="073EC131" w14:textId="237096A5" w:rsidR="00553E8F" w:rsidRPr="00553E8F" w:rsidRDefault="00553E8F" w:rsidP="00553E8F">
      <w:pPr>
        <w:pStyle w:val="Tabelltext"/>
        <w:rPr>
          <w:b/>
        </w:rPr>
      </w:pPr>
      <w:r>
        <w:t>Εικόνα 3. Συνδυασμός AB-διπλό</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 xml:space="preserve">Εμπρόσθιο </w:t>
      </w:r>
      <w:proofErr w:type="spellStart"/>
      <w:r>
        <w:rPr>
          <w:rStyle w:val="Fparagrafbeteckning"/>
          <w:rFonts w:asciiTheme="minorHAnsi" w:hAnsiTheme="minorHAnsi"/>
          <w:b w:val="0"/>
        </w:rPr>
        <w:t>ημιρυμουλκούμενο</w:t>
      </w:r>
      <w:proofErr w:type="spellEnd"/>
      <w:r>
        <w:rPr>
          <w:rStyle w:val="Fparagrafbeteckning"/>
          <w:rFonts w:asciiTheme="minorHAnsi" w:hAnsiTheme="minorHAnsi"/>
          <w:b w:val="0"/>
        </w:rPr>
        <w:t xml:space="preserve"> ζεύξης</w:t>
      </w:r>
    </w:p>
    <w:p w14:paraId="18071B35" w14:textId="4DDDC41C" w:rsidR="00DC28E4" w:rsidRDefault="00700B2F" w:rsidP="00DC28E4">
      <w:pPr>
        <w:pStyle w:val="Stycke"/>
      </w:pPr>
      <w:r>
        <w:rPr>
          <w:rStyle w:val="Fparagrafbeteckning"/>
        </w:rPr>
        <w:t>Άρθρο 24 </w:t>
      </w:r>
      <w:r>
        <w:t xml:space="preserve">Ο τελευταίος άξονας του </w:t>
      </w:r>
      <w:proofErr w:type="spellStart"/>
      <w:r>
        <w:t>ημιρυμουλκούμενου</w:t>
      </w:r>
      <w:proofErr w:type="spellEnd"/>
      <w:r>
        <w:t xml:space="preserve"> ζεύξης σε συνδυασμό AB-διπλό πρέπει να είναι </w:t>
      </w:r>
      <w:proofErr w:type="spellStart"/>
      <w:r>
        <w:t>αυτοστρεφόμενος</w:t>
      </w:r>
      <w:proofErr w:type="spellEnd"/>
      <w:r>
        <w:t xml:space="preserve"> σε ταχύτητες </w:t>
      </w:r>
      <w:r>
        <w:lastRenderedPageBreak/>
        <w:t>τουλάχιστον 30 χιλιομέτρων ανά ώρα αλλά όχι άνω των 40 χιλιομέτρων ανά ώρα.</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 xml:space="preserve">Οπίσθιο </w:t>
      </w:r>
      <w:proofErr w:type="spellStart"/>
      <w:r>
        <w:rPr>
          <w:rStyle w:val="Fparagrafbeteckning"/>
          <w:rFonts w:asciiTheme="minorHAnsi" w:hAnsiTheme="minorHAnsi"/>
          <w:b w:val="0"/>
        </w:rPr>
        <w:t>ημιρυμουλκούμενο</w:t>
      </w:r>
      <w:proofErr w:type="spellEnd"/>
    </w:p>
    <w:p w14:paraId="1B73D4D2" w14:textId="1FA00255" w:rsidR="00DC28E4" w:rsidRPr="00DC28E4" w:rsidRDefault="00DC28E4" w:rsidP="00884605">
      <w:pPr>
        <w:pStyle w:val="Stycke"/>
        <w:spacing w:before="120"/>
      </w:pPr>
      <w:r>
        <w:rPr>
          <w:rStyle w:val="Fparagrafbeteckning"/>
        </w:rPr>
        <w:t>Άρθρο 25 </w:t>
      </w:r>
      <w:r>
        <w:t xml:space="preserve">Η απόσταση μεταξύ της εμπρόσθιας διάταξης ζεύξης και του κέντρου του πρώτου άξονα του οπίσθιου </w:t>
      </w:r>
      <w:proofErr w:type="spellStart"/>
      <w:r>
        <w:t>ημιρυμουλκούμενου</w:t>
      </w:r>
      <w:proofErr w:type="spellEnd"/>
      <w:r>
        <w:t xml:space="preserve"> πρέπει να είναι τουλάχιστον 6,2 μέτρα.</w:t>
      </w:r>
    </w:p>
    <w:p w14:paraId="21991F17" w14:textId="4E162EF8" w:rsidR="000F4BE7" w:rsidRPr="00456CC7" w:rsidRDefault="000F4BE7" w:rsidP="00456CC7">
      <w:pPr>
        <w:pStyle w:val="Heading4"/>
        <w:rPr>
          <w:rStyle w:val="Fparagrafbeteckning"/>
          <w:rFonts w:asciiTheme="minorHAnsi" w:hAnsiTheme="minorHAnsi"/>
          <w:b w:val="0"/>
        </w:rPr>
      </w:pPr>
      <w:r>
        <w:t>Συσκευές σύζευξη</w:t>
      </w:r>
      <w:r>
        <w:rPr>
          <w:rStyle w:val="Fparagrafbeteckning"/>
          <w:rFonts w:asciiTheme="minorHAnsi" w:hAnsiTheme="minorHAnsi"/>
          <w:b w:val="0"/>
        </w:rPr>
        <w:t>ς</w:t>
      </w:r>
    </w:p>
    <w:p w14:paraId="0C0726DC" w14:textId="4B7E5DD9" w:rsidR="005C6621" w:rsidRDefault="000123E4" w:rsidP="005C6621">
      <w:pPr>
        <w:pStyle w:val="Stycke"/>
        <w:spacing w:before="120"/>
      </w:pPr>
      <w:r>
        <w:rPr>
          <w:b/>
        </w:rPr>
        <w:t>Άρθρο 26 </w:t>
      </w:r>
      <w:r>
        <w:t>Οι διατάξεις ζεύξης πρέπει να εγκριθούν σύμφωνα με τον κανονισμό ECE 55 σειρά τροποποιήσεων 01 ή νεότερη. Όσον αφορά τις τιμές επιδόσεων, τα ιατροτεχνολογικά προϊόντα συμμορφώνονται με τα άρθρα 27 έως 31.</w:t>
      </w:r>
    </w:p>
    <w:p w14:paraId="1EB16C68" w14:textId="25745D90" w:rsidR="00D52C0D" w:rsidRDefault="00894B88" w:rsidP="00417958">
      <w:pPr>
        <w:pStyle w:val="Stycke"/>
        <w:spacing w:before="120"/>
      </w:pPr>
      <w:r>
        <w:rPr>
          <w:rStyle w:val="Fparagrafbeteckning"/>
        </w:rPr>
        <w:t>Άρθρο 27 </w:t>
      </w:r>
      <w:r>
        <w:t xml:space="preserve">Η διάταξη ζεύξης του </w:t>
      </w:r>
      <w:proofErr w:type="spellStart"/>
      <w:r>
        <w:t>βαρέος</w:t>
      </w:r>
      <w:proofErr w:type="spellEnd"/>
      <w:r>
        <w:t xml:space="preserve"> οχήματος έχει τιμή συνεχούς ρεύματος (DC) τουλάχιστον 150 </w:t>
      </w:r>
      <w:proofErr w:type="spellStart"/>
      <w:r>
        <w:t>kN</w:t>
      </w:r>
      <w:proofErr w:type="spellEnd"/>
      <w:r>
        <w:t xml:space="preserve"> και τιμή V τουλάχιστον 35 </w:t>
      </w:r>
      <w:proofErr w:type="spellStart"/>
      <w:r>
        <w:t>kN</w:t>
      </w:r>
      <w:proofErr w:type="spellEnd"/>
      <w:r>
        <w:t xml:space="preserve">. Ωστόσο, η τιμή DC μπορεί να είναι μικρότερη από 150 </w:t>
      </w:r>
      <w:proofErr w:type="spellStart"/>
      <w:r>
        <w:t>kN</w:t>
      </w:r>
      <w:proofErr w:type="spellEnd"/>
      <w:r>
        <w:t xml:space="preserve"> αλλά όχι μικρότερη από 130 </w:t>
      </w:r>
      <w:proofErr w:type="spellStart"/>
      <w:r>
        <w:t>kN</w:t>
      </w:r>
      <w:proofErr w:type="spellEnd"/>
      <w:r>
        <w:t xml:space="preserve">, εάν η διάταξη ζεύξης έχει τιμή D τουλάχιστον 180 </w:t>
      </w:r>
      <w:proofErr w:type="spellStart"/>
      <w:r>
        <w:t>kN</w:t>
      </w:r>
      <w:proofErr w:type="spellEnd"/>
      <w:r>
        <w:t xml:space="preserve"> και τιμή V τουλάχιστον 60 </w:t>
      </w:r>
      <w:proofErr w:type="spellStart"/>
      <w:r>
        <w:t>kN</w:t>
      </w:r>
      <w:proofErr w:type="spellEnd"/>
      <w:r>
        <w:t>.</w:t>
      </w:r>
    </w:p>
    <w:p w14:paraId="19FE55DC" w14:textId="04D31C61" w:rsidR="001E5EAB" w:rsidRDefault="001E5EAB" w:rsidP="00D52C0D">
      <w:pPr>
        <w:pStyle w:val="Styckemedindrag"/>
      </w:pPr>
      <w:r>
        <w:t xml:space="preserve">Εάν η συνολική μεικτή μάζα του οδικού συρμού υπερβαίνει τους 64 τόνους αλλά δεν υπερβαίνει τους 70 τόνους, η διάταξη ζεύξης έχει τιμή συνεχούς ρεύματος τουλάχιστον 160 </w:t>
      </w:r>
      <w:proofErr w:type="spellStart"/>
      <w:r>
        <w:t>kN</w:t>
      </w:r>
      <w:proofErr w:type="spellEnd"/>
      <w:r>
        <w:t xml:space="preserve"> και τιμή V τουλάχιστον 35 </w:t>
      </w:r>
      <w:proofErr w:type="spellStart"/>
      <w:r>
        <w:t>kN</w:t>
      </w:r>
      <w:proofErr w:type="spellEnd"/>
      <w:r>
        <w:t xml:space="preserve">. Ωστόσο, η τιμή DC μπορεί να είναι μικρότερη από 160 </w:t>
      </w:r>
      <w:proofErr w:type="spellStart"/>
      <w:r>
        <w:t>kN</w:t>
      </w:r>
      <w:proofErr w:type="spellEnd"/>
      <w:r>
        <w:t xml:space="preserve"> αλλά όχι μικρότερη από 130 </w:t>
      </w:r>
      <w:proofErr w:type="spellStart"/>
      <w:r>
        <w:t>kN</w:t>
      </w:r>
      <w:proofErr w:type="spellEnd"/>
      <w:r>
        <w:t xml:space="preserve">, εάν η διάταξη ζεύξης έχει τιμή D τουλάχιστον 180 </w:t>
      </w:r>
      <w:proofErr w:type="spellStart"/>
      <w:r>
        <w:t>kN</w:t>
      </w:r>
      <w:proofErr w:type="spellEnd"/>
      <w:r>
        <w:t xml:space="preserve"> και τιμή V τουλάχιστον 60 </w:t>
      </w:r>
      <w:proofErr w:type="spellStart"/>
      <w:r>
        <w:t>kN</w:t>
      </w:r>
      <w:proofErr w:type="spellEnd"/>
      <w:r>
        <w:t>.</w:t>
      </w:r>
    </w:p>
    <w:p w14:paraId="038F3E58" w14:textId="38BFECB2" w:rsidR="00894B88" w:rsidRPr="00894B88" w:rsidRDefault="00894B88" w:rsidP="00D52C0D">
      <w:pPr>
        <w:pStyle w:val="Styckemedindrag"/>
      </w:pPr>
      <w:r>
        <w:t xml:space="preserve">Εάν η συνολική μεικτή μάζα του οδικού συρμού υπερβαίνει τους 70 τόνους αλλά δεν υπερβαίνει τους 74 τόνους, η διάταξη ζεύξης έχει τιμή συνεχούς ρεύματος τουλάχιστον 180 </w:t>
      </w:r>
      <w:proofErr w:type="spellStart"/>
      <w:r>
        <w:t>kN</w:t>
      </w:r>
      <w:proofErr w:type="spellEnd"/>
      <w:r>
        <w:t xml:space="preserve"> και τιμή V τουλάχιστον 35 </w:t>
      </w:r>
      <w:proofErr w:type="spellStart"/>
      <w:r>
        <w:t>kN</w:t>
      </w:r>
      <w:proofErr w:type="spellEnd"/>
      <w:r>
        <w:t xml:space="preserve">. Ωστόσο, η τιμή DC μπορεί να είναι μικρότερη από 180 </w:t>
      </w:r>
      <w:proofErr w:type="spellStart"/>
      <w:r>
        <w:t>kN</w:t>
      </w:r>
      <w:proofErr w:type="spellEnd"/>
      <w:r>
        <w:t xml:space="preserve"> αλλά όχι μικρότερη από 130 </w:t>
      </w:r>
      <w:proofErr w:type="spellStart"/>
      <w:r>
        <w:t>kN</w:t>
      </w:r>
      <w:proofErr w:type="spellEnd"/>
      <w:r>
        <w:t xml:space="preserve"> εάν η διάταξη ζεύξης έχει τιμή D τουλάχιστον 200 </w:t>
      </w:r>
      <w:proofErr w:type="spellStart"/>
      <w:r>
        <w:t>kN</w:t>
      </w:r>
      <w:proofErr w:type="spellEnd"/>
      <w:r>
        <w:t xml:space="preserve"> και τιμή V τουλάχιστον 60 </w:t>
      </w:r>
      <w:proofErr w:type="spellStart"/>
      <w:r>
        <w:t>kN</w:t>
      </w:r>
      <w:proofErr w:type="spellEnd"/>
      <w:r>
        <w:t>.</w:t>
      </w:r>
    </w:p>
    <w:p w14:paraId="6B2D4DAE" w14:textId="28DCA9C8" w:rsidR="00D52C0D" w:rsidRDefault="000123E4" w:rsidP="00770E89">
      <w:pPr>
        <w:pStyle w:val="Stycke"/>
        <w:spacing w:before="120"/>
      </w:pPr>
      <w:r>
        <w:rPr>
          <w:rStyle w:val="Fparagrafbeteckning"/>
        </w:rPr>
        <w:t>Άρθρο 28 </w:t>
      </w:r>
      <w:r>
        <w:t xml:space="preserve">Η πρόσθια διάταξη ζεύξης της καρότσας έχει τιμή συνεχούς ρεύματος τουλάχιστον 150 </w:t>
      </w:r>
      <w:proofErr w:type="spellStart"/>
      <w:r>
        <w:t>kN</w:t>
      </w:r>
      <w:proofErr w:type="spellEnd"/>
      <w:r>
        <w:t xml:space="preserve"> και τιμή V τουλάχιστον 35 </w:t>
      </w:r>
      <w:proofErr w:type="spellStart"/>
      <w:r>
        <w:t>kN</w:t>
      </w:r>
      <w:proofErr w:type="spellEnd"/>
      <w:r>
        <w:t xml:space="preserve">. Ωστόσο, η τιμή DC μπορεί να είναι μικρότερη από 150 </w:t>
      </w:r>
      <w:proofErr w:type="spellStart"/>
      <w:r>
        <w:t>kN</w:t>
      </w:r>
      <w:proofErr w:type="spellEnd"/>
      <w:r>
        <w:t xml:space="preserve"> αλλά όχι μικρότερη από 130 </w:t>
      </w:r>
      <w:proofErr w:type="spellStart"/>
      <w:r>
        <w:t>kN</w:t>
      </w:r>
      <w:proofErr w:type="spellEnd"/>
      <w:r>
        <w:t xml:space="preserve">, εάν η διάταξη ζεύξης έχει τιμή D τουλάχιστον 180 </w:t>
      </w:r>
      <w:proofErr w:type="spellStart"/>
      <w:r>
        <w:t>kN</w:t>
      </w:r>
      <w:proofErr w:type="spellEnd"/>
      <w:r>
        <w:t xml:space="preserve"> και τιμή V τουλάχιστον 60 </w:t>
      </w:r>
      <w:proofErr w:type="spellStart"/>
      <w:r>
        <w:t>kN</w:t>
      </w:r>
      <w:proofErr w:type="spellEnd"/>
      <w:r>
        <w:t>.</w:t>
      </w:r>
    </w:p>
    <w:p w14:paraId="5DA847D2" w14:textId="239D1819" w:rsidR="001E5EAB" w:rsidRDefault="001E5EAB" w:rsidP="001E5EAB">
      <w:pPr>
        <w:pStyle w:val="Styckemedindrag"/>
      </w:pPr>
      <w:r>
        <w:t xml:space="preserve">Εάν η συνολική μεικτή μάζα του οδικού συρμού υπερβαίνει τους 64 τόνους αλλά δεν υπερβαίνει τους 70 τόνους, η διάταξη ζεύξης έχει τιμή συνεχούς ρεύματος τουλάχιστον 160 </w:t>
      </w:r>
      <w:proofErr w:type="spellStart"/>
      <w:r>
        <w:t>kN</w:t>
      </w:r>
      <w:proofErr w:type="spellEnd"/>
      <w:r>
        <w:t xml:space="preserve"> και τιμή V τουλάχιστον 35 </w:t>
      </w:r>
      <w:proofErr w:type="spellStart"/>
      <w:r>
        <w:t>kN</w:t>
      </w:r>
      <w:proofErr w:type="spellEnd"/>
      <w:r>
        <w:t xml:space="preserve">. Ωστόσο, η τιμή DC μπορεί να είναι μικρότερη από 160 </w:t>
      </w:r>
      <w:proofErr w:type="spellStart"/>
      <w:r>
        <w:t>kN</w:t>
      </w:r>
      <w:proofErr w:type="spellEnd"/>
      <w:r>
        <w:t xml:space="preserve"> αλλά όχι μικρότερη από 130 </w:t>
      </w:r>
      <w:proofErr w:type="spellStart"/>
      <w:r>
        <w:t>kN</w:t>
      </w:r>
      <w:proofErr w:type="spellEnd"/>
      <w:r>
        <w:t xml:space="preserve">, εάν η διάταξη ζεύξης έχει τιμή D τουλάχιστον 180 </w:t>
      </w:r>
      <w:proofErr w:type="spellStart"/>
      <w:r>
        <w:t>kN</w:t>
      </w:r>
      <w:proofErr w:type="spellEnd"/>
      <w:r>
        <w:t xml:space="preserve"> και τιμή V τουλάχιστον 60 </w:t>
      </w:r>
      <w:proofErr w:type="spellStart"/>
      <w:r>
        <w:t>kN</w:t>
      </w:r>
      <w:proofErr w:type="spellEnd"/>
      <w:r>
        <w:t>.</w:t>
      </w:r>
    </w:p>
    <w:p w14:paraId="2790CFD2" w14:textId="7E40EFC3" w:rsidR="00700B2F" w:rsidRDefault="001E5EAB" w:rsidP="001E5EAB">
      <w:pPr>
        <w:pStyle w:val="Styckemedindrag"/>
      </w:pPr>
      <w:r>
        <w:lastRenderedPageBreak/>
        <w:t xml:space="preserve">Εάν η συνολική μεικτή μάζα του οδικού συρμού υπερβαίνει τους 70 τόνους αλλά δεν υπερβαίνει τους 74 τόνους, η διάταξη ζεύξης έχει τιμή συνεχούς ρεύματος τουλάχιστον 180 </w:t>
      </w:r>
      <w:proofErr w:type="spellStart"/>
      <w:r>
        <w:t>kN</w:t>
      </w:r>
      <w:proofErr w:type="spellEnd"/>
      <w:r>
        <w:t xml:space="preserve"> και τιμή V τουλάχιστον 35 </w:t>
      </w:r>
      <w:proofErr w:type="spellStart"/>
      <w:r>
        <w:t>kN</w:t>
      </w:r>
      <w:proofErr w:type="spellEnd"/>
      <w:r>
        <w:t xml:space="preserve">. Ωστόσο, η τιμή DC μπορεί να είναι μικρότερη από 180 </w:t>
      </w:r>
      <w:proofErr w:type="spellStart"/>
      <w:r>
        <w:t>kN</w:t>
      </w:r>
      <w:proofErr w:type="spellEnd"/>
      <w:r>
        <w:t xml:space="preserve"> αλλά όχι μικρότερη από 130 </w:t>
      </w:r>
      <w:proofErr w:type="spellStart"/>
      <w:r>
        <w:t>kN</w:t>
      </w:r>
      <w:proofErr w:type="spellEnd"/>
      <w:r>
        <w:t xml:space="preserve"> εάν η διάταξη ζεύξης έχει τιμή D τουλάχιστον 200 </w:t>
      </w:r>
      <w:proofErr w:type="spellStart"/>
      <w:r>
        <w:t>kN</w:t>
      </w:r>
      <w:proofErr w:type="spellEnd"/>
      <w:r>
        <w:t xml:space="preserve"> και τιμή V τουλάχιστον 60 </w:t>
      </w:r>
      <w:proofErr w:type="spellStart"/>
      <w:r>
        <w:t>kN</w:t>
      </w:r>
      <w:proofErr w:type="spellEnd"/>
      <w:r>
        <w:t>.</w:t>
      </w:r>
    </w:p>
    <w:p w14:paraId="455D475B" w14:textId="4C9C36E0" w:rsidR="00700B2F" w:rsidRDefault="00D96C34" w:rsidP="00D52C0D">
      <w:pPr>
        <w:pStyle w:val="Stycke"/>
        <w:spacing w:before="120"/>
      </w:pPr>
      <w:r>
        <w:rPr>
          <w:rStyle w:val="Fparagrafbeteckning"/>
        </w:rPr>
        <w:t>Άρθρο 29 </w:t>
      </w:r>
      <w:r>
        <w:t xml:space="preserve">Η οπίσθια διάταξη ζεύξης της καρότσας πρέπει να έχει τιμή D τουλάχιστον 130 </w:t>
      </w:r>
      <w:proofErr w:type="spellStart"/>
      <w:r>
        <w:t>kN</w:t>
      </w:r>
      <w:proofErr w:type="spellEnd"/>
      <w:r>
        <w:t>.</w:t>
      </w:r>
    </w:p>
    <w:p w14:paraId="3033F0F7" w14:textId="36470EF6" w:rsidR="00700B2F" w:rsidRPr="00700B2F" w:rsidRDefault="00DC28E4" w:rsidP="00D52C0D">
      <w:pPr>
        <w:pStyle w:val="Stycke"/>
        <w:spacing w:before="120"/>
      </w:pPr>
      <w:r>
        <w:rPr>
          <w:rStyle w:val="Fparagrafbeteckning"/>
        </w:rPr>
        <w:t>Άρθρο 30 </w:t>
      </w:r>
      <w:r>
        <w:rPr>
          <w:rStyle w:val="Fparagrafbeteckning"/>
          <w:b w:val="0"/>
        </w:rPr>
        <w:t>Η</w:t>
      </w:r>
      <w:r>
        <w:t xml:space="preserve"> μπροστινή διάταξη ζεύξης του </w:t>
      </w:r>
      <w:proofErr w:type="spellStart"/>
      <w:r>
        <w:t>ημιρυμουλκούμενου</w:t>
      </w:r>
      <w:proofErr w:type="spellEnd"/>
      <w:r>
        <w:t xml:space="preserve"> ζεύξης πρέπει να έχει τιμή D τουλάχιστον 130 </w:t>
      </w:r>
      <w:proofErr w:type="spellStart"/>
      <w:r>
        <w:t>kN</w:t>
      </w:r>
      <w:proofErr w:type="spellEnd"/>
      <w:r>
        <w:t xml:space="preserve">. Η οπίσθια διάταξη ζεύξης έχει τιμή D τουλάχιστον 130 </w:t>
      </w:r>
      <w:proofErr w:type="spellStart"/>
      <w:r>
        <w:t>kN</w:t>
      </w:r>
      <w:proofErr w:type="spellEnd"/>
      <w:r>
        <w:t>.</w:t>
      </w:r>
    </w:p>
    <w:p w14:paraId="1F88EC27" w14:textId="7CC9501A" w:rsidR="00047D65" w:rsidRDefault="000123E4" w:rsidP="00FF6EB9">
      <w:pPr>
        <w:pStyle w:val="Stycke"/>
        <w:spacing w:before="120"/>
      </w:pPr>
      <w:r>
        <w:rPr>
          <w:rStyle w:val="Fparagrafbeteckning"/>
        </w:rPr>
        <w:t>Άρθρο 31 </w:t>
      </w:r>
      <w:r>
        <w:t xml:space="preserve">Η διάταξη ζεύξης του οπίσθιου </w:t>
      </w:r>
      <w:proofErr w:type="spellStart"/>
      <w:r>
        <w:t>ημιρυμουλκούμενου</w:t>
      </w:r>
      <w:proofErr w:type="spellEnd"/>
      <w:r>
        <w:t xml:space="preserve"> πρέπει να έχει τιμή D τουλάχιστον 130 </w:t>
      </w:r>
      <w:proofErr w:type="spellStart"/>
      <w:r>
        <w:t>kN</w:t>
      </w:r>
      <w:proofErr w:type="spellEnd"/>
      <w:r>
        <w:t>.</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Οι παρόντες κανονισμοί τίθενται σε ισχύ την </w:t>
      </w:r>
      <w:r>
        <w:rPr>
          <w:highlight w:val="yellow"/>
        </w:rPr>
        <w:t xml:space="preserve">ημέρα μήνα </w:t>
      </w:r>
      <w:r>
        <w:t>έτος.</w:t>
      </w:r>
    </w:p>
    <w:p w14:paraId="3B391984" w14:textId="58CD2006" w:rsidR="00047D65" w:rsidRPr="00047D65" w:rsidRDefault="00047D65" w:rsidP="00EA023A">
      <w:pPr>
        <w:pStyle w:val="Beslutandeochfredragande"/>
      </w:pPr>
      <w:r>
        <w:t>Εξ ονόματος της Σουηδικής Υπηρεσίας Μεταφορών</w:t>
      </w:r>
      <w:r>
        <w:br/>
      </w:r>
      <w:r>
        <w:br/>
        <w:t>JONAS BJELFVENSTAM</w:t>
      </w:r>
      <w:r>
        <w:br/>
      </w:r>
      <w:r>
        <w:tab/>
      </w:r>
      <w:proofErr w:type="spellStart"/>
      <w:r>
        <w:t>Omar</w:t>
      </w:r>
      <w:proofErr w:type="spellEnd"/>
      <w:r>
        <w:t xml:space="preserve"> </w:t>
      </w:r>
      <w:proofErr w:type="spellStart"/>
      <w:r>
        <w:t>Bagdadi</w:t>
      </w:r>
      <w:proofErr w:type="spellEnd"/>
      <w:r>
        <w:br/>
      </w:r>
      <w:r>
        <w:tab/>
        <w:t>(Οδοί και Σιδηρόδρομοι)</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A1D6" w14:textId="77777777" w:rsidR="00EF4EBE" w:rsidRDefault="00EF4EBE">
      <w:r>
        <w:separator/>
      </w:r>
    </w:p>
    <w:p w14:paraId="4D884943" w14:textId="77777777" w:rsidR="00EF4EBE" w:rsidRDefault="00EF4EBE"/>
  </w:endnote>
  <w:endnote w:type="continuationSeparator" w:id="0">
    <w:p w14:paraId="4C56C491" w14:textId="77777777" w:rsidR="00EF4EBE" w:rsidRDefault="00EF4EBE">
      <w:r>
        <w:continuationSeparator/>
      </w:r>
    </w:p>
    <w:p w14:paraId="37BFB9C2" w14:textId="77777777" w:rsidR="00EF4EBE" w:rsidRDefault="00EF4EBE"/>
  </w:endnote>
  <w:endnote w:type="continuationNotice" w:id="1">
    <w:p w14:paraId="0676C045" w14:textId="77777777" w:rsidR="00EF4EBE" w:rsidRDefault="00EF4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28CC7AE8" w:rsidR="00925C91" w:rsidRDefault="00925C91" w:rsidP="00D104F7">
                          <w:pPr>
                            <w:pStyle w:val="FSnr-sidhuvud"/>
                            <w:ind w:left="0" w:right="0"/>
                          </w:pPr>
                          <w:r>
                            <w:fldChar w:fldCharType="begin"/>
                          </w:r>
                          <w:r>
                            <w:instrText xml:space="preserve"> STYLEREF  FS-nr  \* MERGEFORMAT </w:instrText>
                          </w:r>
                          <w:r>
                            <w:fldChar w:fldCharType="separate"/>
                          </w:r>
                          <w:r w:rsidR="00F15BAD">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28CC7AE8" w:rsidR="00925C91" w:rsidRDefault="00925C91" w:rsidP="00D104F7">
                    <w:pPr>
                      <w:pStyle w:val="FSnr-sidhuvud"/>
                      <w:ind w:left="0" w:right="0"/>
                    </w:pPr>
                    <w:r>
                      <w:fldChar w:fldCharType="begin"/>
                    </w:r>
                    <w:r>
                      <w:instrText xml:space="preserve"> STYLEREF  FS-nr  \* MERGEFORMAT </w:instrText>
                    </w:r>
                    <w:r>
                      <w:fldChar w:fldCharType="separate"/>
                    </w:r>
                    <w:r w:rsidR="00F15BAD">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1BE0" w14:textId="77777777" w:rsidR="00EF4EBE" w:rsidRDefault="00EF4EBE"/>
  </w:footnote>
  <w:footnote w:type="continuationSeparator" w:id="0">
    <w:p w14:paraId="3B708831" w14:textId="77777777" w:rsidR="00EF4EBE" w:rsidRDefault="00EF4EBE">
      <w:r>
        <w:continuationSeparator/>
      </w:r>
    </w:p>
    <w:p w14:paraId="672599A3" w14:textId="77777777" w:rsidR="00EF4EBE" w:rsidRDefault="00EF4EBE"/>
  </w:footnote>
  <w:footnote w:type="continuationNotice" w:id="1">
    <w:p w14:paraId="6A2442A3" w14:textId="77777777" w:rsidR="00EF4EBE" w:rsidRDefault="00EF4EBE"/>
    <w:p w14:paraId="0C1D5BCF" w14:textId="77777777" w:rsidR="00EF4EBE" w:rsidRDefault="00EF4EBE"/>
  </w:footnote>
  <w:footnote w:id="2">
    <w:p w14:paraId="09FC70B9" w14:textId="34E3A6D0" w:rsidR="00925C91" w:rsidRDefault="00925C91" w:rsidP="00B71032">
      <w:pPr>
        <w:pStyle w:val="FootnoteText"/>
      </w:pPr>
      <w:r>
        <w:rPr>
          <w:rStyle w:val="FootnoteReference"/>
        </w:rPr>
        <w:footnoteRef/>
      </w:r>
      <w:r>
        <w:t xml:space="preserve"> Βλ. οδηγία (ΕΕ) 2015/1535 του Ευρωπαϊκού Κοινοβουλίου και</w:t>
      </w:r>
      <w:r>
        <w:rPr>
          <w:i/>
        </w:rPr>
        <w:t xml:space="preserve"> </w:t>
      </w:r>
      <w:r>
        <w:t>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00000" w:rsidP="00F15BAD">
    <w:pPr>
      <w:pStyle w:val="FSnr-sidhuvud"/>
      <w:ind w:left="-2070"/>
    </w:pPr>
    <w:sdt>
      <w:sdtPr>
        <w:alias w:val="Κώδικας Νόμων"/>
        <w:id w:val="-668563778"/>
        <w:text/>
      </w:sdtPr>
      <w:sdtContent>
        <w:r w:rsidR="00E044E9">
          <w:t>TSFS 20</w:t>
        </w:r>
      </w:sdtContent>
    </w:sdt>
    <w:sdt>
      <w:sdtPr>
        <w:alias w:val="Έτος"/>
        <w:tag w:val="År"/>
        <w:id w:val="651943009"/>
        <w:showingPlcHdr/>
        <w:dataBinding w:prefixMappings="xmlns:ns0='consensis-fs'" w:xpath="/ns0:root[1]/ns0:fs-fields[1]/ns0:fs-year[1]" w:storeItemID="{F222B965-9C48-4AC7-962E-E2AF3EEF1550}"/>
        <w:text/>
      </w:sdtPr>
      <w:sdtContent>
        <w:r w:rsidR="00E044E9">
          <w:rPr>
            <w:rStyle w:val="PlaceholderText"/>
          </w:rPr>
          <w:t>[Έτος]</w:t>
        </w:r>
      </w:sdtContent>
    </w:sdt>
    <w:r w:rsidR="00E044E9">
      <w:t>:</w:t>
    </w:r>
    <w:sdt>
      <w:sdtPr>
        <w:alias w:val="Αριθ."/>
        <w:tag w:val="Nr"/>
        <w:id w:val="170307869"/>
        <w:showingPlcHdr/>
        <w:dataBinding w:prefixMappings="xmlns:ns0='consensis-fs'" w:xpath="/ns0:root[1]/ns0:fs-fields[1]/ns0:fs-no[1]" w:storeItemID="{F222B965-9C48-4AC7-962E-E2AF3EEF1550}"/>
        <w:text/>
      </w:sdtPr>
      <w:sdtContent>
        <w:r w:rsidR="00E044E9">
          <w:rPr>
            <w:rStyle w:val="PlaceholderText"/>
          </w:rPr>
          <w:t>[Αριθ.]</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00000" w:rsidP="00F15BAD">
    <w:pPr>
      <w:pStyle w:val="FSnr-sidhuvud"/>
      <w:ind w:right="-2079"/>
      <w:jc w:val="right"/>
    </w:pPr>
    <w:sdt>
      <w:sdtPr>
        <w:alias w:val="Κώδικας Νόμων"/>
        <w:id w:val="1150257239"/>
        <w:text/>
      </w:sdtPr>
      <w:sdtContent>
        <w:r w:rsidR="00E044E9">
          <w:t>TSFS 20</w:t>
        </w:r>
      </w:sdtContent>
    </w:sdt>
    <w:sdt>
      <w:sdtPr>
        <w:alias w:val="Έτος"/>
        <w:tag w:val="År"/>
        <w:id w:val="-620143070"/>
        <w:showingPlcHdr/>
        <w:dataBinding w:prefixMappings="xmlns:ns0='consensis-fs'" w:xpath="/ns0:root[1]/ns0:fs-fields[1]/ns0:fs-year[1]" w:storeItemID="{F222B965-9C48-4AC7-962E-E2AF3EEF1550}"/>
        <w:text/>
      </w:sdtPr>
      <w:sdtContent>
        <w:r w:rsidR="00E044E9">
          <w:rPr>
            <w:rStyle w:val="PlaceholderText"/>
          </w:rPr>
          <w:t>[Έτος]</w:t>
        </w:r>
      </w:sdtContent>
    </w:sdt>
    <w:r w:rsidR="00E044E9">
      <w:t>:</w:t>
    </w:r>
    <w:sdt>
      <w:sdtPr>
        <w:alias w:val="Αριθ."/>
        <w:tag w:val="Nr"/>
        <w:id w:val="-2001035287"/>
        <w:showingPlcHdr/>
        <w:dataBinding w:prefixMappings="xmlns:ns0='consensis-fs'" w:xpath="/ns0:root[1]/ns0:fs-fields[1]/ns0:fs-no[1]" w:storeItemID="{F222B965-9C48-4AC7-962E-E2AF3EEF1550}"/>
        <w:text/>
      </w:sdtPr>
      <w:sdtContent>
        <w:r w:rsidR="00E044E9">
          <w:rPr>
            <w:rStyle w:val="PlaceholderText"/>
          </w:rPr>
          <w:t>[Αριθ.]</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41B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4EBE"/>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5BAD"/>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l-GR"/>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l-GR"/>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l-GR"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[Επιλέξτε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324DE2"/>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ΟΔΟΙ</fs-series>
    <fs-subseries/>
    <fs-heading>τεχνικές απαιτήσεις για συνδυασμούς οχημάτων μήκους άνω των 25,25 μέτρων</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20</TotalTime>
  <Pages>7</Pages>
  <Words>1687</Words>
  <Characters>9618</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6</cp:revision>
  <cp:lastPrinted>2023-03-07T06:51:00Z</cp:lastPrinted>
  <dcterms:created xsi:type="dcterms:W3CDTF">2023-04-28T11:45:00Z</dcterms:created>
  <dcterms:modified xsi:type="dcterms:W3CDTF">2023-05-11T10:18:00Z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