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ГЛАВА 4:</w:t>
      </w:r>
      <w:r>
        <w:rPr>
          <w:sz w:val="22"/>
        </w:rPr>
        <w:t xml:space="preserve"> </w:t>
      </w:r>
      <w:r>
        <w:rPr>
          <w:sz w:val="22"/>
        </w:rPr>
        <w:t xml:space="preserve">Достъпност до транспортни средства</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Когато таксиметрова услуга се предлага чрез резервации по телефона, тази услуга трябва да разшири средствата за заявка, като използва нови технологии, приложения, интернет, текстови съобщения, факсове или други подобни средства, така че всички потребители, включително тези с увреден слух, да могат да заявят услугата самостоятелно.</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Когато услугата „такси по заявка“ има уебсайт, тя трябва да бъде достъпна, поне на ниво АА съгласно насоките на WCAG 2.1.</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Наемането на такси, което е достъпно за лица с намалена подвижност по телефона, чрез интернет или мобилно приложение, не може да бъде предмет на добавка към очаквано търсене.</w:t>
      </w:r>
      <w:r>
        <w:rPr>
          <w:sz w:val="22"/>
        </w:rPr>
        <w:t xml:space="preserve"> </w:t>
      </w:r>
      <w:r>
        <w:rPr>
          <w:sz w:val="22"/>
        </w:rPr>
        <w:t xml:space="preserve">Картата за инвалидност служи като доказателство, в случай че бъде поискана.</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ГЛАВА 5:</w:t>
      </w:r>
      <w:r>
        <w:rPr>
          <w:sz w:val="22"/>
        </w:rPr>
        <w:t xml:space="preserve"> </w:t>
      </w:r>
      <w:r>
        <w:rPr>
          <w:sz w:val="22"/>
        </w:rPr>
        <w:t xml:space="preserve">Достъпност на продуктите</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Член 116.</w:t>
      </w:r>
      <w:r>
        <w:rPr>
          <w:sz w:val="22"/>
        </w:rPr>
        <w:tab/>
      </w:r>
      <w:r>
        <w:rPr>
          <w:sz w:val="22"/>
        </w:rPr>
        <w:t xml:space="preserve">Потребителски продукти</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Даден продукт се счита за достъпен, когато отговаря на следните условия:</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Той има достъпен етикет, съобразен с неговите характеристики, който позволява да бъде идентифициран, с името и най-подходящата информация.</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Дизайнът му следва универсални критерии за проектиране, с подходящи условия за употреба и условия за безопасност за всеки потребител.</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Допълнителна информация, инструкции или проспекти могат да бъдат консултирани чрез интернет, приложения за устройства и използване на нови технологии, като достъпното съдържание отговаря на условията на параграфи 25 и 26 от приложение 5а.</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Дружествата, които предлагат даден продукт на пазара, са отговорни да гарантират, че условията за достъп, които се прилагат за него, са изпълнени.</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Фармацевтичните продукти и опасните продукти трябва да включват елементи от данни и системи, така че слепите или глухонемите хора да имат достъп до следната информация:</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Идентификация на наименованието на продукта върху опаковката с помощта на брайловата азбука и иконографията.</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Срока на годност върху опаковката с помощта на брайловата азбука и иконографията или други алтернативни ресурси, които осигуряват същите характеристики.</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Основните характеристики на продукта, като например неговия състав и съхранение, наред с другото, чрез аудио търсене по интернет или по друг начин, който позволява нови технологии със същата ефективност, по заявка на асоциации за хора със зрителни увреждания.</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Веригите супермаркети и дружествата с хранителни или смесени обекти, на всички места, където имат помещения с полезна площ над 250 m² за обществено ползване, по искане на незрящо лице или на негов роднина, трябва да гарантират следните условия:</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Поне един от обектите в населеното място да извършва етикетиране на наименованията и срока на годност на брайлова азбука върху бързоразвалящите се продукти или продуктите, които могат да предизвикат объркване, посредством принтери или системи, позволяващи такова етикетиране на брайлова азбука, в самия обект.</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Продуктите, продавани онлайн и доставяни до домовете, също да са етикетирани на брайлова азбука, както е посочено в точката по-горе.</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Търговското разпространение, извършвано по интернет или по друг начин, да предоставя информация в достъпен формат, в която помещенията са тези, които предлагат възможност за етикетиране на продуктите на брайлова азбука.</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В общините с над 50 000 жители всеки квартал се счита за различен териториален район и се приравнява на населено място за целите на прилагането на предходния параграф.</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Администрацията на Generalitat трябва непрекъснато да разработва технически инструкции, които да включват новите технологични постижения, и да определя спецификациите, сроковете, характеристиките и критериите за достъпно етикетиране, както и универсалните насоки за проектиране, приложими за продуктите в различните търговски сектори.</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Слепите и глухонемите потребители имат право на достъп до една и съща информация за продукта, която всички потребители и ползватели получават от етикета му самостоятелно, обикновено, лесно, незабавно и при равни условия.</w:t>
      </w:r>
      <w:r>
        <w:rPr>
          <w:sz w:val="22"/>
        </w:rPr>
        <w:t xml:space="preserve"> </w:t>
      </w:r>
      <w:r>
        <w:rPr>
          <w:sz w:val="22"/>
        </w:rPr>
        <w:t xml:space="preserve">За тази цел достъпното етикетиране трябва да отговаря на следните условия:</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То трябва да предоставя възможно най-много информация, като предоставя на потребителите с увреждания същите условия като на останалите потребители.</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То трябва да позволява информацията да се получава независимо, бързо, удобно, пряко и по стандартизиран начин, без да се изискват големи технически познания или използване на технологични средства.</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То не трябва да налага допълнителни разходи за потребителите с увреждания.</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То не трябва да генерира недопустими разходи за дружества.</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Задължените дружества, които предлагат електронни търговски услуги, трябва да включат в съответния уебсайт възможността закупените по този начин продукти да бъдат доставени с достъпното етикетиране.</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Системата за арбитраж на потребителите и нейните процедури и процеси трябва да бъдат достъпни за хората с увреждания.</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Публичните и частните служби за обслужване на потребителите трябва да предприемат мерки за улесняване на достъпността на комуникацията за хората с увреден слух, които общуват на жестомимичен език и устно, с достатъчно средства за подкрепа.</w:t>
      </w:r>
      <w:r>
        <w:rPr>
          <w:sz w:val="22"/>
        </w:rPr>
        <w:t xml:space="preserve"> </w:t>
      </w:r>
      <w:r>
        <w:rPr>
          <w:sz w:val="22"/>
        </w:rPr>
        <w:t xml:space="preserve">Освен това те трябва да имат инсталиран слухова уредба в 20 % от бюрата за обществени услуги и техният персонал трябва да е готов да предоставя информация на хората с увреждания от всякакъв вид в рамките на максимален срок от 3 години от влизането в сила на настоящия кодекс.</w:t>
      </w:r>
    </w:p>
    <w:p w14:paraId="178D066A" w14:textId="77777777" w:rsidR="00CC0ADF" w:rsidRDefault="00CC0ADF">
      <w:pPr>
        <w:rPr>
          <w:lang w:val="es-ES"/>
        </w:rPr>
      </w:pPr>
    </w:p>
    <w:p w14:paraId="3EF53236" w14:textId="476D7F11" w:rsidR="00E526B5" w:rsidRDefault="00B670F2">
      <w:r>
        <w:rPr>
          <w:sz w:val="22"/>
        </w:rPr>
        <w:t xml:space="preserve">ГЛАВА 6:</w:t>
      </w:r>
      <w:r>
        <w:rPr>
          <w:sz w:val="22"/>
        </w:rPr>
        <w:t xml:space="preserve"> </w:t>
      </w:r>
      <w:r>
        <w:rPr>
          <w:sz w:val="22"/>
        </w:rPr>
        <w:t xml:space="preserve">Достъпност на услугите</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Обществените услуги, които имат отворени за обществеността уебсайтове, трябва да предоставят информация относно достъпността на тези услуги, както и относно техните връзки, средства и процедури.</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Уебсайтовете, приложенията за мобилни устройства и други продукти и услуги на информационните и комуникационните технологии, предлагани от обществените услуги, трябва да отговарят на условията, посочени в приложение 5а към настоящия кодекс, и на стандарт UNE-EN 301549:2022 или на този, който го заменя, в съответствие с Директива (ЕС) 2016/2102 на Европейския парламент и на Съвета и транспонирането, извършено с Кралски указ 112/2018 от 7 септември 2018 г. относно достъпността на уебсайтовете и приложенията за мобилни устройства в публичния сектор, без да се засяга регламентът на компетентния орган по този въпрос в Каталуния.</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Уебсайтовете и мобилните приложения на вериги супермаркети и хранителни или смесени обекти с полезна площ за обществено ползване над 500 m², предлагащи възможност за закупуване онлайн и получаване на продукти чрез доставка по домовете, трябва да бъдат достъпни, в съответствие с условията на параграфи 25 и 26 от приложение 5а, и да постигат най-малко двойно ниво на съответствие по отношение на достъпността А (АА) в съответствие с насоките на WCAG 2.1, в следните ситуации:</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когато става въпрос за новосъздадени страници или приложения;</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когато се променят съществуващите страници или приложения;</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когато сроковете, посочени в параграф 4 от приложение 6б, са спазени чрез адаптиране на съществуващите страници и заявления.</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Уебстраниците и приложенията за мобилни устройства, които позволяват банкиране, договаряне или всякакъв друг вид управление или консултация по отношение на продукти, договорени във физически офис, трябва да бъдат достъпни в съответствие с условията на параграфи 25 и 26 от приложение 5а и да постигат най-малко двойно ниво на съответствие по отношение на достъпността А (АА) в съответствие с насоките на WCAG 2.1 в следните ситуации:</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когато става въпрос за новосъздадени страници или приложения;</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когато се променят съществуващите страници или приложения;</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когато сроковете, посочени в параграф 5 от приложение 6б, са спазени чрез адаптиране на съществуващите страници и заявления.</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Уебсайтовете и мобилните приложения на хотелски вериги и обекти с капацитет над 100 места, които позволяват сключването на договори за настаняване и онлайн услуги, трябва да бъдат достъпни в съответствие с условията на параграфи 25 и 26 от приложение 5а и да постигат най-малко двойно ниво на съответствие по отношение на достъпността А (АА) в съответствие с насоките на WCAG 2.1 в следните ситуации:</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когато става въпрос за новосъздадени страници или приложения;</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когато се променят съществуващите страници или приложения;</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когато са спазени сроковете, посочени в параграф 7 от приложение 6б за адаптиране на съществуващите страници и заявления.</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Уебсайтовете и мобилните приложения на обектите или сдруженията на обектите трябва да бъдат достъпни в съответствие с условията, посочени в параграфи 25 и 26 от приложение 5а;</w:t>
      </w:r>
      <w:r>
        <w:rPr>
          <w:sz w:val="22"/>
        </w:rPr>
        <w:t xml:space="preserve"> </w:t>
      </w:r>
      <w:r>
        <w:rPr>
          <w:sz w:val="22"/>
        </w:rPr>
        <w:t xml:space="preserve">да постигат най-малко двойно ниво на съответствие по отношение на достъпността A (AA) в съответствие с насоките на WCAG 2.1 и предоставяне на информацията, посочена в предходните параграфи, в следните ситуации:</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когато става въпрос за новосъздадени страници или приложения;</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когато се променят съществуващите страници или приложения;</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когато са спазени сроковете, посочени в параграф 3 от приложение 6б за адаптиране на съществуващите страници и заявления.</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Уебсайтовете и мобилните приложения на спортните заведения и клубовете, които предлагат продажба на билети за шоута на място, трябва да бъдат достъпни и да предоставят необходимата информация при същите условия като посочените в член 133 за услугите, свързани със сценичните изкуства.</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Уебсайтовете и мобилните приложения на учебните заведения, предоставящи официално образование, трябва да бъдат достъпни в съответствие с условията на параграфи 25 и 26 от приложение 5а и да постигат най-малко двойно ниво на съответствие по отношение на достъпността А (АА) в съответствие с насоките на WCAG 2.1 в следните ситуации:</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когато става въпрос за новосъздадени страници или приложения;</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когато се променят съществуващите страници или приложения;</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когато сроковете, посочени в параграф 8 от приложение 6б, са спазени чрез адаптиране на съществуващите страници и заявления.</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Член 138.</w:t>
      </w:r>
      <w:r>
        <w:rPr>
          <w:sz w:val="22"/>
        </w:rPr>
        <w:tab/>
      </w:r>
      <w:r>
        <w:rPr>
          <w:sz w:val="22"/>
        </w:rPr>
        <w:t xml:space="preserve">Основни услуги, услуги от общ интерес или финансирани публични услуги</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Уебсайтовете на каталунските публични и публичноправни корпорации, както и всички тези, които са стартирани с финансиране от публичната администрация и тези от субекти или дружества, които предоставят обществени услуги чрез концесия или на договорна основа с публичната администрация, трябва да отговарят на изискванията, посочени в параграф 25 от приложение 5а и да постигат двойно ниво на съответствие по отношение на достъпността А (АА) в съответствие с насоките на WCAG 2.1, без да се засяга регламентът, приет от компетентния орган по този въпрос в Каталуния в съответствие с Кралски указ 1112/2018 от 7 септември 2018 г. относно достъпността на уебсайтовете и приложенията за мобилни устройства в публичния сектор.</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Уебсайтовете на частни субекти, предоставящи основни услуги или услуги от общ интерес, включително електроенергия, водоснабдяване или газ и телекомуникации, както и здравни, пощенски и банкови услуги, също трябва да отговарят на изискванията, посочени в параграф 25 от приложение 5а и на двойното ниво на съответствие А (АА) по отношение на достъпността в съответствие с насоките на WCAG 2.1.</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Приложенията на мобилни устройства в публичния сектор и субектите, посочени в параграфи 138.1 и 138.2 по-горе, трябва да отговарят на изискванията за достъпност, посочени в параграф 26 от приложение 5а, без да се засяга регламентът, приет от компетентния орган по този въпрос в Каталуния.</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Изискванията за достъпност на уебсайтовете и мобилните приложения, посочени в настоящия член, се прилагат, при условие че не създават непропорционална тежест за субекта, който трябва да ги прилага, в съответствие със следните обстоятелства:</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измеренията, ресурсите и естеството на конкретния субект;</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разходите и ползите от страна на субекта и очакваните ползи за потребителите, като се вземат предвид честотата и продължителността на използването на този уебсайт или приложение;</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дискриминационните последици за хората с увреждания, ако уебсайтът или приложението не са достъпни в случай, че на пазара има уебсайтове или алтернативни приложения, които предлагат същата функция и условия;</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Публичният сектор или субектът, който използва освобождаването, предвидено в параграф 138.4 по-горе, трябва да обясни кои изисквания за достъпност не могат да бъдат изпълнени в декларацията за достъпност на уебсайта или приложението и трябва да предложи достъпни алтернативи в рамките на възможностите.</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Уебстраниците и мобилните приложения трябва да отговарят на условията за достъпност, посочени в предходните параграфи, преди крайните срокове, посочени в параграф 2 от приложение 6б.</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Доставчиците на услуги и производителите, доставящи ИТ оборудване и софтуер на каталунския публичен сектор, и субектите, посочени в параграф 138.1, трябва да включат допълнителните елементи и характеристики за достъпност, необходими за осигуряване на достъп до цифрово съдържание за хората с увреждания.</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Обществените и частните телевизионни мрежи в Каталуния трябва да разработят планове за достъпност на тяхното съдържание, за да направят програмите си достъпни за хора със сензорни и интелектуални увреждания.</w:t>
      </w:r>
      <w:r>
        <w:rPr>
          <w:sz w:val="22"/>
        </w:rPr>
        <w:t xml:space="preserve"> </w:t>
      </w:r>
      <w:r>
        <w:rPr>
          <w:sz w:val="22"/>
        </w:rPr>
        <w:t xml:space="preserve">Тези планове трябва да позволяват постигането на следните цели в рамките на максимален срок от 3 години от влизането в сила на настоящия кодекс:</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Обществени телевизионни мрежи:</w:t>
      </w:r>
      <w:r>
        <w:rPr>
          <w:sz w:val="22"/>
        </w:rPr>
        <w:t xml:space="preserve"> </w:t>
      </w:r>
      <w:r>
        <w:rPr>
          <w:sz w:val="22"/>
        </w:rPr>
        <w:t xml:space="preserve">Те трябва да предлагат 100 % от програмирането със субтитри и да предоставят минимум 15 часа седмично съдържание с аудио описание и 10 часа седмично на каталонски жестомимичен език.</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Частни телевизионни мрежи:</w:t>
      </w:r>
      <w:r>
        <w:rPr>
          <w:sz w:val="22"/>
        </w:rPr>
        <w:t xml:space="preserve"> </w:t>
      </w:r>
      <w:r>
        <w:rPr>
          <w:sz w:val="22"/>
        </w:rPr>
        <w:t xml:space="preserve">Те трябва да предлагат 75 % от програмирането със субтитри и да предоставят минимум 10 часа седмично съдържание с аудио описание и 7 часа седмично на каталонски жестомимичен език.</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Програмирането на каталонски жестомимичен език трябва да включва новинарски програми и детски предавания, налични в офертата за предварително записано гледане, когато тази услуга е налична.</w:t>
      </w:r>
      <w:r>
        <w:rPr>
          <w:sz w:val="22"/>
        </w:rPr>
        <w:t xml:space="preserve"> </w:t>
      </w:r>
      <w:r>
        <w:rPr>
          <w:sz w:val="22"/>
        </w:rPr>
        <w:t xml:space="preserve">Това програмиране трябва да обхваща всеки ден от седмицата.</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Дружествата, разпространяващи кинематографични и аудио-визуални произведения, трябва да включват системи за субтитриране, аудио-описание и аудионавигация, за предпочитане в чуждестранни и местни филми, които имат по-добри цени за боксофис или са получили национални или международни награди, за да бъдат достъпни чрез DVD или подобни системи с тези функции.</w:t>
      </w:r>
    </w:p>
    <w:p w14:paraId="0F3986EB" w14:textId="77777777" w:rsidR="003920DF" w:rsidRDefault="003920DF">
      <w:pPr>
        <w:rPr>
          <w:lang w:val="es-ES"/>
        </w:rPr>
      </w:pPr>
    </w:p>
    <w:p w14:paraId="44244122" w14:textId="3BAB5CCF" w:rsidR="00E526B5" w:rsidRDefault="00B670F2">
      <w:r>
        <w:rPr>
          <w:sz w:val="22"/>
        </w:rPr>
        <w:t xml:space="preserve">ГЛАВА 11:</w:t>
      </w:r>
      <w:r>
        <w:rPr>
          <w:sz w:val="22"/>
        </w:rPr>
        <w:t xml:space="preserve"> </w:t>
      </w:r>
      <w:r>
        <w:rPr>
          <w:sz w:val="22"/>
        </w:rPr>
        <w:t xml:space="preserve">Значка за качество на достъпността</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Обществените консултации със заведения, сгради и публични субекти, които имат пропуск за качество, трябва да са възможни най-малко по интернет, без да се засягат други средства, които могат да се считат за подходящи.</w:t>
      </w:r>
    </w:p>
    <w:p w14:paraId="6CBE5DDA" w14:textId="77777777" w:rsidR="00E526B5" w:rsidRDefault="00E526B5">
      <w:pPr>
        <w:rPr>
          <w:lang w:val="es-ES"/>
        </w:rPr>
      </w:pPr>
    </w:p>
    <w:p w14:paraId="3BFAD248" w14:textId="66A7955A" w:rsidR="00E526B5" w:rsidRDefault="00CF1E0D">
      <w:r>
        <w:rPr>
          <w:sz w:val="22"/>
        </w:rPr>
        <w:t xml:space="preserve">Приложение 5a:</w:t>
      </w:r>
      <w:r>
        <w:rPr>
          <w:sz w:val="22"/>
        </w:rPr>
        <w:t xml:space="preserve"> </w:t>
      </w:r>
      <w:r>
        <w:rPr>
          <w:sz w:val="22"/>
        </w:rPr>
        <w:t xml:space="preserve">Стандарти за достъпност на продуктите</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Достъпни уебстраници</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Насоките, които трябва да се следват при проектирането и създаването на уебсайт, и условията, при които той е достъпен, са следните:</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конфигурирайте съдържанието така, че да може да бъде адаптирано към различни софтуери, устройства и поддържащи продукти, без да губите информация или структура;</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осигурете текстови алтернативи или описателна идентификация за нетекстово съдържание (изображения, графики, мултимедийно съдържание);</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включете субтитри и аудио описание за мултимедийно съдържание, когато е необходимо за правилното разбиране на съобщението;</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осигурете механизми, които дават възможност за изключване и регулиране на силата на звука;</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не използвайте цвета като единственото средство за предаване на информация, посочване на действие или разграничаване на елемент;</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текстът и изображенията трябва да имат достатъчен контраст с фона и размер, който позволява да се четат удобно;</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размерът на текста трябва да може да се коригира от самата страница без помощта на поддържащи продукти и без загуба на съдържание или функционалност;</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осигурете достъп до всички функционалности на страницата чрез клавиатура с решение, което не противоречи на екранните четци и увеличителни устройства;</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позволете на потребителя да контролира информацията или обектите, които автоматично се преместват или актуализират, като има възможност да ги спира, скрива или да контролира честотата.</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улеснете навигацията чрез структуриране на съдържанието в съгласуван ред и осигуряване на ясни навигационни механизми;</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включете информация с насоки, за да помогнете на потребителите да разберат сложните елементи и да осигурят механизми за откриване и предотвратяване на грешки при въвеждането на данни от тях;</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идентифицирайте езика, използван във всеки абзац или документ на уебсайта, така че екранните четци и синтезаторите на глас да могат автоматично да откриват и променят езика;</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използвайте ясен и разбираем език, за да направите съдържанието лесно разбираемо и да включите дефиницията на най-необичайните думи и значението на инициали и съкращения;</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увеличете максимално съвместимостта с приложенията, софтуера и устройствата, които потребителите могат да имат, включително продуктите за поддръжка;</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уверете се, че документите, публикувани в интернет, са достъпни и четими за екранните четци;</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предоставяйте достъпни канали за комуникация, различни от телефон, чрез електронна поща, SMS или формуляри, с време за обработка, което не е дискриминационно в сравнение с това на телефонното обаждане;</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изпълнете критериите в съответствие с насоките на WCAG 2.1 на едно от нейните нива, с условията, определени в стандарт UNE 139803:2012 или този, който го заменя, с изключение на случаите, в които настоящият кодекс изисква по-високо ниво.</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Достъпни приложения</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Приложенията, достъпни за мобилни устройства, трябва да отговарят на условията, определени в стандарт UNE 139803:2012 или на този, който го заменя, и да отговарят на следните общи критерии:</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всички съобщения, помощни системи и текстове трябва да бъдат написани на ясен и прост език;</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текстът трябва да бъде разбираем, с размер и шрифт, които улесняват четенето;</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цветният контраст на елементите с фона трябва да бъде достатъчен;</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органите за управление, обектите, иконите и изображенията трябва да бъдат разпознаваеми, лесни за използване и да имат свързан алтернативен текст, указващ тяхната функция или значение;</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предупредителните звуци трябва да имат визуални или вибрационни алтернативи;</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процесът на достъп до услугата трябва да бъде безпроблемен и бърз;</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приложението трябва да бъде съвместимо с поддържащи продукти, като например екранни четци, увеличителни устройства и гласови команди;</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приложението трябва да е съвместимо с инструментите за достъпност на операционната система.</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Приложение 6б:</w:t>
      </w:r>
      <w:r>
        <w:rPr>
          <w:sz w:val="22"/>
        </w:rPr>
        <w:t xml:space="preserve"> </w:t>
      </w:r>
      <w:r>
        <w:rPr>
          <w:sz w:val="22"/>
        </w:rPr>
        <w:t xml:space="preserve">Срокове за адаптиране на съществуващите услуги към определените условия</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Съвместимост с други изисквани условия</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Условията на настоящото приложение 6б не засягат задължението за съответствие преди посочените крайни срокове на изискваните условия за достъпност в случай на изменение на съществуващи елементи или ресурси.</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Каталунски публичен сектор, публичноправни дружества и субекти-доставчици на обществени услуги</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Следните крайни срокове са определени за уебсайтовете и мобилните приложения на каталунския публичен сектор, публичноправните дружества и субекти или дружества, които предоставят обществени услуги чрез концесия или на договорна основа с публичната администрация, за да бъдат достъпни и да отговарят на условията, посочени в член 138:</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1 година от влизането в сила на настоящия кодекс:</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уебсайтовете на каталунския публичен сектор и публичноправните дружества;</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2 години от влизането в сила на настоящия кодекс:</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приложения за мобилни устройства в каталунския публичен сектор и публичноправните дружества;</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3 години от влизането в сила на настоящия кодекс:</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уебсайтове и приложения за мобилни устройства на субекти или дружества, които предоставят обществени услуги чрез концесия или на договорна основа с публичната администрация.</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Посочените срокове са определени, без да се засяга спазването на най-строгите срокове, които се изискват от характеристиките на услугата в съответствие с останалите точки от настоящото приложение или от други регламенти, които я уреждат.</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Услуги, свързани със сценични изкуства, кина и спортни събития</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Следните крайни срокове са определени така, че уебсайтовете на заведението и електронните канали за продажба на билети да могат да бъдат достъпни и да отговарят на условията, посочени в член 133:</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2 години от влизането в сила на настоящия кодекс:</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уебсайтове и мобилни приложения на заведения с капацитет, равен на или по-голям от 2 000 места на цялата площ,</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уебсайтове и мобилни приложения на онлайн платформи за продажба на билети, които управляват повече от едно заведение с общ капацитет, равен на или по-голям от 2 000 места;</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3 години от влизането в сила на настоящия кодекс:</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уебсайтове и мобилни приложения на онлайн платформи за продажба на билети, които управляват повече от едно заведение с общ капацитет, по-малък от 2 000 места;</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4 години от влизането в сила на настоящия кодекс:</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уебсайтове и мобилни приложения на заведения с капацитет по-малък от 2 000 места на цялата площ.</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Търговски услуги</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Следните крайни срокове са определени така, че уебсайтовете и мобилните приложения, предлагащи възможност за онлайн пазаруване, и тези на веригите супермаркети, както и дружествата с хранителни или смесени обекти, да могат да бъдат достъпни и да отговарят на условията, посочени в член 126:</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2 години от влизането в сила на настоящия кодекс:</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уебсайтове и приложения за мобилни устройства на вериги супермаркети, които имат 10 или повече обекта и помещения с над 500 m² полезно пространство за обществено ползване;</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3 години от влизането в сила на настоящия кодекс:</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уебсайтове и приложения за мобилни устройства на вериги супермаркети, които имат между 5 и 9 обекта и помещения с над 500 m² полезно пространство за обществено ползване;</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4 години от влизането в сила на настоящия кодекс:</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уебсайтове и приложения за мобилни устройства на вериги супермаркети и хранителни или смесени магазини, които имат помещения с полезна площ над 500 m² за обществено ползване.</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Финансови и застрахователни услуги</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Следните крайни срокове са определени така, че уебсайтовете и приложенията за мобилни устройства, които позволяват извършването на банкови операции, сключване на договори, консултации с медицински съвети или всякакъв друг вид управление или консултация относно продуктите, договорени със субекта, да могат да са достъпни и да отговарят на условията, посочени в член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1 година от влизането в сила на настоящия кодекс:</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уебсайтове;</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2 години от влизането в сила на настоящия кодекс:</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приложения за мобилни устройства.</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Услуги, свързани с частния транспорт</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Следните крайни срокове са определени така, че дружествата, предлагащи услуга за отдаване под наем на превозни средства за самостоятелно шофиране, с автопарк от над 100 превозни средства, и тези, които предлагат услуга за отдаване под наем на превозни средства, управлявани от шофьор, с автопарк от над 50 превозни средства, да могат да отговарят на условията, посочени в член 128:</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1 година от влизането в сила на настоящия кодекс:</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те трябва да разполагат със и да предлагат превозни средства, подходящи за превозване на лица в инвалидни колички, които не са шофьори, като броят на превозните средства трябва да е равен или по-голям от 1 % от управлявания от тях автопарк,</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те трябва да разполагат със и да предлагат адаптирани превозни средства за водачи с намалена подвижност, като броят им трябва да е равен или по-голям от 0,5 % от управлявания от тях автопарк,</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посочените в предходните точки наличности, могат да бъдат осигурени със собствени превозни средства или чрез споразумения с други оператори, които гарантират достатъчна наличност;</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3 години от влизането в сила на настоящия кодекс:</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най-малко 0,5 % от превозните средства в собствения им автопарк трябва да могат да превозват лица в инвалидни колички, които не са шофьори;</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6 години от влизането в сила на настоящия кодекс:</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най-малко 2 % от превозните средства в собствения им автопарк трябва да могат да превозват лица в инвалидни колички, които не са шофьори,</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най-малко 0,5 % от превозните средства в собствения им автопарк трябва да бъдат адаптирани за водачи с намалена подвижност.</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Услуги, свързани с туристическо настаняване</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Следните крайни срокове са определени така, че уебсайтовете и мобилните приложения на хотелски вериги и обекти с капацитет над 100 стаи, които позволяват резервации за настаняване и онлайн услуги, да могат да бъдат достъпни и да отговарят на условията, посочени в член 130:</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2 години от влизането в сила на настоящия кодекс:</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уебсайтове и мобилни приложения на хотелски вериги, които имат 5 или повече обекта и общо предлагане на повече от 500 стаи;</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3 години от влизането в сила на настоящия кодекс:</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уебсайтове и мобилни приложения на хотелски вериги, които имат до 4 обекта и общо предлагане на повече от 500 стаи,</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уебсайтове и мобилни приложения на обекти с 500 или повече стаи;</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4 години от влизането в сила на настоящия кодекс:</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уебсайтове и мобилни приложения на хотелски вериги, които имат общо предлагане между 100 и 500 стаи,</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уебсайтове и приложения за мобилни устройства на обекти, които имат между 50 и 500 стаи.</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Образователни услуги</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Следните крайни срокове са определени така, че уебсайтовете и мобилните приложения на учебните заведения, предоставящи официално образование, да могат да бъдат достъпни и да отговарят на условията, посочени в член 135:</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2 години от влизането в сила на настоящия кодекс:</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уебстраници и приложения за мобилни устройства, които позволяват търсене на академични записи, управление на фактури или други онлайн процеси;</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3 години от влизането в сила на настоящия кодекс:</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уебсайтове и приложения за мобилни устройства, които предоставят информация за училището, материалната база и предлаганите образователни услуги.</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Здравни услуги</w:t>
      </w:r>
    </w:p>
    <w:p w14:paraId="62E28D59" w14:textId="77777777" w:rsidR="00E526B5" w:rsidRPr="000F0A63" w:rsidRDefault="00E526B5" w:rsidP="00E526B5">
      <w:pPr>
        <w:tabs>
          <w:tab w:val="left" w:pos="284"/>
        </w:tabs>
        <w:jc w:val="both"/>
        <w:rPr>
          <w:bCs/>
          <w:sz w:val="22"/>
          <w:szCs w:val="22"/>
          <w:rFonts w:cs="Arial"/>
        </w:rPr>
      </w:pPr>
      <w:r>
        <w:rPr>
          <w:sz w:val="22"/>
        </w:rPr>
        <w:t xml:space="preserve">Здравните центрове с брой легла, по-голям или равен на 50, трябва да отговарят на следните срокове и условия:</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3 години от влизането в сила на настоящия кодекс:</w:t>
      </w:r>
    </w:p>
    <w:p w14:paraId="727C4E74" w14:textId="77777777" w:rsidR="00E526B5" w:rsidRPr="000F0A63" w:rsidRDefault="00E526B5" w:rsidP="00E526B5">
      <w:pPr>
        <w:tabs>
          <w:tab w:val="left" w:pos="284"/>
        </w:tabs>
        <w:jc w:val="both"/>
        <w:rPr>
          <w:sz w:val="22"/>
          <w:szCs w:val="22"/>
          <w:rFonts w:cs="Arial"/>
        </w:rPr>
      </w:pPr>
      <w:r>
        <w:rPr>
          <w:sz w:val="22"/>
        </w:rPr>
        <w:t xml:space="preserve">да разполагат с инфраструктура, мобилни устройства и протоколи за обслужване на глухи чрез каталонски жестомимичен език посредством технология за дистанционен превод, с капацитет не по-малко от 2 % от леглата.</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