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509F" w14:textId="5B803B4D" w:rsidR="001253BF" w:rsidRPr="001253BF" w:rsidRDefault="00B9401A" w:rsidP="001253BF">
      <w:pPr>
        <w:spacing w:line="312" w:lineRule="auto"/>
        <w:ind w:left="-426" w:right="-426"/>
        <w:jc w:val="center"/>
        <w:rPr>
          <w:rFonts w:asciiTheme="minorHAnsi" w:hAnsiTheme="minorHAnsi" w:cstheme="minorHAnsi"/>
          <w:b/>
          <w:sz w:val="22"/>
        </w:rPr>
      </w:pPr>
      <w:r>
        <w:rPr>
          <w:rFonts w:asciiTheme="minorHAnsi" w:hAnsiTheme="minorHAnsi" w:cstheme="minorHAnsi"/>
          <w:b/>
          <w:sz w:val="22"/>
        </w:rPr>
        <w:t>PROYECTO DE REAL DECRETO POR EL</w:t>
      </w:r>
      <w:r w:rsidR="001253BF" w:rsidRPr="001253BF">
        <w:rPr>
          <w:rFonts w:asciiTheme="minorHAnsi" w:hAnsiTheme="minorHAnsi" w:cstheme="minorHAnsi"/>
          <w:b/>
          <w:sz w:val="22"/>
        </w:rPr>
        <w:t xml:space="preserve"> QUE SE</w:t>
      </w:r>
      <w:r w:rsidR="001253BF" w:rsidRPr="001253BF">
        <w:rPr>
          <w:rFonts w:asciiTheme="minorHAnsi" w:hAnsiTheme="minorHAnsi" w:cstheme="minorHAnsi"/>
          <w:sz w:val="22"/>
        </w:rPr>
        <w:t xml:space="preserve"> </w:t>
      </w:r>
      <w:r w:rsidR="001253BF" w:rsidRPr="001253BF">
        <w:rPr>
          <w:rFonts w:asciiTheme="minorHAnsi" w:hAnsiTheme="minorHAnsi" w:cstheme="minorHAnsi"/>
          <w:b/>
          <w:sz w:val="22"/>
        </w:rPr>
        <w:t>MODIFICA EL CÓDIGO TÉCNICO DE LA EDIFICACIÓN, APROBADO POR REAL DECRETO 314/2006, DE 17 DE MARZO.</w:t>
      </w:r>
    </w:p>
    <w:p w14:paraId="10DEC0D3" w14:textId="77777777" w:rsidR="001253BF" w:rsidRPr="001253BF" w:rsidRDefault="001253BF" w:rsidP="001253BF">
      <w:pPr>
        <w:spacing w:line="312" w:lineRule="auto"/>
        <w:ind w:right="110"/>
        <w:jc w:val="both"/>
        <w:rPr>
          <w:rFonts w:asciiTheme="minorHAnsi" w:hAnsiTheme="minorHAnsi" w:cstheme="minorHAnsi"/>
        </w:rPr>
      </w:pPr>
    </w:p>
    <w:tbl>
      <w:tblPr>
        <w:tblStyle w:val="Tablaconcuadrcula"/>
        <w:tblW w:w="9356" w:type="dxa"/>
        <w:tblInd w:w="-289" w:type="dxa"/>
        <w:tblLook w:val="04A0" w:firstRow="1" w:lastRow="0" w:firstColumn="1" w:lastColumn="0" w:noHBand="0" w:noVBand="1"/>
      </w:tblPr>
      <w:tblGrid>
        <w:gridCol w:w="3828"/>
        <w:gridCol w:w="5528"/>
      </w:tblGrid>
      <w:tr w:rsidR="001253BF" w:rsidRPr="001253BF" w14:paraId="311EF2ED" w14:textId="77777777" w:rsidTr="001253BF">
        <w:tc>
          <w:tcPr>
            <w:tcW w:w="3828" w:type="dxa"/>
          </w:tcPr>
          <w:p w14:paraId="11BA3C4B" w14:textId="060AED13" w:rsidR="001253BF" w:rsidRPr="001253BF" w:rsidRDefault="001253BF" w:rsidP="00EF4A67">
            <w:pPr>
              <w:rPr>
                <w:rFonts w:asciiTheme="minorHAnsi" w:hAnsiTheme="minorHAnsi" w:cstheme="minorHAnsi"/>
                <w:b/>
              </w:rPr>
            </w:pPr>
            <w:r w:rsidRPr="001253BF">
              <w:rPr>
                <w:rFonts w:asciiTheme="minorHAnsi" w:hAnsiTheme="minorHAnsi" w:cstheme="minorHAnsi"/>
                <w:b/>
              </w:rPr>
              <w:t>Remitente entidad</w:t>
            </w:r>
          </w:p>
        </w:tc>
        <w:tc>
          <w:tcPr>
            <w:tcW w:w="5528" w:type="dxa"/>
          </w:tcPr>
          <w:p w14:paraId="30A7D18E" w14:textId="24ED5F38" w:rsidR="001253BF" w:rsidRPr="001253BF" w:rsidRDefault="0022095A" w:rsidP="00EF4A67">
            <w:pPr>
              <w:rPr>
                <w:rFonts w:asciiTheme="minorHAnsi" w:hAnsiTheme="minorHAnsi" w:cstheme="minorHAnsi"/>
              </w:rPr>
            </w:pPr>
            <w:r>
              <w:rPr>
                <w:rFonts w:asciiTheme="minorHAnsi" w:hAnsiTheme="minorHAnsi" w:cstheme="minorHAnsi"/>
              </w:rPr>
              <w:t>AFME – Asociación de Fabricantes de Material Eléctrico</w:t>
            </w:r>
          </w:p>
        </w:tc>
      </w:tr>
    </w:tbl>
    <w:p w14:paraId="223E8B96" w14:textId="77777777" w:rsidR="001253BF" w:rsidRPr="001253BF" w:rsidRDefault="001253BF" w:rsidP="001253BF">
      <w:pPr>
        <w:spacing w:line="312" w:lineRule="auto"/>
        <w:jc w:val="both"/>
        <w:rPr>
          <w:rFonts w:asciiTheme="minorHAnsi" w:hAnsiTheme="minorHAnsi" w:cstheme="minorHAnsi"/>
        </w:rPr>
      </w:pPr>
    </w:p>
    <w:tbl>
      <w:tblPr>
        <w:tblStyle w:val="Tablaconcuadrcula"/>
        <w:tblW w:w="11058" w:type="dxa"/>
        <w:tblInd w:w="-998" w:type="dxa"/>
        <w:tblLook w:val="04A0" w:firstRow="1" w:lastRow="0" w:firstColumn="1" w:lastColumn="0" w:noHBand="0" w:noVBand="1"/>
      </w:tblPr>
      <w:tblGrid>
        <w:gridCol w:w="1844"/>
        <w:gridCol w:w="3544"/>
        <w:gridCol w:w="2693"/>
        <w:gridCol w:w="2977"/>
      </w:tblGrid>
      <w:tr w:rsidR="00E048E0" w:rsidRPr="001253BF" w14:paraId="06F9F871" w14:textId="77777777" w:rsidTr="004A65FC">
        <w:trPr>
          <w:tblHeader/>
        </w:trPr>
        <w:tc>
          <w:tcPr>
            <w:tcW w:w="1844" w:type="dxa"/>
            <w:shd w:val="clear" w:color="auto" w:fill="D9D9D9" w:themeFill="background1" w:themeFillShade="D9"/>
          </w:tcPr>
          <w:p w14:paraId="547DB150" w14:textId="77777777" w:rsidR="001253BF" w:rsidRPr="001253BF" w:rsidRDefault="001253BF" w:rsidP="00EF4A67">
            <w:pPr>
              <w:jc w:val="center"/>
              <w:rPr>
                <w:rFonts w:asciiTheme="minorHAnsi" w:hAnsiTheme="minorHAnsi" w:cstheme="minorHAnsi"/>
                <w:b/>
              </w:rPr>
            </w:pPr>
            <w:r w:rsidRPr="001253BF">
              <w:rPr>
                <w:rFonts w:asciiTheme="minorHAnsi" w:hAnsiTheme="minorHAnsi" w:cstheme="minorHAnsi"/>
                <w:b/>
              </w:rPr>
              <w:t>APARTADO DEL DOCUMENTO</w:t>
            </w:r>
          </w:p>
        </w:tc>
        <w:tc>
          <w:tcPr>
            <w:tcW w:w="3544" w:type="dxa"/>
            <w:shd w:val="clear" w:color="auto" w:fill="D9D9D9" w:themeFill="background1" w:themeFillShade="D9"/>
          </w:tcPr>
          <w:p w14:paraId="75083043" w14:textId="77777777" w:rsidR="001253BF" w:rsidRPr="001253BF" w:rsidRDefault="001253BF" w:rsidP="00EF4A67">
            <w:pPr>
              <w:jc w:val="center"/>
              <w:rPr>
                <w:rFonts w:asciiTheme="minorHAnsi" w:hAnsiTheme="minorHAnsi" w:cstheme="minorHAnsi"/>
                <w:b/>
              </w:rPr>
            </w:pPr>
            <w:r w:rsidRPr="001253BF">
              <w:rPr>
                <w:rFonts w:asciiTheme="minorHAnsi" w:hAnsiTheme="minorHAnsi" w:cstheme="minorHAnsi"/>
                <w:b/>
              </w:rPr>
              <w:t>DONDE DICE:</w:t>
            </w:r>
          </w:p>
        </w:tc>
        <w:tc>
          <w:tcPr>
            <w:tcW w:w="2693" w:type="dxa"/>
            <w:shd w:val="clear" w:color="auto" w:fill="D9D9D9" w:themeFill="background1" w:themeFillShade="D9"/>
          </w:tcPr>
          <w:p w14:paraId="56307140" w14:textId="77777777" w:rsidR="001253BF" w:rsidRPr="001253BF" w:rsidRDefault="001253BF" w:rsidP="00EF4A67">
            <w:pPr>
              <w:jc w:val="center"/>
              <w:rPr>
                <w:rFonts w:asciiTheme="minorHAnsi" w:hAnsiTheme="minorHAnsi" w:cstheme="minorHAnsi"/>
                <w:b/>
              </w:rPr>
            </w:pPr>
            <w:r w:rsidRPr="001253BF">
              <w:rPr>
                <w:rFonts w:asciiTheme="minorHAnsi" w:hAnsiTheme="minorHAnsi" w:cstheme="minorHAnsi"/>
                <w:b/>
              </w:rPr>
              <w:t>DEBE DECIR:</w:t>
            </w:r>
          </w:p>
        </w:tc>
        <w:tc>
          <w:tcPr>
            <w:tcW w:w="2977" w:type="dxa"/>
            <w:shd w:val="clear" w:color="auto" w:fill="D9D9D9" w:themeFill="background1" w:themeFillShade="D9"/>
          </w:tcPr>
          <w:p w14:paraId="1B758848" w14:textId="77777777" w:rsidR="001253BF" w:rsidRPr="001253BF" w:rsidRDefault="001253BF" w:rsidP="00EF4A67">
            <w:pPr>
              <w:jc w:val="center"/>
              <w:rPr>
                <w:rFonts w:asciiTheme="minorHAnsi" w:hAnsiTheme="minorHAnsi" w:cstheme="minorHAnsi"/>
                <w:b/>
              </w:rPr>
            </w:pPr>
            <w:r w:rsidRPr="001253BF">
              <w:rPr>
                <w:rFonts w:asciiTheme="minorHAnsi" w:hAnsiTheme="minorHAnsi" w:cstheme="minorHAnsi"/>
                <w:b/>
              </w:rPr>
              <w:t>JUSTIFICACIÓN</w:t>
            </w:r>
          </w:p>
        </w:tc>
      </w:tr>
      <w:tr w:rsidR="00F325A3" w:rsidRPr="001253BF" w14:paraId="3D7F132A" w14:textId="77777777" w:rsidTr="00A3563D">
        <w:tc>
          <w:tcPr>
            <w:tcW w:w="1844" w:type="dxa"/>
          </w:tcPr>
          <w:p w14:paraId="1222668F" w14:textId="3FE6EE7C" w:rsidR="00F325A3" w:rsidRPr="00161112" w:rsidRDefault="00BA255B" w:rsidP="00F325A3">
            <w:pPr>
              <w:rPr>
                <w:rFonts w:asciiTheme="minorHAnsi" w:eastAsia="CIDFont+F1" w:hAnsiTheme="minorHAnsi" w:cstheme="minorHAnsi"/>
                <w:sz w:val="18"/>
                <w:szCs w:val="18"/>
              </w:rPr>
            </w:pPr>
            <w:r w:rsidRPr="00BA255B">
              <w:rPr>
                <w:rFonts w:asciiTheme="minorHAnsi" w:eastAsia="CIDFont+F1" w:hAnsiTheme="minorHAnsi" w:cstheme="minorHAnsi"/>
                <w:sz w:val="18"/>
                <w:szCs w:val="18"/>
              </w:rPr>
              <w:t>Artículo único.</w:t>
            </w:r>
            <w:r>
              <w:rPr>
                <w:rFonts w:asciiTheme="minorHAnsi" w:eastAsia="CIDFont+F1" w:hAnsiTheme="minorHAnsi" w:cstheme="minorHAnsi"/>
                <w:sz w:val="18"/>
                <w:szCs w:val="18"/>
              </w:rPr>
              <w:t xml:space="preserve"> Uno. Nueva Disposición adicional única. Primer guion.</w:t>
            </w:r>
          </w:p>
        </w:tc>
        <w:tc>
          <w:tcPr>
            <w:tcW w:w="3544" w:type="dxa"/>
          </w:tcPr>
          <w:p w14:paraId="4CC53053" w14:textId="2D548554" w:rsidR="00F325A3" w:rsidRPr="00161112" w:rsidRDefault="00DC4150" w:rsidP="008B2599">
            <w:pPr>
              <w:autoSpaceDE w:val="0"/>
              <w:autoSpaceDN w:val="0"/>
              <w:adjustRightInd w:val="0"/>
              <w:rPr>
                <w:rFonts w:asciiTheme="minorHAnsi" w:eastAsia="CIDFont+F1" w:hAnsiTheme="minorHAnsi" w:cstheme="minorHAnsi"/>
                <w:sz w:val="18"/>
                <w:szCs w:val="18"/>
              </w:rPr>
            </w:pPr>
            <w:r w:rsidRPr="00DC4150">
              <w:rPr>
                <w:rFonts w:asciiTheme="minorHAnsi" w:eastAsia="CIDFont+F1" w:hAnsiTheme="minorHAnsi" w:cstheme="minorHAnsi"/>
                <w:sz w:val="18"/>
                <w:szCs w:val="18"/>
              </w:rPr>
              <w:t>- con carácter general, se instalará una estación de recarga por cada 40 plazas de aparcamiento o fracción, hasta 1.000 plazas, y una estación de recarga más por cada 100 plazas adicionales o fracción. Alternativamente, se solicitará  la licencia o autorización municipal de la obra necesaria para ejecutar esta infraestructura de recarga o, en el supuesto de que el titular del edificio</w:t>
            </w:r>
            <w:r>
              <w:rPr>
                <w:rFonts w:asciiTheme="minorHAnsi" w:eastAsia="CIDFont+F1" w:hAnsiTheme="minorHAnsi" w:cstheme="minorHAnsi"/>
                <w:sz w:val="18"/>
                <w:szCs w:val="18"/>
              </w:rPr>
              <w:t xml:space="preserve"> (…)</w:t>
            </w:r>
          </w:p>
        </w:tc>
        <w:tc>
          <w:tcPr>
            <w:tcW w:w="2693" w:type="dxa"/>
          </w:tcPr>
          <w:p w14:paraId="47E18B88" w14:textId="1127736C" w:rsidR="003A7203" w:rsidRPr="003A7203" w:rsidRDefault="003A7203" w:rsidP="003A7203">
            <w:pPr>
              <w:rPr>
                <w:rFonts w:asciiTheme="minorHAnsi" w:eastAsia="CIDFont+F1" w:hAnsiTheme="minorHAnsi" w:cstheme="minorHAnsi"/>
                <w:sz w:val="18"/>
                <w:szCs w:val="18"/>
              </w:rPr>
            </w:pPr>
            <w:r>
              <w:rPr>
                <w:rFonts w:ascii="Calibri" w:hAnsi="Calibri" w:cs="Calibri"/>
                <w:color w:val="000000"/>
                <w:sz w:val="18"/>
                <w:szCs w:val="18"/>
                <w:shd w:val="clear" w:color="auto" w:fill="FFFFFF"/>
              </w:rPr>
              <w:t>Se propone modificar el guion como sigue:</w:t>
            </w:r>
          </w:p>
          <w:p w14:paraId="29747E59" w14:textId="34B2BBF6" w:rsidR="00DC4150" w:rsidRDefault="00DC4150" w:rsidP="00DC4150">
            <w:pPr>
              <w:pStyle w:val="Prrafodelista"/>
              <w:numPr>
                <w:ilvl w:val="0"/>
                <w:numId w:val="11"/>
              </w:numPr>
              <w:ind w:left="430"/>
              <w:rPr>
                <w:rFonts w:asciiTheme="minorHAnsi" w:eastAsia="CIDFont+F1" w:hAnsiTheme="minorHAnsi" w:cstheme="minorHAnsi"/>
                <w:sz w:val="18"/>
                <w:szCs w:val="18"/>
              </w:rPr>
            </w:pPr>
            <w:r w:rsidRPr="00DC4150">
              <w:rPr>
                <w:rFonts w:asciiTheme="minorHAnsi" w:eastAsia="CIDFont+F1" w:hAnsiTheme="minorHAnsi" w:cstheme="minorHAnsi"/>
                <w:sz w:val="18"/>
                <w:szCs w:val="18"/>
              </w:rPr>
              <w:t xml:space="preserve">con carácter general, se instalará una estación de recarga por cada 40 plazas de aparcamiento o fracción, hasta 1.000 plazas, y una estación de recarga más por cada 100 plazas adicionales o fracción. </w:t>
            </w:r>
          </w:p>
          <w:p w14:paraId="53EADDFD" w14:textId="77777777" w:rsidR="00DC4150" w:rsidRPr="00DC4150" w:rsidRDefault="00DC4150" w:rsidP="00DC4150">
            <w:pPr>
              <w:pStyle w:val="Prrafodelista"/>
              <w:ind w:left="430"/>
              <w:rPr>
                <w:rFonts w:asciiTheme="minorHAnsi" w:eastAsia="CIDFont+F1" w:hAnsiTheme="minorHAnsi" w:cstheme="minorHAnsi"/>
                <w:sz w:val="18"/>
                <w:szCs w:val="18"/>
              </w:rPr>
            </w:pPr>
          </w:p>
          <w:p w14:paraId="43DBB8B8" w14:textId="3B7A9625" w:rsidR="00F325A3" w:rsidRPr="00161112" w:rsidRDefault="00DC4150" w:rsidP="00DC4150">
            <w:pPr>
              <w:ind w:left="430"/>
              <w:rPr>
                <w:rFonts w:asciiTheme="minorHAnsi" w:eastAsia="CIDFont+F1" w:hAnsiTheme="minorHAnsi" w:cstheme="minorHAnsi"/>
                <w:sz w:val="18"/>
                <w:szCs w:val="18"/>
              </w:rPr>
            </w:pPr>
            <w:r w:rsidRPr="00DC4150">
              <w:rPr>
                <w:rFonts w:asciiTheme="minorHAnsi" w:eastAsia="CIDFont+F1" w:hAnsiTheme="minorHAnsi" w:cstheme="minorHAnsi"/>
                <w:sz w:val="18"/>
                <w:szCs w:val="18"/>
              </w:rPr>
              <w:t xml:space="preserve">En este caso, </w:t>
            </w:r>
            <w:r w:rsidRPr="00DC4150">
              <w:rPr>
                <w:rFonts w:asciiTheme="minorHAnsi" w:eastAsia="CIDFont+F1" w:hAnsiTheme="minorHAnsi" w:cstheme="minorHAnsi"/>
                <w:strike/>
                <w:sz w:val="18"/>
                <w:szCs w:val="18"/>
              </w:rPr>
              <w:t>Alternativamente,</w:t>
            </w:r>
            <w:r>
              <w:rPr>
                <w:rFonts w:asciiTheme="minorHAnsi" w:eastAsia="CIDFont+F1" w:hAnsiTheme="minorHAnsi" w:cstheme="minorHAnsi"/>
                <w:sz w:val="18"/>
                <w:szCs w:val="18"/>
              </w:rPr>
              <w:t xml:space="preserve"> se solicitará</w:t>
            </w:r>
            <w:r w:rsidRPr="00DC4150">
              <w:rPr>
                <w:rFonts w:asciiTheme="minorHAnsi" w:eastAsia="CIDFont+F1" w:hAnsiTheme="minorHAnsi" w:cstheme="minorHAnsi"/>
                <w:sz w:val="18"/>
                <w:szCs w:val="18"/>
              </w:rPr>
              <w:t xml:space="preserve"> la licencia o autorización municipal de la obra necesaria para ejecutar esta infraestructura de recarga o, </w:t>
            </w:r>
            <w:r w:rsidRPr="00DC4150">
              <w:rPr>
                <w:rFonts w:asciiTheme="minorHAnsi" w:eastAsia="CIDFont+F1" w:hAnsiTheme="minorHAnsi" w:cstheme="minorHAnsi"/>
                <w:sz w:val="18"/>
                <w:szCs w:val="18"/>
                <w:u w:val="single"/>
              </w:rPr>
              <w:t>alternativamente</w:t>
            </w:r>
            <w:r w:rsidRPr="00DC4150">
              <w:rPr>
                <w:rFonts w:asciiTheme="minorHAnsi" w:eastAsia="CIDFont+F1" w:hAnsiTheme="minorHAnsi" w:cstheme="minorHAnsi"/>
                <w:sz w:val="18"/>
                <w:szCs w:val="18"/>
              </w:rPr>
              <w:t>, en el supuesto de que el titular del edificio (…)</w:t>
            </w:r>
          </w:p>
        </w:tc>
        <w:tc>
          <w:tcPr>
            <w:tcW w:w="2977" w:type="dxa"/>
          </w:tcPr>
          <w:p w14:paraId="5F4A3924" w14:textId="62633CA5" w:rsidR="004D4A21" w:rsidRPr="00BA255B" w:rsidRDefault="00BA255B" w:rsidP="003A1A74">
            <w:pPr>
              <w:rPr>
                <w:rFonts w:asciiTheme="minorHAnsi" w:eastAsia="CIDFont+F1" w:hAnsiTheme="minorHAnsi" w:cstheme="minorHAnsi"/>
                <w:sz w:val="18"/>
                <w:szCs w:val="18"/>
              </w:rPr>
            </w:pPr>
            <w:r w:rsidRPr="00BA255B">
              <w:rPr>
                <w:rFonts w:asciiTheme="minorHAnsi" w:eastAsia="CIDFont+F1" w:hAnsiTheme="minorHAnsi" w:cstheme="minorHAnsi"/>
                <w:sz w:val="18"/>
                <w:szCs w:val="18"/>
              </w:rPr>
              <w:t xml:space="preserve">El </w:t>
            </w:r>
            <w:r>
              <w:rPr>
                <w:rFonts w:asciiTheme="minorHAnsi" w:eastAsia="CIDFont+F1" w:hAnsiTheme="minorHAnsi" w:cstheme="minorHAnsi"/>
                <w:sz w:val="18"/>
                <w:szCs w:val="18"/>
              </w:rPr>
              <w:t xml:space="preserve">actual </w:t>
            </w:r>
            <w:r w:rsidRPr="00BA255B">
              <w:rPr>
                <w:rFonts w:asciiTheme="minorHAnsi" w:eastAsia="CIDFont+F1" w:hAnsiTheme="minorHAnsi" w:cstheme="minorHAnsi"/>
                <w:sz w:val="18"/>
                <w:szCs w:val="18"/>
              </w:rPr>
              <w:t xml:space="preserve">redactado </w:t>
            </w:r>
            <w:r w:rsidR="003A1A74">
              <w:rPr>
                <w:rFonts w:asciiTheme="minorHAnsi" w:eastAsia="CIDFont+F1" w:hAnsiTheme="minorHAnsi" w:cstheme="minorHAnsi"/>
                <w:sz w:val="18"/>
                <w:szCs w:val="18"/>
              </w:rPr>
              <w:t>puede crear</w:t>
            </w:r>
            <w:r w:rsidRPr="00BA255B">
              <w:rPr>
                <w:rFonts w:asciiTheme="minorHAnsi" w:eastAsia="CIDFont+F1" w:hAnsiTheme="minorHAnsi" w:cstheme="minorHAnsi"/>
                <w:sz w:val="18"/>
                <w:szCs w:val="18"/>
              </w:rPr>
              <w:t xml:space="preserve"> confusión</w:t>
            </w:r>
            <w:r>
              <w:rPr>
                <w:rFonts w:asciiTheme="minorHAnsi" w:eastAsia="CIDFont+F1" w:hAnsiTheme="minorHAnsi" w:cstheme="minorHAnsi"/>
                <w:sz w:val="18"/>
                <w:szCs w:val="18"/>
              </w:rPr>
              <w:t xml:space="preserve"> ya que la palabra “alternativamente” puede dar a entender que los requisitos sobre solicitación de licencia o autorización municipal o de licitación de la obra son alternativas al requisito técnico de instalar estaciones de recarga por cada X plazas de aparcamiento, lo cual no tiene ningún sentido.</w:t>
            </w:r>
          </w:p>
        </w:tc>
      </w:tr>
      <w:tr w:rsidR="00DE45BA" w:rsidRPr="001253BF" w14:paraId="1BC00538" w14:textId="77777777" w:rsidTr="00A3563D">
        <w:tc>
          <w:tcPr>
            <w:tcW w:w="1844" w:type="dxa"/>
          </w:tcPr>
          <w:p w14:paraId="676E65CF" w14:textId="77DB7AE9" w:rsidR="00DE45BA" w:rsidRPr="00161112" w:rsidRDefault="00BA255B" w:rsidP="00BA255B">
            <w:pPr>
              <w:rPr>
                <w:rFonts w:asciiTheme="minorHAnsi" w:eastAsia="CIDFont+F1" w:hAnsiTheme="minorHAnsi" w:cstheme="minorHAnsi"/>
                <w:sz w:val="18"/>
                <w:szCs w:val="18"/>
              </w:rPr>
            </w:pPr>
            <w:r w:rsidRPr="00BA255B">
              <w:rPr>
                <w:rFonts w:asciiTheme="minorHAnsi" w:eastAsia="CIDFont+F1" w:hAnsiTheme="minorHAnsi" w:cstheme="minorHAnsi"/>
                <w:sz w:val="18"/>
                <w:szCs w:val="18"/>
              </w:rPr>
              <w:t>Artículo único.</w:t>
            </w:r>
            <w:r>
              <w:rPr>
                <w:rFonts w:asciiTheme="minorHAnsi" w:eastAsia="CIDFont+F1" w:hAnsiTheme="minorHAnsi" w:cstheme="minorHAnsi"/>
                <w:sz w:val="18"/>
                <w:szCs w:val="18"/>
              </w:rPr>
              <w:t xml:space="preserve"> Uno. Nueva Disposición adicional única. Segundo guion.</w:t>
            </w:r>
          </w:p>
        </w:tc>
        <w:tc>
          <w:tcPr>
            <w:tcW w:w="3544" w:type="dxa"/>
          </w:tcPr>
          <w:p w14:paraId="1144B116" w14:textId="07304E39" w:rsidR="00DE45BA" w:rsidRPr="00161112" w:rsidRDefault="00DC4150" w:rsidP="00DE45BA">
            <w:pPr>
              <w:rPr>
                <w:rFonts w:asciiTheme="minorHAnsi" w:eastAsia="CIDFont+F1" w:hAnsiTheme="minorHAnsi" w:cstheme="minorHAnsi"/>
                <w:sz w:val="18"/>
                <w:szCs w:val="18"/>
              </w:rPr>
            </w:pPr>
            <w:r w:rsidRPr="00DC4150">
              <w:rPr>
                <w:rFonts w:asciiTheme="minorHAnsi" w:eastAsia="CIDFont+F1" w:hAnsiTheme="minorHAnsi" w:cstheme="minorHAnsi"/>
                <w:sz w:val="18"/>
                <w:szCs w:val="18"/>
              </w:rPr>
              <w:t>- en los edificios que sean titularidad de la Administración General del Estado o de los organismos públicos vinculados a ella o dependientes de la misma, se instalará una estación de recarga por cada 20 plazas de aparcamiento o fracción, hasta 500 plazas, y una estación de recarga más por cada 100 plazas adicionales o fracción, o bien se iniciará la licitación de dicha obra o del proyecto o documento técnico necesario para la definición de la misma</w:t>
            </w:r>
          </w:p>
        </w:tc>
        <w:tc>
          <w:tcPr>
            <w:tcW w:w="2693" w:type="dxa"/>
          </w:tcPr>
          <w:p w14:paraId="60E85FE1" w14:textId="3364F9FF" w:rsidR="003A7203" w:rsidRPr="003A7203" w:rsidRDefault="003A7203" w:rsidP="003A7203">
            <w:pPr>
              <w:rPr>
                <w:rFonts w:asciiTheme="minorHAnsi" w:eastAsia="CIDFont+F1" w:hAnsiTheme="minorHAnsi" w:cstheme="minorHAnsi"/>
                <w:sz w:val="18"/>
                <w:szCs w:val="18"/>
              </w:rPr>
            </w:pPr>
            <w:r>
              <w:rPr>
                <w:rFonts w:ascii="Calibri" w:hAnsi="Calibri" w:cs="Calibri"/>
                <w:color w:val="000000"/>
                <w:sz w:val="18"/>
                <w:szCs w:val="18"/>
                <w:shd w:val="clear" w:color="auto" w:fill="FFFFFF"/>
              </w:rPr>
              <w:t>Se propone modificar el guion como sigue:</w:t>
            </w:r>
          </w:p>
          <w:p w14:paraId="54BD7560" w14:textId="77285240" w:rsidR="00DC4150" w:rsidRPr="00DC4150" w:rsidRDefault="00DC4150" w:rsidP="00DC4150">
            <w:pPr>
              <w:pStyle w:val="Prrafodelista"/>
              <w:numPr>
                <w:ilvl w:val="0"/>
                <w:numId w:val="11"/>
              </w:numPr>
              <w:ind w:left="430"/>
              <w:rPr>
                <w:rFonts w:asciiTheme="minorHAnsi" w:eastAsia="CIDFont+F1" w:hAnsiTheme="minorHAnsi" w:cstheme="minorHAnsi"/>
                <w:sz w:val="18"/>
                <w:szCs w:val="18"/>
              </w:rPr>
            </w:pPr>
            <w:r w:rsidRPr="00DC4150">
              <w:rPr>
                <w:rFonts w:asciiTheme="minorHAnsi" w:eastAsia="CIDFont+F1" w:hAnsiTheme="minorHAnsi" w:cstheme="minorHAnsi"/>
                <w:sz w:val="18"/>
                <w:szCs w:val="18"/>
              </w:rPr>
              <w:t>en los edificios que sean titularidad de la Administración General del Estado o de los organismos públicos vinculados a ella o dependientes de la misma, se instalará una estación de recarga por cada 20 plazas de aparcamiento o fracción, hasta 500 plazas, y una estación de recarga más por cada 100 plazas adicionales o fracción.</w:t>
            </w:r>
            <w:r w:rsidRPr="00DC4150">
              <w:rPr>
                <w:rFonts w:asciiTheme="minorHAnsi" w:eastAsia="CIDFont+F1" w:hAnsiTheme="minorHAnsi" w:cstheme="minorHAnsi"/>
                <w:strike/>
                <w:sz w:val="18"/>
                <w:szCs w:val="18"/>
              </w:rPr>
              <w:t>, o bien</w:t>
            </w:r>
          </w:p>
          <w:p w14:paraId="034CD326" w14:textId="77777777" w:rsidR="00DC4150" w:rsidRPr="00DC4150" w:rsidRDefault="00DC4150" w:rsidP="00DC4150">
            <w:pPr>
              <w:ind w:left="430"/>
              <w:rPr>
                <w:rFonts w:asciiTheme="minorHAnsi" w:eastAsia="CIDFont+F1" w:hAnsiTheme="minorHAnsi" w:cstheme="minorHAnsi"/>
                <w:sz w:val="18"/>
                <w:szCs w:val="18"/>
              </w:rPr>
            </w:pPr>
          </w:p>
          <w:p w14:paraId="134A4846" w14:textId="354D022B" w:rsidR="00DE45BA" w:rsidRPr="00161112" w:rsidRDefault="00DC4150" w:rsidP="00DC4150">
            <w:pPr>
              <w:ind w:left="430"/>
              <w:rPr>
                <w:rFonts w:asciiTheme="minorHAnsi" w:eastAsia="CIDFont+F1" w:hAnsiTheme="minorHAnsi" w:cstheme="minorHAnsi"/>
                <w:sz w:val="18"/>
                <w:szCs w:val="18"/>
              </w:rPr>
            </w:pPr>
            <w:r w:rsidRPr="00DC4150">
              <w:rPr>
                <w:rFonts w:asciiTheme="minorHAnsi" w:eastAsia="CIDFont+F1" w:hAnsiTheme="minorHAnsi" w:cstheme="minorHAnsi"/>
                <w:sz w:val="18"/>
                <w:szCs w:val="18"/>
                <w:u w:val="single"/>
              </w:rPr>
              <w:t>En este caso,</w:t>
            </w:r>
            <w:r w:rsidRPr="00DC4150">
              <w:rPr>
                <w:rFonts w:asciiTheme="minorHAnsi" w:eastAsia="CIDFont+F1" w:hAnsiTheme="minorHAnsi" w:cstheme="minorHAnsi"/>
                <w:sz w:val="18"/>
                <w:szCs w:val="18"/>
              </w:rPr>
              <w:t xml:space="preserve"> se iniciará la licitación de dicha obra o del proyecto o documento técnico necesario para la definición de la misma (…)</w:t>
            </w:r>
          </w:p>
        </w:tc>
        <w:tc>
          <w:tcPr>
            <w:tcW w:w="2977" w:type="dxa"/>
          </w:tcPr>
          <w:p w14:paraId="23C37083" w14:textId="08E3181D" w:rsidR="005659D7" w:rsidRPr="00161112" w:rsidRDefault="00BA255B" w:rsidP="00BA255B">
            <w:pPr>
              <w:rPr>
                <w:rFonts w:asciiTheme="minorHAnsi" w:eastAsia="CIDFont+F1" w:hAnsiTheme="minorHAnsi" w:cstheme="minorHAnsi"/>
                <w:sz w:val="18"/>
                <w:szCs w:val="18"/>
              </w:rPr>
            </w:pPr>
            <w:r w:rsidRPr="00BA255B">
              <w:rPr>
                <w:rFonts w:asciiTheme="minorHAnsi" w:eastAsia="CIDFont+F1" w:hAnsiTheme="minorHAnsi" w:cstheme="minorHAnsi"/>
                <w:sz w:val="18"/>
                <w:szCs w:val="18"/>
              </w:rPr>
              <w:t xml:space="preserve">El </w:t>
            </w:r>
            <w:r>
              <w:rPr>
                <w:rFonts w:asciiTheme="minorHAnsi" w:eastAsia="CIDFont+F1" w:hAnsiTheme="minorHAnsi" w:cstheme="minorHAnsi"/>
                <w:sz w:val="18"/>
                <w:szCs w:val="18"/>
              </w:rPr>
              <w:t xml:space="preserve">actual </w:t>
            </w:r>
            <w:r w:rsidRPr="00BA255B">
              <w:rPr>
                <w:rFonts w:asciiTheme="minorHAnsi" w:eastAsia="CIDFont+F1" w:hAnsiTheme="minorHAnsi" w:cstheme="minorHAnsi"/>
                <w:sz w:val="18"/>
                <w:szCs w:val="18"/>
              </w:rPr>
              <w:t xml:space="preserve">redactado </w:t>
            </w:r>
            <w:r w:rsidR="003A1A74">
              <w:rPr>
                <w:rFonts w:asciiTheme="minorHAnsi" w:eastAsia="CIDFont+F1" w:hAnsiTheme="minorHAnsi" w:cstheme="minorHAnsi"/>
                <w:sz w:val="18"/>
                <w:szCs w:val="18"/>
              </w:rPr>
              <w:t>puede crear</w:t>
            </w:r>
            <w:r w:rsidR="003A1A74" w:rsidRPr="00BA255B">
              <w:rPr>
                <w:rFonts w:asciiTheme="minorHAnsi" w:eastAsia="CIDFont+F1" w:hAnsiTheme="minorHAnsi" w:cstheme="minorHAnsi"/>
                <w:sz w:val="18"/>
                <w:szCs w:val="18"/>
              </w:rPr>
              <w:t xml:space="preserve"> </w:t>
            </w:r>
            <w:r w:rsidRPr="00BA255B">
              <w:rPr>
                <w:rFonts w:asciiTheme="minorHAnsi" w:eastAsia="CIDFont+F1" w:hAnsiTheme="minorHAnsi" w:cstheme="minorHAnsi"/>
                <w:sz w:val="18"/>
                <w:szCs w:val="18"/>
              </w:rPr>
              <w:t>confusión</w:t>
            </w:r>
            <w:r>
              <w:rPr>
                <w:rFonts w:asciiTheme="minorHAnsi" w:eastAsia="CIDFont+F1" w:hAnsiTheme="minorHAnsi" w:cstheme="minorHAnsi"/>
                <w:sz w:val="18"/>
                <w:szCs w:val="18"/>
              </w:rPr>
              <w:t xml:space="preserve"> ya que la palabra “o bien” puede dar a entender que los requisitos sobre la licitación de la obra es una alternativa al requisito técnico de instalar estaciones de recarga por cada X plazas de aparcamiento, lo cual no tiene ningún sentido.</w:t>
            </w:r>
          </w:p>
        </w:tc>
      </w:tr>
      <w:tr w:rsidR="00851F6E" w:rsidRPr="001253BF" w14:paraId="0A54607C" w14:textId="77777777" w:rsidTr="00A3563D">
        <w:tc>
          <w:tcPr>
            <w:tcW w:w="1844" w:type="dxa"/>
          </w:tcPr>
          <w:p w14:paraId="4DB543CC" w14:textId="77777777" w:rsidR="00851F6E" w:rsidRPr="00161112" w:rsidRDefault="00851F6E" w:rsidP="00851F6E">
            <w:pPr>
              <w:rPr>
                <w:rFonts w:asciiTheme="minorHAnsi" w:eastAsia="CIDFont+F1" w:hAnsiTheme="minorHAnsi" w:cstheme="minorHAnsi"/>
                <w:sz w:val="18"/>
                <w:szCs w:val="18"/>
              </w:rPr>
            </w:pPr>
            <w:r w:rsidRPr="00161112">
              <w:rPr>
                <w:rFonts w:asciiTheme="minorHAnsi" w:eastAsia="CIDFont+F1" w:hAnsiTheme="minorHAnsi" w:cstheme="minorHAnsi"/>
                <w:sz w:val="18"/>
                <w:szCs w:val="18"/>
              </w:rPr>
              <w:t xml:space="preserve">Disposición final primera. Uno. </w:t>
            </w:r>
          </w:p>
          <w:p w14:paraId="1291E4C5" w14:textId="3DF6C426" w:rsidR="00851F6E" w:rsidRPr="00BA255B" w:rsidRDefault="00851F6E" w:rsidP="00851F6E">
            <w:pPr>
              <w:rPr>
                <w:rFonts w:asciiTheme="minorHAnsi" w:eastAsia="CIDFont+F1" w:hAnsiTheme="minorHAnsi" w:cstheme="minorHAnsi"/>
                <w:sz w:val="18"/>
                <w:szCs w:val="18"/>
              </w:rPr>
            </w:pPr>
            <w:r w:rsidRPr="00161112">
              <w:rPr>
                <w:rFonts w:asciiTheme="minorHAnsi" w:eastAsia="CIDFont+F1" w:hAnsiTheme="minorHAnsi" w:cstheme="minorHAnsi"/>
                <w:sz w:val="18"/>
                <w:szCs w:val="18"/>
              </w:rPr>
              <w:lastRenderedPageBreak/>
              <w:t>Disposición adicional primera Punto 1</w:t>
            </w:r>
          </w:p>
        </w:tc>
        <w:tc>
          <w:tcPr>
            <w:tcW w:w="3544" w:type="dxa"/>
          </w:tcPr>
          <w:p w14:paraId="02020EC5" w14:textId="3ECFB3E1" w:rsidR="00851F6E" w:rsidRPr="00DC4150" w:rsidRDefault="00851F6E" w:rsidP="00851F6E">
            <w:pPr>
              <w:rPr>
                <w:rFonts w:asciiTheme="minorHAnsi" w:eastAsia="CIDFont+F1" w:hAnsiTheme="minorHAnsi" w:cstheme="minorHAnsi"/>
                <w:sz w:val="18"/>
                <w:szCs w:val="18"/>
              </w:rPr>
            </w:pPr>
            <w:r>
              <w:rPr>
                <w:rFonts w:asciiTheme="minorHAnsi" w:eastAsia="CIDFont+F1" w:hAnsiTheme="minorHAnsi" w:cstheme="minorHAnsi"/>
                <w:sz w:val="18"/>
                <w:szCs w:val="18"/>
              </w:rPr>
              <w:lastRenderedPageBreak/>
              <w:t xml:space="preserve">1. </w:t>
            </w:r>
            <w:r w:rsidRPr="00842900">
              <w:rPr>
                <w:rFonts w:asciiTheme="minorHAnsi" w:eastAsia="CIDFont+F1" w:hAnsiTheme="minorHAnsi" w:cstheme="minorHAnsi"/>
                <w:sz w:val="18"/>
                <w:szCs w:val="18"/>
              </w:rPr>
              <w:t xml:space="preserve">En aparcamientos o estacionamientos de nueva construcción o sujetos a reformas </w:t>
            </w:r>
            <w:r w:rsidRPr="00842900">
              <w:rPr>
                <w:rFonts w:asciiTheme="minorHAnsi" w:eastAsia="CIDFont+F1" w:hAnsiTheme="minorHAnsi" w:cstheme="minorHAnsi"/>
                <w:sz w:val="18"/>
                <w:szCs w:val="18"/>
              </w:rPr>
              <w:lastRenderedPageBreak/>
              <w:t>importantes no ubicados en un edificio ni adscritos al mismo y, por lo tanto, fuera del ámbito de aplicación del Documento Básico de Ahorro de Energía (DB HE) del Código Técnico de la Edificación, se deberá instalar como mínimo una estación de recarga por cada 40 plazas de estacionamiento. Se considera que un estacionamiento es de nueva construcción cuando el proyecto constructivo se presente a la Administración Pública competente para su tramitación en fecha posterior a la entrada en vigor de este real decreto.</w:t>
            </w:r>
          </w:p>
        </w:tc>
        <w:tc>
          <w:tcPr>
            <w:tcW w:w="2693" w:type="dxa"/>
          </w:tcPr>
          <w:p w14:paraId="23FD4DB2" w14:textId="22D15C7A" w:rsidR="00851F6E" w:rsidRPr="00DC4150" w:rsidRDefault="00851F6E" w:rsidP="003A7203">
            <w:pPr>
              <w:rPr>
                <w:rFonts w:asciiTheme="minorHAnsi" w:eastAsia="CIDFont+F1" w:hAnsiTheme="minorHAnsi" w:cstheme="minorHAnsi"/>
                <w:sz w:val="18"/>
                <w:szCs w:val="18"/>
              </w:rPr>
            </w:pPr>
            <w:r w:rsidRPr="00161112">
              <w:rPr>
                <w:rFonts w:asciiTheme="minorHAnsi" w:eastAsia="CIDFont+F1" w:hAnsiTheme="minorHAnsi" w:cstheme="minorHAnsi"/>
                <w:sz w:val="18"/>
                <w:szCs w:val="18"/>
              </w:rPr>
              <w:lastRenderedPageBreak/>
              <w:t>Se debería aclarar el campo de aplicación de este punto</w:t>
            </w:r>
            <w:r>
              <w:rPr>
                <w:rFonts w:asciiTheme="minorHAnsi" w:eastAsia="CIDFont+F1" w:hAnsiTheme="minorHAnsi" w:cstheme="minorHAnsi"/>
                <w:sz w:val="18"/>
                <w:szCs w:val="18"/>
              </w:rPr>
              <w:t xml:space="preserve">, </w:t>
            </w:r>
            <w:r>
              <w:rPr>
                <w:rFonts w:asciiTheme="minorHAnsi" w:eastAsia="CIDFont+F1" w:hAnsiTheme="minorHAnsi" w:cstheme="minorHAnsi"/>
                <w:sz w:val="18"/>
                <w:szCs w:val="18"/>
              </w:rPr>
              <w:lastRenderedPageBreak/>
              <w:t>incluyendo algunos ejemplos de aparcamientos afectados,</w:t>
            </w:r>
            <w:r w:rsidRPr="00161112">
              <w:rPr>
                <w:rFonts w:asciiTheme="minorHAnsi" w:eastAsia="CIDFont+F1" w:hAnsiTheme="minorHAnsi" w:cstheme="minorHAnsi"/>
                <w:sz w:val="18"/>
                <w:szCs w:val="18"/>
              </w:rPr>
              <w:t xml:space="preserve"> ya que no se entiende a qué tipo de aparcamientos aplica.</w:t>
            </w:r>
          </w:p>
        </w:tc>
        <w:tc>
          <w:tcPr>
            <w:tcW w:w="2977" w:type="dxa"/>
          </w:tcPr>
          <w:p w14:paraId="0926B1FE" w14:textId="77777777" w:rsidR="00851F6E" w:rsidRDefault="00851F6E" w:rsidP="00851F6E">
            <w:pPr>
              <w:rPr>
                <w:rFonts w:asciiTheme="minorHAnsi" w:eastAsia="CIDFont+F1" w:hAnsiTheme="minorHAnsi" w:cstheme="minorHAnsi"/>
                <w:sz w:val="18"/>
                <w:szCs w:val="18"/>
              </w:rPr>
            </w:pPr>
            <w:r>
              <w:rPr>
                <w:rFonts w:asciiTheme="minorHAnsi" w:eastAsia="CIDFont+F1" w:hAnsiTheme="minorHAnsi" w:cstheme="minorHAnsi"/>
                <w:sz w:val="18"/>
                <w:szCs w:val="18"/>
              </w:rPr>
              <w:lastRenderedPageBreak/>
              <w:t xml:space="preserve">Es difícil determinar cuáles son los aparcamientos que se encuentran </w:t>
            </w:r>
            <w:r>
              <w:rPr>
                <w:rFonts w:asciiTheme="minorHAnsi" w:eastAsia="CIDFont+F1" w:hAnsiTheme="minorHAnsi" w:cstheme="minorHAnsi"/>
                <w:sz w:val="18"/>
                <w:szCs w:val="18"/>
              </w:rPr>
              <w:lastRenderedPageBreak/>
              <w:t>cubiertos por este punto. Consideramos que deberían incluirse algunos ejemplos de aparcamientos afectados a fin de facilitar la comprensión y aplicación de este requisito.</w:t>
            </w:r>
          </w:p>
          <w:p w14:paraId="2C871279" w14:textId="77777777" w:rsidR="00851F6E" w:rsidRDefault="00851F6E" w:rsidP="00851F6E">
            <w:pPr>
              <w:rPr>
                <w:rFonts w:asciiTheme="minorHAnsi" w:eastAsia="CIDFont+F1" w:hAnsiTheme="minorHAnsi" w:cstheme="minorHAnsi"/>
                <w:sz w:val="18"/>
                <w:szCs w:val="18"/>
              </w:rPr>
            </w:pPr>
          </w:p>
          <w:p w14:paraId="479A6CFF" w14:textId="77777777" w:rsidR="00851F6E" w:rsidRPr="00BA255B" w:rsidRDefault="00851F6E" w:rsidP="00851F6E">
            <w:pPr>
              <w:rPr>
                <w:rFonts w:asciiTheme="minorHAnsi" w:eastAsia="CIDFont+F1" w:hAnsiTheme="minorHAnsi" w:cstheme="minorHAnsi"/>
                <w:sz w:val="18"/>
                <w:szCs w:val="18"/>
              </w:rPr>
            </w:pPr>
          </w:p>
        </w:tc>
      </w:tr>
      <w:tr w:rsidR="00851F6E" w:rsidRPr="001253BF" w14:paraId="0BFDC8F6" w14:textId="77777777" w:rsidTr="00A3563D">
        <w:tc>
          <w:tcPr>
            <w:tcW w:w="1844" w:type="dxa"/>
          </w:tcPr>
          <w:p w14:paraId="54DC8472" w14:textId="77777777" w:rsidR="00851F6E" w:rsidRPr="00161112" w:rsidRDefault="00851F6E" w:rsidP="00851F6E">
            <w:pPr>
              <w:rPr>
                <w:rFonts w:asciiTheme="minorHAnsi" w:eastAsia="CIDFont+F1" w:hAnsiTheme="minorHAnsi" w:cstheme="minorHAnsi"/>
                <w:sz w:val="18"/>
                <w:szCs w:val="18"/>
              </w:rPr>
            </w:pPr>
            <w:r w:rsidRPr="00161112">
              <w:rPr>
                <w:rFonts w:asciiTheme="minorHAnsi" w:eastAsia="CIDFont+F1" w:hAnsiTheme="minorHAnsi" w:cstheme="minorHAnsi"/>
                <w:sz w:val="18"/>
                <w:szCs w:val="18"/>
              </w:rPr>
              <w:lastRenderedPageBreak/>
              <w:t xml:space="preserve">Disposición final primera. Dos. </w:t>
            </w:r>
          </w:p>
          <w:p w14:paraId="6E1A70B6" w14:textId="2AD1F71C" w:rsidR="00851F6E" w:rsidRPr="00BA255B" w:rsidRDefault="00851F6E" w:rsidP="00851F6E">
            <w:pPr>
              <w:rPr>
                <w:rFonts w:asciiTheme="minorHAnsi" w:eastAsia="CIDFont+F1" w:hAnsiTheme="minorHAnsi" w:cstheme="minorHAnsi"/>
                <w:sz w:val="18"/>
                <w:szCs w:val="18"/>
              </w:rPr>
            </w:pPr>
            <w:r w:rsidRPr="00161112">
              <w:rPr>
                <w:rFonts w:asciiTheme="minorHAnsi" w:eastAsia="CIDFont+F1" w:hAnsiTheme="minorHAnsi" w:cstheme="minorHAnsi"/>
                <w:sz w:val="18"/>
                <w:szCs w:val="18"/>
              </w:rPr>
              <w:t>3.2. a)</w:t>
            </w:r>
          </w:p>
        </w:tc>
        <w:tc>
          <w:tcPr>
            <w:tcW w:w="3544" w:type="dxa"/>
          </w:tcPr>
          <w:p w14:paraId="0762D67B" w14:textId="5401C403" w:rsidR="00851F6E" w:rsidRPr="00DC4150" w:rsidRDefault="00851F6E" w:rsidP="00851F6E">
            <w:pPr>
              <w:rPr>
                <w:rFonts w:asciiTheme="minorHAnsi" w:eastAsia="CIDFont+F1" w:hAnsiTheme="minorHAnsi" w:cstheme="minorHAnsi"/>
                <w:sz w:val="18"/>
                <w:szCs w:val="18"/>
              </w:rPr>
            </w:pPr>
            <w:r>
              <w:rPr>
                <w:rFonts w:asciiTheme="minorHAnsi" w:eastAsia="CIDFont+F1" w:hAnsiTheme="minorHAnsi" w:cstheme="minorHAnsi"/>
                <w:sz w:val="18"/>
                <w:szCs w:val="18"/>
              </w:rPr>
              <w:t xml:space="preserve">a) </w:t>
            </w:r>
            <w:r w:rsidRPr="00842900">
              <w:rPr>
                <w:rFonts w:asciiTheme="minorHAnsi" w:eastAsia="CIDFont+F1" w:hAnsiTheme="minorHAnsi" w:cstheme="minorHAnsi"/>
                <w:sz w:val="18"/>
                <w:szCs w:val="18"/>
              </w:rPr>
              <w:t>Instalación de sistemas de conducción de cables desde la centralización de contadores y por las vías principales del aparcamiento o estacionamiento con objeto de poder alimentar posteriormente las estaciones de recarga que se puedan ubicar en las plazas individuales del aparcamiento o estacionamiento. Cuando la preinstalación esté prevista para el 100% de las plazas, los sistemas de conducción de cables llegarán hasta cada una de las plazas. Cuando la preinstalación no esté prevista para el 100% de las plazas, se definirán las plazas que se consideran para el cumplimiento de la dotación reglamentaria de sistemas de conducción de cables, y dichos sistemas llegarán hasta cada una de esas plazas.</w:t>
            </w:r>
          </w:p>
        </w:tc>
        <w:tc>
          <w:tcPr>
            <w:tcW w:w="2693" w:type="dxa"/>
          </w:tcPr>
          <w:p w14:paraId="1F2BD309" w14:textId="5BCF46D6" w:rsidR="003A7203" w:rsidRPr="003A7203" w:rsidRDefault="003A7203" w:rsidP="003A7203">
            <w:pPr>
              <w:rPr>
                <w:rFonts w:asciiTheme="minorHAnsi" w:eastAsia="CIDFont+F1" w:hAnsiTheme="minorHAnsi" w:cstheme="minorHAnsi"/>
                <w:sz w:val="18"/>
                <w:szCs w:val="18"/>
              </w:rPr>
            </w:pPr>
            <w:r>
              <w:rPr>
                <w:rFonts w:ascii="Calibri" w:hAnsi="Calibri" w:cs="Calibri"/>
                <w:color w:val="000000"/>
                <w:sz w:val="18"/>
                <w:szCs w:val="18"/>
                <w:shd w:val="clear" w:color="auto" w:fill="FFFFFF"/>
              </w:rPr>
              <w:t xml:space="preserve">Se propone modificar el </w:t>
            </w:r>
            <w:r>
              <w:rPr>
                <w:rFonts w:ascii="Calibri" w:hAnsi="Calibri" w:cs="Calibri"/>
                <w:color w:val="000000"/>
                <w:sz w:val="18"/>
                <w:szCs w:val="18"/>
                <w:shd w:val="clear" w:color="auto" w:fill="FFFFFF"/>
              </w:rPr>
              <w:t>texto</w:t>
            </w:r>
            <w:r>
              <w:rPr>
                <w:rFonts w:ascii="Calibri" w:hAnsi="Calibri" w:cs="Calibri"/>
                <w:color w:val="000000"/>
                <w:sz w:val="18"/>
                <w:szCs w:val="18"/>
                <w:shd w:val="clear" w:color="auto" w:fill="FFFFFF"/>
              </w:rPr>
              <w:t xml:space="preserve"> como sigue:</w:t>
            </w:r>
          </w:p>
          <w:p w14:paraId="75CAD092" w14:textId="54D58A69" w:rsidR="00851F6E" w:rsidRPr="00DC4150" w:rsidRDefault="00851F6E" w:rsidP="00851F6E">
            <w:pPr>
              <w:pStyle w:val="Prrafodelista"/>
              <w:numPr>
                <w:ilvl w:val="0"/>
                <w:numId w:val="11"/>
              </w:numPr>
              <w:ind w:left="430"/>
              <w:rPr>
                <w:rFonts w:asciiTheme="minorHAnsi" w:eastAsia="CIDFont+F1" w:hAnsiTheme="minorHAnsi" w:cstheme="minorHAnsi"/>
                <w:sz w:val="18"/>
                <w:szCs w:val="18"/>
              </w:rPr>
            </w:pPr>
            <w:r>
              <w:rPr>
                <w:rFonts w:asciiTheme="minorHAnsi" w:eastAsia="CIDFont+F1" w:hAnsiTheme="minorHAnsi" w:cstheme="minorHAnsi"/>
                <w:sz w:val="18"/>
                <w:szCs w:val="18"/>
              </w:rPr>
              <w:t>a)</w:t>
            </w:r>
            <w:r w:rsidRPr="00842900">
              <w:rPr>
                <w:rFonts w:asciiTheme="minorHAnsi" w:eastAsia="CIDFont+F1" w:hAnsiTheme="minorHAnsi" w:cstheme="minorHAnsi"/>
                <w:sz w:val="18"/>
                <w:szCs w:val="18"/>
              </w:rPr>
              <w:t xml:space="preserve"> Instalación de sistemas de conducción de cables desde la centralización de contadores y por las vías principales del aparcamiento o estacionamiento con objeto de poder alimentar posteriormente las estaciones de recarga que se puedan ubicar en las plazas individuales del aparcamiento o estacionamiento. Cuando</w:t>
            </w:r>
            <w:r w:rsidRPr="00161112">
              <w:rPr>
                <w:rFonts w:asciiTheme="minorHAnsi" w:eastAsia="CIDFont+F1" w:hAnsiTheme="minorHAnsi" w:cstheme="minorHAnsi"/>
                <w:sz w:val="18"/>
                <w:szCs w:val="18"/>
                <w:u w:val="single"/>
              </w:rPr>
              <w:t>, de acuerdo con lo prescrito en el Documento Básico HE6 del Código Técnico de la Edificación,</w:t>
            </w:r>
            <w:r w:rsidRPr="00161112">
              <w:rPr>
                <w:rFonts w:asciiTheme="minorHAnsi" w:eastAsia="CIDFont+F1" w:hAnsiTheme="minorHAnsi" w:cstheme="minorHAnsi"/>
                <w:sz w:val="18"/>
                <w:szCs w:val="18"/>
              </w:rPr>
              <w:t xml:space="preserve"> </w:t>
            </w:r>
            <w:r w:rsidRPr="00842900">
              <w:rPr>
                <w:rFonts w:asciiTheme="minorHAnsi" w:eastAsia="CIDFont+F1" w:hAnsiTheme="minorHAnsi" w:cstheme="minorHAnsi"/>
                <w:sz w:val="18"/>
                <w:szCs w:val="18"/>
              </w:rPr>
              <w:t>la preinstalación esté prevista para el 100% de las plazas, los sistemas de conducción de cables llegarán hasta cada una de las plazas. Cuando</w:t>
            </w:r>
            <w:r w:rsidRPr="00161112">
              <w:rPr>
                <w:rFonts w:asciiTheme="minorHAnsi" w:eastAsia="CIDFont+F1" w:hAnsiTheme="minorHAnsi" w:cstheme="minorHAnsi"/>
                <w:sz w:val="18"/>
                <w:szCs w:val="18"/>
                <w:u w:val="single"/>
              </w:rPr>
              <w:t>, de acuerdo con lo prescrito en el Documento Básico HE6 del Código Técnico de la Edificación,</w:t>
            </w:r>
            <w:r w:rsidRPr="00161112">
              <w:rPr>
                <w:rFonts w:asciiTheme="minorHAnsi" w:eastAsia="CIDFont+F1" w:hAnsiTheme="minorHAnsi" w:cstheme="minorHAnsi"/>
                <w:sz w:val="18"/>
                <w:szCs w:val="18"/>
              </w:rPr>
              <w:t xml:space="preserve"> </w:t>
            </w:r>
            <w:r w:rsidRPr="00842900">
              <w:rPr>
                <w:rFonts w:asciiTheme="minorHAnsi" w:eastAsia="CIDFont+F1" w:hAnsiTheme="minorHAnsi" w:cstheme="minorHAnsi"/>
                <w:sz w:val="18"/>
                <w:szCs w:val="18"/>
              </w:rPr>
              <w:t>la preinstalación no esté prevista para el 100% de las plazas, se definirán las plazas que se consideran para el cumplimiento de la dotación reglamentaria de sistemas de conducción de cables, y dichos sistemas llegarán hasta cada una de esas plazas.</w:t>
            </w:r>
          </w:p>
        </w:tc>
        <w:tc>
          <w:tcPr>
            <w:tcW w:w="2977" w:type="dxa"/>
          </w:tcPr>
          <w:p w14:paraId="6A63799A" w14:textId="77777777" w:rsidR="00851F6E" w:rsidRDefault="00851F6E" w:rsidP="00851F6E">
            <w:pPr>
              <w:rPr>
                <w:rFonts w:asciiTheme="minorHAnsi" w:eastAsia="CIDFont+F1" w:hAnsiTheme="minorHAnsi" w:cstheme="minorHAnsi"/>
                <w:sz w:val="18"/>
                <w:szCs w:val="18"/>
              </w:rPr>
            </w:pPr>
            <w:r w:rsidRPr="00161112">
              <w:rPr>
                <w:rFonts w:asciiTheme="minorHAnsi" w:eastAsia="CIDFont+F1" w:hAnsiTheme="minorHAnsi" w:cstheme="minorHAnsi"/>
                <w:sz w:val="18"/>
                <w:szCs w:val="18"/>
              </w:rPr>
              <w:t>Es necesario indicar que la exigencia de preinstalar un % de las plazas en algunos tipos de aparcamiento se encuentra en el Documento Básico HE6 del Código Técnico de la Edificación. Ello facilitará el correcto diseño, ejecución y la inspección de los aparcamientos.</w:t>
            </w:r>
          </w:p>
          <w:p w14:paraId="053CEE8D" w14:textId="77777777" w:rsidR="00851F6E" w:rsidRDefault="00851F6E" w:rsidP="00851F6E">
            <w:pPr>
              <w:rPr>
                <w:rFonts w:asciiTheme="minorHAnsi" w:eastAsia="CIDFont+F1" w:hAnsiTheme="minorHAnsi" w:cstheme="minorHAnsi"/>
                <w:sz w:val="18"/>
                <w:szCs w:val="18"/>
              </w:rPr>
            </w:pPr>
          </w:p>
          <w:p w14:paraId="00B07178" w14:textId="0D985664" w:rsidR="00851F6E" w:rsidRPr="00BA255B" w:rsidRDefault="00851F6E" w:rsidP="00851F6E">
            <w:pPr>
              <w:rPr>
                <w:rFonts w:asciiTheme="minorHAnsi" w:eastAsia="CIDFont+F1" w:hAnsiTheme="minorHAnsi" w:cstheme="minorHAnsi"/>
                <w:sz w:val="18"/>
                <w:szCs w:val="18"/>
              </w:rPr>
            </w:pPr>
            <w:r w:rsidRPr="00140EB7">
              <w:rPr>
                <w:rFonts w:asciiTheme="minorHAnsi" w:hAnsiTheme="minorHAnsi" w:cstheme="minorHAnsi"/>
                <w:sz w:val="18"/>
                <w:szCs w:val="18"/>
              </w:rPr>
              <w:t xml:space="preserve">Además, hay que tener en cuenta que determinados tipos de aparcamientos están sujetos a un régimen de inspección periódica dentro del REBT. Por el contrario, los requisitos del CTE no están sometidos a inspección. Por tanto, es necesario que el texto de la ITC-BT-52 del REBT estipule con la máxima concreción en qué casos la </w:t>
            </w:r>
            <w:r w:rsidRPr="00140EB7">
              <w:rPr>
                <w:rFonts w:asciiTheme="minorHAnsi" w:eastAsia="CIDFont+F1" w:hAnsiTheme="minorHAnsi" w:cstheme="minorHAnsi"/>
                <w:sz w:val="18"/>
                <w:szCs w:val="18"/>
              </w:rPr>
              <w:t>preinstalación esté prevista para el 100% de las plazas y los casos en los</w:t>
            </w:r>
            <w:r>
              <w:rPr>
                <w:rFonts w:asciiTheme="minorHAnsi" w:eastAsia="CIDFont+F1" w:hAnsiTheme="minorHAnsi" w:cstheme="minorHAnsi"/>
                <w:sz w:val="18"/>
                <w:szCs w:val="18"/>
              </w:rPr>
              <w:t xml:space="preserve"> que no. De esta forma</w:t>
            </w:r>
            <w:r w:rsidRPr="00140EB7">
              <w:rPr>
                <w:rFonts w:asciiTheme="minorHAnsi" w:eastAsia="CIDFont+F1" w:hAnsiTheme="minorHAnsi" w:cstheme="minorHAnsi"/>
                <w:sz w:val="18"/>
                <w:szCs w:val="18"/>
              </w:rPr>
              <w:t xml:space="preserve"> el inspector </w:t>
            </w:r>
            <w:r>
              <w:rPr>
                <w:rFonts w:asciiTheme="minorHAnsi" w:eastAsia="CIDFont+F1" w:hAnsiTheme="minorHAnsi" w:cstheme="minorHAnsi"/>
                <w:sz w:val="18"/>
                <w:szCs w:val="18"/>
              </w:rPr>
              <w:t>podrá</w:t>
            </w:r>
            <w:r w:rsidRPr="00140EB7">
              <w:rPr>
                <w:rFonts w:asciiTheme="minorHAnsi" w:eastAsia="CIDFont+F1" w:hAnsiTheme="minorHAnsi" w:cstheme="minorHAnsi"/>
                <w:sz w:val="18"/>
                <w:szCs w:val="18"/>
              </w:rPr>
              <w:t xml:space="preserve"> realizar su inspección teniendo en cuenta todos los requisitos aplicables al aparcamiento objeto de inspección.</w:t>
            </w:r>
          </w:p>
        </w:tc>
      </w:tr>
      <w:tr w:rsidR="00851F6E" w:rsidRPr="001253BF" w14:paraId="05B67F67" w14:textId="77777777" w:rsidTr="00A3563D">
        <w:tc>
          <w:tcPr>
            <w:tcW w:w="1844" w:type="dxa"/>
          </w:tcPr>
          <w:p w14:paraId="2836F287" w14:textId="77777777" w:rsidR="00851F6E" w:rsidRPr="00161112" w:rsidRDefault="00851F6E" w:rsidP="00851F6E">
            <w:pPr>
              <w:rPr>
                <w:rFonts w:asciiTheme="minorHAnsi" w:eastAsia="CIDFont+F1" w:hAnsiTheme="minorHAnsi" w:cstheme="minorHAnsi"/>
                <w:sz w:val="18"/>
                <w:szCs w:val="18"/>
              </w:rPr>
            </w:pPr>
            <w:r w:rsidRPr="00161112">
              <w:rPr>
                <w:rFonts w:asciiTheme="minorHAnsi" w:eastAsia="CIDFont+F1" w:hAnsiTheme="minorHAnsi" w:cstheme="minorHAnsi"/>
                <w:sz w:val="18"/>
                <w:szCs w:val="18"/>
              </w:rPr>
              <w:t xml:space="preserve">Disposición final primera. Dos. </w:t>
            </w:r>
          </w:p>
          <w:p w14:paraId="35D080DF" w14:textId="5F02E15C" w:rsidR="00851F6E" w:rsidRPr="00BA255B" w:rsidRDefault="00851F6E" w:rsidP="00851F6E">
            <w:pPr>
              <w:rPr>
                <w:rFonts w:asciiTheme="minorHAnsi" w:eastAsia="CIDFont+F1" w:hAnsiTheme="minorHAnsi" w:cstheme="minorHAnsi"/>
                <w:sz w:val="18"/>
                <w:szCs w:val="18"/>
              </w:rPr>
            </w:pPr>
            <w:r w:rsidRPr="00161112">
              <w:rPr>
                <w:rFonts w:asciiTheme="minorHAnsi" w:eastAsia="CIDFont+F1" w:hAnsiTheme="minorHAnsi" w:cstheme="minorHAnsi"/>
                <w:sz w:val="18"/>
                <w:szCs w:val="18"/>
              </w:rPr>
              <w:t xml:space="preserve">3.2 de la INSTRUCCIÓN </w:t>
            </w:r>
            <w:r w:rsidRPr="00161112">
              <w:rPr>
                <w:rFonts w:asciiTheme="minorHAnsi" w:eastAsia="CIDFont+F1" w:hAnsiTheme="minorHAnsi" w:cstheme="minorHAnsi"/>
                <w:sz w:val="18"/>
                <w:szCs w:val="18"/>
              </w:rPr>
              <w:lastRenderedPageBreak/>
              <w:t>TÉCNICA COMPLEMENTARIA (ITC) BT-52,</w:t>
            </w:r>
          </w:p>
        </w:tc>
        <w:tc>
          <w:tcPr>
            <w:tcW w:w="3544" w:type="dxa"/>
          </w:tcPr>
          <w:p w14:paraId="1AECC334" w14:textId="0C8C68BB" w:rsidR="00851F6E" w:rsidRPr="00DC4150" w:rsidRDefault="00851F6E" w:rsidP="00851F6E">
            <w:pPr>
              <w:rPr>
                <w:rFonts w:asciiTheme="minorHAnsi" w:eastAsia="CIDFont+F1" w:hAnsiTheme="minorHAnsi" w:cstheme="minorHAnsi"/>
                <w:sz w:val="18"/>
                <w:szCs w:val="18"/>
              </w:rPr>
            </w:pPr>
            <w:r w:rsidRPr="00161112">
              <w:rPr>
                <w:rFonts w:asciiTheme="minorHAnsi" w:eastAsia="CIDFont+F1" w:hAnsiTheme="minorHAnsi" w:cstheme="minorHAnsi"/>
                <w:sz w:val="18"/>
                <w:szCs w:val="18"/>
              </w:rPr>
              <w:lastRenderedPageBreak/>
              <w:t xml:space="preserve">Se elimina el requisito que obligaba a que cuando se realizara la instalación para el primer punto de conexión en edificios existentes, se debía prever la instalación de </w:t>
            </w:r>
            <w:r w:rsidRPr="00161112">
              <w:rPr>
                <w:rFonts w:asciiTheme="minorHAnsi" w:eastAsia="CIDFont+F1" w:hAnsiTheme="minorHAnsi" w:cstheme="minorHAnsi"/>
                <w:sz w:val="18"/>
                <w:szCs w:val="18"/>
              </w:rPr>
              <w:lastRenderedPageBreak/>
              <w:t>los elementos comunes de forma que se adecue la infraestructura para albergar la instalación de futuros puntos de conexión.</w:t>
            </w:r>
          </w:p>
        </w:tc>
        <w:tc>
          <w:tcPr>
            <w:tcW w:w="2693" w:type="dxa"/>
          </w:tcPr>
          <w:p w14:paraId="019A8D67" w14:textId="77777777" w:rsidR="00851F6E" w:rsidRPr="00161112" w:rsidRDefault="00851F6E" w:rsidP="00851F6E">
            <w:pPr>
              <w:rPr>
                <w:rFonts w:asciiTheme="minorHAnsi" w:eastAsia="CIDFont+F1" w:hAnsiTheme="minorHAnsi" w:cstheme="minorHAnsi"/>
                <w:sz w:val="18"/>
                <w:szCs w:val="18"/>
              </w:rPr>
            </w:pPr>
            <w:r w:rsidRPr="00161112">
              <w:rPr>
                <w:rFonts w:asciiTheme="minorHAnsi" w:eastAsia="CIDFont+F1" w:hAnsiTheme="minorHAnsi" w:cstheme="minorHAnsi"/>
                <w:sz w:val="18"/>
                <w:szCs w:val="18"/>
              </w:rPr>
              <w:lastRenderedPageBreak/>
              <w:t>Se propone añadir el siguiente párrafo tras el guion b)</w:t>
            </w:r>
          </w:p>
          <w:p w14:paraId="212F5620" w14:textId="77777777" w:rsidR="00851F6E" w:rsidRPr="00161112" w:rsidRDefault="00851F6E" w:rsidP="00851F6E">
            <w:pPr>
              <w:rPr>
                <w:rFonts w:asciiTheme="minorHAnsi" w:eastAsia="CIDFont+F1" w:hAnsiTheme="minorHAnsi" w:cstheme="minorHAnsi"/>
                <w:sz w:val="18"/>
                <w:szCs w:val="18"/>
              </w:rPr>
            </w:pPr>
          </w:p>
          <w:p w14:paraId="080973B7" w14:textId="3007DBD3" w:rsidR="00851F6E" w:rsidRPr="00DC4150" w:rsidRDefault="00851F6E" w:rsidP="00851F6E">
            <w:pPr>
              <w:pStyle w:val="Prrafodelista"/>
              <w:numPr>
                <w:ilvl w:val="0"/>
                <w:numId w:val="11"/>
              </w:numPr>
              <w:ind w:left="430"/>
              <w:rPr>
                <w:rFonts w:asciiTheme="minorHAnsi" w:eastAsia="CIDFont+F1" w:hAnsiTheme="minorHAnsi" w:cstheme="minorHAnsi"/>
                <w:sz w:val="18"/>
                <w:szCs w:val="18"/>
              </w:rPr>
            </w:pPr>
            <w:r w:rsidRPr="00161112">
              <w:rPr>
                <w:rFonts w:asciiTheme="minorHAnsi" w:eastAsia="CIDFont+F1" w:hAnsiTheme="minorHAnsi" w:cstheme="minorHAnsi"/>
                <w:sz w:val="18"/>
                <w:szCs w:val="18"/>
              </w:rPr>
              <w:lastRenderedPageBreak/>
              <w:t>Cuando se realice la instalación para el primer punto de conexión en edificios existentes, se deberá prever, en su caso, la instalación de los elementos comunes, descritos en los puntos a) y b) anteriores, de forma que se adecue la infraestructura para albergar la instalación futura de estaciones de recarga para al menos el 20% de las plazas de aparcamiento.</w:t>
            </w:r>
          </w:p>
        </w:tc>
        <w:tc>
          <w:tcPr>
            <w:tcW w:w="2977" w:type="dxa"/>
          </w:tcPr>
          <w:p w14:paraId="3888F699" w14:textId="77777777" w:rsidR="00851F6E" w:rsidRDefault="00851F6E" w:rsidP="00851F6E">
            <w:pPr>
              <w:rPr>
                <w:rFonts w:asciiTheme="minorHAnsi" w:eastAsia="CIDFont+F1" w:hAnsiTheme="minorHAnsi" w:cstheme="minorHAnsi"/>
                <w:sz w:val="18"/>
                <w:szCs w:val="18"/>
              </w:rPr>
            </w:pPr>
            <w:r w:rsidRPr="00161112">
              <w:rPr>
                <w:rFonts w:asciiTheme="minorHAnsi" w:eastAsia="CIDFont+F1" w:hAnsiTheme="minorHAnsi" w:cstheme="minorHAnsi"/>
                <w:sz w:val="18"/>
                <w:szCs w:val="18"/>
              </w:rPr>
              <w:lastRenderedPageBreak/>
              <w:t xml:space="preserve">Si no se </w:t>
            </w:r>
            <w:r>
              <w:rPr>
                <w:rFonts w:asciiTheme="minorHAnsi" w:eastAsia="CIDFont+F1" w:hAnsiTheme="minorHAnsi" w:cstheme="minorHAnsi"/>
                <w:sz w:val="18"/>
                <w:szCs w:val="18"/>
              </w:rPr>
              <w:t>incluye</w:t>
            </w:r>
            <w:r w:rsidRPr="00161112">
              <w:rPr>
                <w:rFonts w:asciiTheme="minorHAnsi" w:eastAsia="CIDFont+F1" w:hAnsiTheme="minorHAnsi" w:cstheme="minorHAnsi"/>
                <w:sz w:val="18"/>
                <w:szCs w:val="18"/>
              </w:rPr>
              <w:t xml:space="preserve"> </w:t>
            </w:r>
            <w:r>
              <w:rPr>
                <w:rFonts w:asciiTheme="minorHAnsi" w:eastAsia="CIDFont+F1" w:hAnsiTheme="minorHAnsi" w:cstheme="minorHAnsi"/>
                <w:sz w:val="18"/>
                <w:szCs w:val="18"/>
              </w:rPr>
              <w:t>ninguna</w:t>
            </w:r>
            <w:r w:rsidRPr="00161112">
              <w:rPr>
                <w:rFonts w:asciiTheme="minorHAnsi" w:eastAsia="CIDFont+F1" w:hAnsiTheme="minorHAnsi" w:cstheme="minorHAnsi"/>
                <w:sz w:val="18"/>
                <w:szCs w:val="18"/>
              </w:rPr>
              <w:t xml:space="preserve"> previsión en</w:t>
            </w:r>
            <w:r>
              <w:rPr>
                <w:rFonts w:asciiTheme="minorHAnsi" w:eastAsia="CIDFont+F1" w:hAnsiTheme="minorHAnsi" w:cstheme="minorHAnsi"/>
                <w:sz w:val="18"/>
                <w:szCs w:val="18"/>
              </w:rPr>
              <w:t xml:space="preserve"> cuanto a la instalación de</w:t>
            </w:r>
            <w:r w:rsidRPr="00161112">
              <w:rPr>
                <w:rFonts w:asciiTheme="minorHAnsi" w:eastAsia="CIDFont+F1" w:hAnsiTheme="minorHAnsi" w:cstheme="minorHAnsi"/>
                <w:sz w:val="18"/>
                <w:szCs w:val="18"/>
              </w:rPr>
              <w:t xml:space="preserve"> sistemas de conducción de cables </w:t>
            </w:r>
            <w:r>
              <w:rPr>
                <w:rFonts w:asciiTheme="minorHAnsi" w:eastAsia="CIDFont+F1" w:hAnsiTheme="minorHAnsi" w:cstheme="minorHAnsi"/>
                <w:sz w:val="18"/>
                <w:szCs w:val="18"/>
              </w:rPr>
              <w:t>cuando se realiza</w:t>
            </w:r>
            <w:r w:rsidRPr="008B1AD6">
              <w:rPr>
                <w:rFonts w:asciiTheme="minorHAnsi" w:eastAsia="CIDFont+F1" w:hAnsiTheme="minorHAnsi" w:cstheme="minorHAnsi"/>
                <w:sz w:val="18"/>
                <w:szCs w:val="18"/>
              </w:rPr>
              <w:t xml:space="preserve"> la instalación para el primer </w:t>
            </w:r>
            <w:r w:rsidRPr="008B1AD6">
              <w:rPr>
                <w:rFonts w:asciiTheme="minorHAnsi" w:eastAsia="CIDFont+F1" w:hAnsiTheme="minorHAnsi" w:cstheme="minorHAnsi"/>
                <w:sz w:val="18"/>
                <w:szCs w:val="18"/>
              </w:rPr>
              <w:lastRenderedPageBreak/>
              <w:t>punto de conexión en edificios existentes</w:t>
            </w:r>
            <w:r>
              <w:rPr>
                <w:rFonts w:asciiTheme="minorHAnsi" w:eastAsia="CIDFont+F1" w:hAnsiTheme="minorHAnsi" w:cstheme="minorHAnsi"/>
                <w:sz w:val="18"/>
                <w:szCs w:val="18"/>
              </w:rPr>
              <w:t xml:space="preserve">, </w:t>
            </w:r>
            <w:r w:rsidRPr="00161112">
              <w:rPr>
                <w:rFonts w:asciiTheme="minorHAnsi" w:eastAsia="CIDFont+F1" w:hAnsiTheme="minorHAnsi" w:cstheme="minorHAnsi"/>
                <w:sz w:val="18"/>
                <w:szCs w:val="18"/>
              </w:rPr>
              <w:t xml:space="preserve">las instalaciones </w:t>
            </w:r>
            <w:r>
              <w:rPr>
                <w:rFonts w:asciiTheme="minorHAnsi" w:eastAsia="CIDFont+F1" w:hAnsiTheme="minorHAnsi" w:cstheme="minorHAnsi"/>
                <w:sz w:val="18"/>
                <w:szCs w:val="18"/>
              </w:rPr>
              <w:t>se realizarán de forma muy poco eficiente</w:t>
            </w:r>
            <w:r w:rsidRPr="00161112">
              <w:rPr>
                <w:rFonts w:asciiTheme="minorHAnsi" w:eastAsia="CIDFont+F1" w:hAnsiTheme="minorHAnsi" w:cstheme="minorHAnsi"/>
                <w:sz w:val="18"/>
                <w:szCs w:val="18"/>
              </w:rPr>
              <w:t xml:space="preserve"> ya que se duplicar</w:t>
            </w:r>
            <w:r>
              <w:rPr>
                <w:rFonts w:asciiTheme="minorHAnsi" w:eastAsia="CIDFont+F1" w:hAnsiTheme="minorHAnsi" w:cstheme="minorHAnsi"/>
                <w:sz w:val="18"/>
                <w:szCs w:val="18"/>
              </w:rPr>
              <w:t>án</w:t>
            </w:r>
            <w:r w:rsidRPr="00161112">
              <w:rPr>
                <w:rFonts w:asciiTheme="minorHAnsi" w:eastAsia="CIDFont+F1" w:hAnsiTheme="minorHAnsi" w:cstheme="minorHAnsi"/>
                <w:sz w:val="18"/>
                <w:szCs w:val="18"/>
              </w:rPr>
              <w:t xml:space="preserve"> las canalizaciones </w:t>
            </w:r>
            <w:r>
              <w:rPr>
                <w:rFonts w:asciiTheme="minorHAnsi" w:eastAsia="CIDFont+F1" w:hAnsiTheme="minorHAnsi" w:cstheme="minorHAnsi"/>
                <w:sz w:val="18"/>
                <w:szCs w:val="18"/>
              </w:rPr>
              <w:t>en</w:t>
            </w:r>
            <w:r w:rsidRPr="00161112">
              <w:rPr>
                <w:rFonts w:asciiTheme="minorHAnsi" w:eastAsia="CIDFont+F1" w:hAnsiTheme="minorHAnsi" w:cstheme="minorHAnsi"/>
                <w:sz w:val="18"/>
                <w:szCs w:val="18"/>
              </w:rPr>
              <w:t xml:space="preserve"> los garajes.</w:t>
            </w:r>
          </w:p>
          <w:p w14:paraId="79690B9B" w14:textId="77777777" w:rsidR="00851F6E" w:rsidRPr="00161112" w:rsidRDefault="00851F6E" w:rsidP="00851F6E">
            <w:pPr>
              <w:rPr>
                <w:rFonts w:asciiTheme="minorHAnsi" w:eastAsia="CIDFont+F1" w:hAnsiTheme="minorHAnsi" w:cstheme="minorHAnsi"/>
                <w:sz w:val="18"/>
                <w:szCs w:val="18"/>
              </w:rPr>
            </w:pPr>
          </w:p>
          <w:p w14:paraId="4DEF2E7F" w14:textId="77777777" w:rsidR="00851F6E" w:rsidRDefault="00851F6E" w:rsidP="00851F6E">
            <w:pPr>
              <w:rPr>
                <w:rFonts w:asciiTheme="minorHAnsi" w:eastAsia="CIDFont+F1" w:hAnsiTheme="minorHAnsi" w:cstheme="minorHAnsi"/>
                <w:sz w:val="18"/>
                <w:szCs w:val="18"/>
              </w:rPr>
            </w:pPr>
            <w:r w:rsidRPr="00161112">
              <w:rPr>
                <w:rFonts w:asciiTheme="minorHAnsi" w:eastAsia="CIDFont+F1" w:hAnsiTheme="minorHAnsi" w:cstheme="minorHAnsi"/>
                <w:sz w:val="18"/>
                <w:szCs w:val="18"/>
              </w:rPr>
              <w:t>Por coherencia con lo que se requiere en el DB HE6, esta canalización debería dimensionarse para el 20% de las plazas.</w:t>
            </w:r>
          </w:p>
          <w:p w14:paraId="6DA8F471" w14:textId="77777777" w:rsidR="00851F6E" w:rsidRPr="00BA255B" w:rsidRDefault="00851F6E" w:rsidP="00851F6E">
            <w:pPr>
              <w:rPr>
                <w:rFonts w:asciiTheme="minorHAnsi" w:eastAsia="CIDFont+F1" w:hAnsiTheme="minorHAnsi" w:cstheme="minorHAnsi"/>
                <w:sz w:val="18"/>
                <w:szCs w:val="18"/>
              </w:rPr>
            </w:pPr>
          </w:p>
        </w:tc>
      </w:tr>
    </w:tbl>
    <w:p w14:paraId="4B843AEF" w14:textId="6BD79B45" w:rsidR="00BA2991" w:rsidRPr="001253BF" w:rsidRDefault="00BA2991" w:rsidP="001253BF">
      <w:pPr>
        <w:spacing w:line="312" w:lineRule="auto"/>
        <w:jc w:val="both"/>
        <w:rPr>
          <w:rFonts w:asciiTheme="minorHAnsi" w:hAnsiTheme="minorHAnsi" w:cstheme="minorHAnsi"/>
          <w:szCs w:val="20"/>
        </w:rPr>
      </w:pPr>
    </w:p>
    <w:sectPr w:rsidR="00BA2991" w:rsidRPr="001253BF" w:rsidSect="001253BF">
      <w:headerReference w:type="default" r:id="rId11"/>
      <w:footerReference w:type="default" r:id="rId12"/>
      <w:headerReference w:type="first" r:id="rId13"/>
      <w:type w:val="continuous"/>
      <w:pgSz w:w="11906" w:h="16838"/>
      <w:pgMar w:top="2518"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5189" w14:textId="77777777" w:rsidR="00BE00DD" w:rsidRDefault="00BE00DD" w:rsidP="007849C9">
      <w:pPr>
        <w:spacing w:after="0" w:line="240" w:lineRule="auto"/>
      </w:pPr>
      <w:r>
        <w:separator/>
      </w:r>
    </w:p>
  </w:endnote>
  <w:endnote w:type="continuationSeparator" w:id="0">
    <w:p w14:paraId="4D7F2DB4" w14:textId="77777777" w:rsidR="00BE00DD" w:rsidRDefault="00BE00DD" w:rsidP="00784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Yu Gothic"/>
    <w:panose1 w:val="00000000000000000000"/>
    <w:charset w:val="80"/>
    <w:family w:val="auto"/>
    <w:notTrueType/>
    <w:pitch w:val="default"/>
    <w:sig w:usb0="00000003" w:usb1="08070000" w:usb2="00000010" w:usb3="00000000" w:csb0="0002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368026"/>
      <w:docPartObj>
        <w:docPartGallery w:val="Page Numbers (Bottom of Page)"/>
        <w:docPartUnique/>
      </w:docPartObj>
    </w:sdtPr>
    <w:sdtEndPr>
      <w:rPr>
        <w:rFonts w:asciiTheme="minorHAnsi" w:hAnsiTheme="minorHAnsi"/>
      </w:rPr>
    </w:sdtEndPr>
    <w:sdtContent>
      <w:sdt>
        <w:sdtPr>
          <w:rPr>
            <w:rFonts w:asciiTheme="minorHAnsi" w:hAnsiTheme="minorHAnsi"/>
          </w:rPr>
          <w:id w:val="-1705238520"/>
          <w:docPartObj>
            <w:docPartGallery w:val="Page Numbers (Top of Page)"/>
            <w:docPartUnique/>
          </w:docPartObj>
        </w:sdtPr>
        <w:sdtEndPr/>
        <w:sdtContent>
          <w:p w14:paraId="1EBEB5F9" w14:textId="77777777" w:rsidR="00C814F2" w:rsidRPr="007F1786" w:rsidRDefault="00C814F2" w:rsidP="009D273F">
            <w:pPr>
              <w:pStyle w:val="Piedepgina"/>
              <w:rPr>
                <w:rFonts w:asciiTheme="minorHAnsi" w:hAnsiTheme="minorHAnsi"/>
              </w:rPr>
            </w:pPr>
          </w:p>
          <w:p w14:paraId="50975EFA" w14:textId="274A733C" w:rsidR="00D33AE3" w:rsidRPr="007F1786" w:rsidRDefault="00BE00DD" w:rsidP="009D273F">
            <w:pPr>
              <w:pStyle w:val="Piedepgina"/>
              <w:rPr>
                <w:rFonts w:asciiTheme="minorHAnsi" w:hAnsiTheme="minorHAnsi"/>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A2FB6" w14:textId="77777777" w:rsidR="00BE00DD" w:rsidRDefault="00BE00DD" w:rsidP="007849C9">
      <w:pPr>
        <w:spacing w:after="0" w:line="240" w:lineRule="auto"/>
      </w:pPr>
      <w:r>
        <w:separator/>
      </w:r>
    </w:p>
  </w:footnote>
  <w:footnote w:type="continuationSeparator" w:id="0">
    <w:p w14:paraId="38803B9C" w14:textId="77777777" w:rsidR="00BE00DD" w:rsidRDefault="00BE00DD" w:rsidP="00784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CBFE" w14:textId="58E20E9C" w:rsidR="004A65FC" w:rsidRPr="003610BF" w:rsidRDefault="004A65FC" w:rsidP="004A65FC">
    <w:pPr>
      <w:spacing w:after="0"/>
      <w:jc w:val="right"/>
    </w:pPr>
    <w:r>
      <w:rPr>
        <w:rFonts w:ascii="Arial" w:hAnsi="Arial" w:cs="Arial"/>
        <w:b/>
        <w:noProof/>
        <w:spacing w:val="11"/>
      </w:rPr>
      <w:drawing>
        <wp:anchor distT="0" distB="0" distL="114300" distR="114300" simplePos="0" relativeHeight="251664384" behindDoc="0" locked="0" layoutInCell="1" allowOverlap="1" wp14:anchorId="61DB362C" wp14:editId="31BA276D">
          <wp:simplePos x="0" y="0"/>
          <wp:positionH relativeFrom="column">
            <wp:posOffset>18415</wp:posOffset>
          </wp:positionH>
          <wp:positionV relativeFrom="paragraph">
            <wp:posOffset>31750</wp:posOffset>
          </wp:positionV>
          <wp:extent cx="2523490" cy="482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490" cy="482600"/>
                  </a:xfrm>
                  <a:prstGeom prst="rect">
                    <a:avLst/>
                  </a:prstGeom>
                  <a:noFill/>
                </pic:spPr>
              </pic:pic>
            </a:graphicData>
          </a:graphic>
          <wp14:sizeRelH relativeFrom="page">
            <wp14:pctWidth>0</wp14:pctWidth>
          </wp14:sizeRelH>
          <wp14:sizeRelV relativeFrom="page">
            <wp14:pctHeight>0</wp14:pctHeight>
          </wp14:sizeRelV>
        </wp:anchor>
      </w:drawing>
    </w:r>
    <w:r>
      <w:t>2022</w:t>
    </w:r>
    <w:r w:rsidRPr="003610BF">
      <w:t>-</w:t>
    </w:r>
    <w:r>
      <w:t>01</w:t>
    </w:r>
    <w:r w:rsidRPr="003610BF">
      <w:t>-</w:t>
    </w:r>
    <w:r>
      <w:t>13</w:t>
    </w:r>
  </w:p>
  <w:p w14:paraId="0154AB95" w14:textId="73576138" w:rsidR="00D960F4" w:rsidRDefault="004A65FC" w:rsidP="004A65FC">
    <w:pPr>
      <w:spacing w:after="0"/>
      <w:jc w:val="right"/>
    </w:pPr>
    <w:r w:rsidRPr="003610BF">
      <w:t xml:space="preserve">Pág. </w:t>
    </w:r>
    <w:r>
      <w:fldChar w:fldCharType="begin"/>
    </w:r>
    <w:r>
      <w:instrText xml:space="preserve"> PAGE </w:instrText>
    </w:r>
    <w:r>
      <w:fldChar w:fldCharType="separate"/>
    </w:r>
    <w:r>
      <w:t>1</w:t>
    </w:r>
    <w:r>
      <w:rPr>
        <w:noProof/>
      </w:rPr>
      <w:fldChar w:fldCharType="end"/>
    </w:r>
    <w:r w:rsidRPr="003610BF">
      <w:t xml:space="preserve"> de </w:t>
    </w:r>
    <w:fldSimple w:instr=" NUMPAGES ">
      <w:r>
        <w:t>2</w:t>
      </w:r>
    </w:fldSimple>
  </w:p>
  <w:p w14:paraId="284735D1" w14:textId="63781E14" w:rsidR="00D960F4" w:rsidRPr="009B1489" w:rsidRDefault="00D960F4" w:rsidP="00BA026D">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066E" w14:textId="3F30B7E8" w:rsidR="00D960F4" w:rsidRDefault="00D960F4" w:rsidP="009B1489">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42D"/>
    <w:multiLevelType w:val="hybridMultilevel"/>
    <w:tmpl w:val="7F9047E4"/>
    <w:lvl w:ilvl="0" w:tplc="EFC6486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5D15D11"/>
    <w:multiLevelType w:val="hybridMultilevel"/>
    <w:tmpl w:val="82F43C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28638A"/>
    <w:multiLevelType w:val="hybridMultilevel"/>
    <w:tmpl w:val="FA5AFF70"/>
    <w:lvl w:ilvl="0" w:tplc="9C8AFFAC">
      <w:start w:val="9"/>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F265B7"/>
    <w:multiLevelType w:val="hybridMultilevel"/>
    <w:tmpl w:val="566CE1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E77948"/>
    <w:multiLevelType w:val="hybridMultilevel"/>
    <w:tmpl w:val="0CD6E84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4152693"/>
    <w:multiLevelType w:val="hybridMultilevel"/>
    <w:tmpl w:val="2596468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2D7D3E51"/>
    <w:multiLevelType w:val="hybridMultilevel"/>
    <w:tmpl w:val="4CF26C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7D781B"/>
    <w:multiLevelType w:val="hybridMultilevel"/>
    <w:tmpl w:val="12327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AC6969"/>
    <w:multiLevelType w:val="hybridMultilevel"/>
    <w:tmpl w:val="8534B5CA"/>
    <w:lvl w:ilvl="0" w:tplc="53F0B920">
      <w:start w:val="1"/>
      <w:numFmt w:val="bullet"/>
      <w:lvlText w:val="-"/>
      <w:lvlJc w:val="left"/>
      <w:pPr>
        <w:ind w:left="720" w:hanging="360"/>
      </w:pPr>
      <w:rPr>
        <w:rFonts w:ascii="Calibri" w:eastAsia="CIDFont+F1"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43252F"/>
    <w:multiLevelType w:val="hybridMultilevel"/>
    <w:tmpl w:val="82F43C5A"/>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6C874476"/>
    <w:multiLevelType w:val="hybridMultilevel"/>
    <w:tmpl w:val="542C83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1"/>
  </w:num>
  <w:num w:numId="6">
    <w:abstractNumId w:val="4"/>
  </w:num>
  <w:num w:numId="7">
    <w:abstractNumId w:val="9"/>
  </w:num>
  <w:num w:numId="8">
    <w:abstractNumId w:val="3"/>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05"/>
    <w:rsid w:val="00005D59"/>
    <w:rsid w:val="00006FB8"/>
    <w:rsid w:val="000314B7"/>
    <w:rsid w:val="00051F35"/>
    <w:rsid w:val="0005385D"/>
    <w:rsid w:val="0006184A"/>
    <w:rsid w:val="00065182"/>
    <w:rsid w:val="0008680A"/>
    <w:rsid w:val="00086887"/>
    <w:rsid w:val="00091200"/>
    <w:rsid w:val="000A45F0"/>
    <w:rsid w:val="000A7389"/>
    <w:rsid w:val="000C38D6"/>
    <w:rsid w:val="000D5B94"/>
    <w:rsid w:val="001162D2"/>
    <w:rsid w:val="001253BF"/>
    <w:rsid w:val="00140EB7"/>
    <w:rsid w:val="0014699F"/>
    <w:rsid w:val="00154D23"/>
    <w:rsid w:val="00161112"/>
    <w:rsid w:val="00180FBE"/>
    <w:rsid w:val="001862C8"/>
    <w:rsid w:val="00191ADB"/>
    <w:rsid w:val="0019580E"/>
    <w:rsid w:val="001A2B80"/>
    <w:rsid w:val="001A7609"/>
    <w:rsid w:val="001B2972"/>
    <w:rsid w:val="001B498A"/>
    <w:rsid w:val="001D43FA"/>
    <w:rsid w:val="001F33A7"/>
    <w:rsid w:val="001F79DE"/>
    <w:rsid w:val="00217258"/>
    <w:rsid w:val="0022095A"/>
    <w:rsid w:val="002553FE"/>
    <w:rsid w:val="00262A28"/>
    <w:rsid w:val="00271127"/>
    <w:rsid w:val="00283EEB"/>
    <w:rsid w:val="00286FBE"/>
    <w:rsid w:val="002A36B2"/>
    <w:rsid w:val="002A5369"/>
    <w:rsid w:val="002C14BA"/>
    <w:rsid w:val="002E353F"/>
    <w:rsid w:val="002F5290"/>
    <w:rsid w:val="003126FC"/>
    <w:rsid w:val="0032541A"/>
    <w:rsid w:val="00356963"/>
    <w:rsid w:val="00362C7E"/>
    <w:rsid w:val="003705B2"/>
    <w:rsid w:val="0037111E"/>
    <w:rsid w:val="00380237"/>
    <w:rsid w:val="00391819"/>
    <w:rsid w:val="00392A7A"/>
    <w:rsid w:val="003A0BB6"/>
    <w:rsid w:val="003A1A74"/>
    <w:rsid w:val="003A302C"/>
    <w:rsid w:val="003A5CE7"/>
    <w:rsid w:val="003A7203"/>
    <w:rsid w:val="003B26F7"/>
    <w:rsid w:val="003C414E"/>
    <w:rsid w:val="003D5465"/>
    <w:rsid w:val="003E505C"/>
    <w:rsid w:val="003F1644"/>
    <w:rsid w:val="00403615"/>
    <w:rsid w:val="004422BE"/>
    <w:rsid w:val="00482BAB"/>
    <w:rsid w:val="00485A92"/>
    <w:rsid w:val="00491E3B"/>
    <w:rsid w:val="004968A9"/>
    <w:rsid w:val="004A65FC"/>
    <w:rsid w:val="004B23AC"/>
    <w:rsid w:val="004C07E5"/>
    <w:rsid w:val="004C1565"/>
    <w:rsid w:val="004C3B64"/>
    <w:rsid w:val="004C4C52"/>
    <w:rsid w:val="004C7E99"/>
    <w:rsid w:val="004D4A21"/>
    <w:rsid w:val="004D6A93"/>
    <w:rsid w:val="00501E7E"/>
    <w:rsid w:val="00504F0A"/>
    <w:rsid w:val="00513D8F"/>
    <w:rsid w:val="005517B4"/>
    <w:rsid w:val="005577AC"/>
    <w:rsid w:val="005659D7"/>
    <w:rsid w:val="005808F6"/>
    <w:rsid w:val="00582146"/>
    <w:rsid w:val="005912B5"/>
    <w:rsid w:val="005924B2"/>
    <w:rsid w:val="005A2231"/>
    <w:rsid w:val="005D0973"/>
    <w:rsid w:val="005E410F"/>
    <w:rsid w:val="005E644A"/>
    <w:rsid w:val="00600BF3"/>
    <w:rsid w:val="00611893"/>
    <w:rsid w:val="006228AD"/>
    <w:rsid w:val="0063204C"/>
    <w:rsid w:val="00664830"/>
    <w:rsid w:val="00687306"/>
    <w:rsid w:val="006A07EE"/>
    <w:rsid w:val="006A7E44"/>
    <w:rsid w:val="006C7AA9"/>
    <w:rsid w:val="006D1E73"/>
    <w:rsid w:val="006D728C"/>
    <w:rsid w:val="006E1D3F"/>
    <w:rsid w:val="006E6EDA"/>
    <w:rsid w:val="00703402"/>
    <w:rsid w:val="00731702"/>
    <w:rsid w:val="00732609"/>
    <w:rsid w:val="0077309D"/>
    <w:rsid w:val="0078129F"/>
    <w:rsid w:val="00781A27"/>
    <w:rsid w:val="007849C9"/>
    <w:rsid w:val="00787183"/>
    <w:rsid w:val="00794E8E"/>
    <w:rsid w:val="007957A5"/>
    <w:rsid w:val="007C3278"/>
    <w:rsid w:val="007C6F9C"/>
    <w:rsid w:val="007E1BC0"/>
    <w:rsid w:val="007E3677"/>
    <w:rsid w:val="007E4ACB"/>
    <w:rsid w:val="007F150E"/>
    <w:rsid w:val="007F1786"/>
    <w:rsid w:val="007F52D7"/>
    <w:rsid w:val="008017B0"/>
    <w:rsid w:val="00802417"/>
    <w:rsid w:val="00806DC1"/>
    <w:rsid w:val="00815F40"/>
    <w:rsid w:val="00822749"/>
    <w:rsid w:val="008268B3"/>
    <w:rsid w:val="00842900"/>
    <w:rsid w:val="00844501"/>
    <w:rsid w:val="00847363"/>
    <w:rsid w:val="00851A40"/>
    <w:rsid w:val="00851F6E"/>
    <w:rsid w:val="00852A14"/>
    <w:rsid w:val="00857D9C"/>
    <w:rsid w:val="00867755"/>
    <w:rsid w:val="00872D9C"/>
    <w:rsid w:val="00882A72"/>
    <w:rsid w:val="00886AEF"/>
    <w:rsid w:val="008A1405"/>
    <w:rsid w:val="008B1AD6"/>
    <w:rsid w:val="008B2599"/>
    <w:rsid w:val="008B7923"/>
    <w:rsid w:val="008D6678"/>
    <w:rsid w:val="008F224C"/>
    <w:rsid w:val="00903987"/>
    <w:rsid w:val="0091101B"/>
    <w:rsid w:val="00911403"/>
    <w:rsid w:val="00927C6B"/>
    <w:rsid w:val="00941755"/>
    <w:rsid w:val="00952DC6"/>
    <w:rsid w:val="009623E7"/>
    <w:rsid w:val="0098534B"/>
    <w:rsid w:val="009968B3"/>
    <w:rsid w:val="009A7D4F"/>
    <w:rsid w:val="009B1489"/>
    <w:rsid w:val="009B3726"/>
    <w:rsid w:val="009B3909"/>
    <w:rsid w:val="009D273F"/>
    <w:rsid w:val="009D7998"/>
    <w:rsid w:val="009F6AFE"/>
    <w:rsid w:val="00A040E0"/>
    <w:rsid w:val="00A04180"/>
    <w:rsid w:val="00A142F5"/>
    <w:rsid w:val="00A3563D"/>
    <w:rsid w:val="00A3657B"/>
    <w:rsid w:val="00A5161B"/>
    <w:rsid w:val="00A56D15"/>
    <w:rsid w:val="00A62963"/>
    <w:rsid w:val="00A76826"/>
    <w:rsid w:val="00A773ED"/>
    <w:rsid w:val="00A83D12"/>
    <w:rsid w:val="00AA54B5"/>
    <w:rsid w:val="00AA563D"/>
    <w:rsid w:val="00AB35DD"/>
    <w:rsid w:val="00AD40A5"/>
    <w:rsid w:val="00AE73F2"/>
    <w:rsid w:val="00B1382F"/>
    <w:rsid w:val="00B33EB4"/>
    <w:rsid w:val="00B3696E"/>
    <w:rsid w:val="00B42A9F"/>
    <w:rsid w:val="00B83171"/>
    <w:rsid w:val="00B9401A"/>
    <w:rsid w:val="00BA026D"/>
    <w:rsid w:val="00BA255B"/>
    <w:rsid w:val="00BA2991"/>
    <w:rsid w:val="00BA4030"/>
    <w:rsid w:val="00BE00DD"/>
    <w:rsid w:val="00C00B98"/>
    <w:rsid w:val="00C04828"/>
    <w:rsid w:val="00C177FD"/>
    <w:rsid w:val="00C22CAF"/>
    <w:rsid w:val="00C45BC8"/>
    <w:rsid w:val="00C50557"/>
    <w:rsid w:val="00C66189"/>
    <w:rsid w:val="00C814F2"/>
    <w:rsid w:val="00C86037"/>
    <w:rsid w:val="00C9790D"/>
    <w:rsid w:val="00CA795C"/>
    <w:rsid w:val="00CB5D65"/>
    <w:rsid w:val="00CB718D"/>
    <w:rsid w:val="00CC6549"/>
    <w:rsid w:val="00CE20E7"/>
    <w:rsid w:val="00CE651E"/>
    <w:rsid w:val="00CE77DB"/>
    <w:rsid w:val="00CF1E4D"/>
    <w:rsid w:val="00CF2C86"/>
    <w:rsid w:val="00D00B66"/>
    <w:rsid w:val="00D10D2C"/>
    <w:rsid w:val="00D33AE3"/>
    <w:rsid w:val="00D63FD2"/>
    <w:rsid w:val="00D679A3"/>
    <w:rsid w:val="00D75BE9"/>
    <w:rsid w:val="00D80C76"/>
    <w:rsid w:val="00D85A31"/>
    <w:rsid w:val="00D87349"/>
    <w:rsid w:val="00D960F4"/>
    <w:rsid w:val="00DA62BD"/>
    <w:rsid w:val="00DA7B77"/>
    <w:rsid w:val="00DB59FA"/>
    <w:rsid w:val="00DC4150"/>
    <w:rsid w:val="00DD7D8F"/>
    <w:rsid w:val="00DE45BA"/>
    <w:rsid w:val="00DF5207"/>
    <w:rsid w:val="00E048E0"/>
    <w:rsid w:val="00E07D93"/>
    <w:rsid w:val="00E16178"/>
    <w:rsid w:val="00E75CC7"/>
    <w:rsid w:val="00E87BE8"/>
    <w:rsid w:val="00E943C7"/>
    <w:rsid w:val="00EC0863"/>
    <w:rsid w:val="00ED5F73"/>
    <w:rsid w:val="00F22EDD"/>
    <w:rsid w:val="00F31B14"/>
    <w:rsid w:val="00F325A3"/>
    <w:rsid w:val="00F4070D"/>
    <w:rsid w:val="00F41059"/>
    <w:rsid w:val="00F416D0"/>
    <w:rsid w:val="00F445E6"/>
    <w:rsid w:val="00F5303E"/>
    <w:rsid w:val="00F63535"/>
    <w:rsid w:val="00F67BAF"/>
    <w:rsid w:val="00F823A2"/>
    <w:rsid w:val="00F86D48"/>
    <w:rsid w:val="00F92E78"/>
    <w:rsid w:val="00FA4237"/>
    <w:rsid w:val="00FB69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0F4"/>
    <w:rPr>
      <w:rFonts w:ascii="Gill Sans MT" w:hAnsi="Gill Sans MT"/>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49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49C9"/>
  </w:style>
  <w:style w:type="paragraph" w:styleId="Piedepgina">
    <w:name w:val="footer"/>
    <w:basedOn w:val="Normal"/>
    <w:link w:val="PiedepginaCar"/>
    <w:uiPriority w:val="99"/>
    <w:unhideWhenUsed/>
    <w:rsid w:val="007849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49C9"/>
  </w:style>
  <w:style w:type="paragraph" w:styleId="Textonotapie">
    <w:name w:val="footnote text"/>
    <w:basedOn w:val="Normal"/>
    <w:link w:val="TextonotapieCar"/>
    <w:rsid w:val="007849C9"/>
    <w:pPr>
      <w:spacing w:after="0" w:line="240" w:lineRule="auto"/>
    </w:pPr>
    <w:rPr>
      <w:rFonts w:ascii="Times New Roman" w:eastAsia="Times New Roman" w:hAnsi="Times New Roman" w:cs="Times New Roman"/>
      <w:szCs w:val="20"/>
      <w:lang w:val="es-ES_tradnl" w:eastAsia="es-ES"/>
    </w:rPr>
  </w:style>
  <w:style w:type="character" w:customStyle="1" w:styleId="TextonotapieCar">
    <w:name w:val="Texto nota pie Car"/>
    <w:basedOn w:val="Fuentedeprrafopredeter"/>
    <w:link w:val="Textonotapie"/>
    <w:rsid w:val="007849C9"/>
    <w:rPr>
      <w:rFonts w:ascii="Times New Roman" w:eastAsia="Times New Roman" w:hAnsi="Times New Roman" w:cs="Times New Roman"/>
      <w:sz w:val="20"/>
      <w:szCs w:val="20"/>
      <w:lang w:val="es-ES_tradnl" w:eastAsia="es-ES"/>
    </w:rPr>
  </w:style>
  <w:style w:type="character" w:styleId="Textodelmarcadordeposicin">
    <w:name w:val="Placeholder Text"/>
    <w:basedOn w:val="Fuentedeprrafopredeter"/>
    <w:uiPriority w:val="99"/>
    <w:semiHidden/>
    <w:rsid w:val="006D728C"/>
    <w:rPr>
      <w:color w:val="808080"/>
    </w:rPr>
  </w:style>
  <w:style w:type="paragraph" w:styleId="Textodeglobo">
    <w:name w:val="Balloon Text"/>
    <w:basedOn w:val="Normal"/>
    <w:link w:val="TextodegloboCar"/>
    <w:uiPriority w:val="99"/>
    <w:semiHidden/>
    <w:unhideWhenUsed/>
    <w:rsid w:val="006D72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728C"/>
    <w:rPr>
      <w:rFonts w:ascii="Tahoma" w:hAnsi="Tahoma" w:cs="Tahoma"/>
      <w:sz w:val="16"/>
      <w:szCs w:val="16"/>
    </w:rPr>
  </w:style>
  <w:style w:type="character" w:customStyle="1" w:styleId="Cabeceraorganismo">
    <w:name w:val="Cabecera_organismo"/>
    <w:basedOn w:val="Fuentedeprrafopredeter"/>
    <w:uiPriority w:val="1"/>
    <w:qFormat/>
    <w:rsid w:val="006D728C"/>
    <w:rPr>
      <w:rFonts w:ascii="Gill Sans MT" w:hAnsi="Gill Sans MT"/>
      <w:sz w:val="14"/>
    </w:rPr>
  </w:style>
  <w:style w:type="character" w:customStyle="1" w:styleId="CabeceraOrganismoItalica">
    <w:name w:val="Cabecera_Organismo_Italica"/>
    <w:basedOn w:val="Cabeceraorganismo"/>
    <w:uiPriority w:val="1"/>
    <w:qFormat/>
    <w:rsid w:val="00D87349"/>
    <w:rPr>
      <w:rFonts w:ascii="Gill Sans MT" w:hAnsi="Gill Sans MT"/>
      <w:i/>
      <w:sz w:val="14"/>
    </w:rPr>
  </w:style>
  <w:style w:type="character" w:customStyle="1" w:styleId="Estilo1">
    <w:name w:val="Estilo1"/>
    <w:basedOn w:val="Fuentedeprrafopredeter"/>
    <w:uiPriority w:val="1"/>
    <w:rsid w:val="00491E3B"/>
    <w:rPr>
      <w:color w:val="000000" w:themeColor="text1"/>
    </w:rPr>
  </w:style>
  <w:style w:type="character" w:customStyle="1" w:styleId="OrganismoGris">
    <w:name w:val="Organismo Gris"/>
    <w:basedOn w:val="Fuentedeprrafopredeter"/>
    <w:uiPriority w:val="1"/>
    <w:qFormat/>
    <w:rsid w:val="00491E3B"/>
    <w:rPr>
      <w:rFonts w:ascii="Gill Sans MT" w:hAnsi="Gill Sans MT"/>
      <w:caps/>
      <w:smallCaps w:val="0"/>
      <w:strike w:val="0"/>
      <w:dstrike w:val="0"/>
      <w:color w:val="000000" w:themeColor="text1"/>
      <w:sz w:val="14"/>
    </w:rPr>
  </w:style>
  <w:style w:type="paragraph" w:customStyle="1" w:styleId="Pie5px">
    <w:name w:val="Pie 5px"/>
    <w:basedOn w:val="Normal"/>
    <w:link w:val="Pie5pxCar"/>
    <w:qFormat/>
    <w:rsid w:val="00CB5D65"/>
    <w:pPr>
      <w:spacing w:after="0" w:line="240" w:lineRule="auto"/>
      <w:contextualSpacing/>
    </w:pPr>
    <w:rPr>
      <w:sz w:val="10"/>
    </w:rPr>
  </w:style>
  <w:style w:type="character" w:customStyle="1" w:styleId="Pie5pxCar">
    <w:name w:val="Pie 5px Car"/>
    <w:basedOn w:val="Fuentedeprrafopredeter"/>
    <w:link w:val="Pie5px"/>
    <w:rsid w:val="00CB5D65"/>
    <w:rPr>
      <w:rFonts w:ascii="Gill Sans MT" w:hAnsi="Gill Sans MT"/>
      <w:sz w:val="10"/>
    </w:rPr>
  </w:style>
  <w:style w:type="paragraph" w:styleId="Prrafodelista">
    <w:name w:val="List Paragraph"/>
    <w:basedOn w:val="Normal"/>
    <w:uiPriority w:val="34"/>
    <w:qFormat/>
    <w:rsid w:val="004C4C52"/>
    <w:pPr>
      <w:spacing w:after="0" w:line="240" w:lineRule="auto"/>
      <w:ind w:left="720"/>
      <w:contextualSpacing/>
    </w:pPr>
    <w:rPr>
      <w:rFonts w:ascii="Times New Roman" w:eastAsia="Times New Roman" w:hAnsi="Times New Roman" w:cs="Times New Roman"/>
      <w:szCs w:val="20"/>
      <w:lang w:eastAsia="es-ES"/>
    </w:rPr>
  </w:style>
  <w:style w:type="character" w:styleId="Refdecomentario">
    <w:name w:val="annotation reference"/>
    <w:basedOn w:val="Fuentedeprrafopredeter"/>
    <w:uiPriority w:val="99"/>
    <w:semiHidden/>
    <w:unhideWhenUsed/>
    <w:rsid w:val="00882A72"/>
    <w:rPr>
      <w:sz w:val="16"/>
      <w:szCs w:val="16"/>
    </w:rPr>
  </w:style>
  <w:style w:type="paragraph" w:styleId="Textocomentario">
    <w:name w:val="annotation text"/>
    <w:basedOn w:val="Normal"/>
    <w:link w:val="TextocomentarioCar"/>
    <w:uiPriority w:val="99"/>
    <w:semiHidden/>
    <w:unhideWhenUsed/>
    <w:rsid w:val="00882A72"/>
    <w:pPr>
      <w:spacing w:line="240" w:lineRule="auto"/>
    </w:pPr>
    <w:rPr>
      <w:szCs w:val="20"/>
    </w:rPr>
  </w:style>
  <w:style w:type="character" w:customStyle="1" w:styleId="TextocomentarioCar">
    <w:name w:val="Texto comentario Car"/>
    <w:basedOn w:val="Fuentedeprrafopredeter"/>
    <w:link w:val="Textocomentario"/>
    <w:uiPriority w:val="99"/>
    <w:semiHidden/>
    <w:rsid w:val="00882A72"/>
    <w:rPr>
      <w:rFonts w:ascii="Gill Sans MT" w:hAnsi="Gill Sans MT"/>
      <w:sz w:val="20"/>
      <w:szCs w:val="20"/>
    </w:rPr>
  </w:style>
  <w:style w:type="paragraph" w:styleId="Asuntodelcomentario">
    <w:name w:val="annotation subject"/>
    <w:basedOn w:val="Textocomentario"/>
    <w:next w:val="Textocomentario"/>
    <w:link w:val="AsuntodelcomentarioCar"/>
    <w:uiPriority w:val="99"/>
    <w:semiHidden/>
    <w:unhideWhenUsed/>
    <w:rsid w:val="00882A72"/>
    <w:rPr>
      <w:b/>
      <w:bCs/>
    </w:rPr>
  </w:style>
  <w:style w:type="character" w:customStyle="1" w:styleId="AsuntodelcomentarioCar">
    <w:name w:val="Asunto del comentario Car"/>
    <w:basedOn w:val="TextocomentarioCar"/>
    <w:link w:val="Asuntodelcomentario"/>
    <w:uiPriority w:val="99"/>
    <w:semiHidden/>
    <w:rsid w:val="00882A72"/>
    <w:rPr>
      <w:rFonts w:ascii="Gill Sans MT" w:hAnsi="Gill Sans MT"/>
      <w:b/>
      <w:bCs/>
      <w:sz w:val="20"/>
      <w:szCs w:val="20"/>
    </w:rPr>
  </w:style>
  <w:style w:type="paragraph" w:customStyle="1" w:styleId="Default">
    <w:name w:val="Default"/>
    <w:rsid w:val="00D75BE9"/>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Hipervnculo">
    <w:name w:val="Hyperlink"/>
    <w:basedOn w:val="Fuentedeprrafopredeter"/>
    <w:uiPriority w:val="99"/>
    <w:rsid w:val="00191ADB"/>
    <w:rPr>
      <w:color w:val="0000FF" w:themeColor="hyperlink"/>
      <w:u w:val="single"/>
    </w:rPr>
  </w:style>
  <w:style w:type="table" w:styleId="Tablaconcuadrcula">
    <w:name w:val="Table Grid"/>
    <w:basedOn w:val="Tablanormal"/>
    <w:uiPriority w:val="39"/>
    <w:rsid w:val="00125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3204C"/>
    <w:pPr>
      <w:spacing w:after="0" w:line="240" w:lineRule="auto"/>
    </w:pPr>
    <w:rPr>
      <w:rFonts w:ascii="Gill Sans MT" w:hAnsi="Gill Sans MT"/>
      <w:sz w:val="20"/>
    </w:rPr>
  </w:style>
  <w:style w:type="character" w:styleId="Mencinsinresolver">
    <w:name w:val="Unresolved Mention"/>
    <w:basedOn w:val="Fuentedeprrafopredeter"/>
    <w:uiPriority w:val="99"/>
    <w:semiHidden/>
    <w:unhideWhenUsed/>
    <w:rsid w:val="004A6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0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FFFFFF"/>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19949BE7095E418B3CF0F24A6F99C1" ma:contentTypeVersion="13" ma:contentTypeDescription="Crear nuevo documento." ma:contentTypeScope="" ma:versionID="7138944bdcff6c3adf0ef0a3d18d1e2a">
  <xsd:schema xmlns:xsd="http://www.w3.org/2001/XMLSchema" xmlns:xs="http://www.w3.org/2001/XMLSchema" xmlns:p="http://schemas.microsoft.com/office/2006/metadata/properties" xmlns:ns3="4c01d178-c11a-487f-be00-a6252d3eed65" xmlns:ns4="6c9d6819-5883-4e8d-bee3-5d5dec95d7c5" targetNamespace="http://schemas.microsoft.com/office/2006/metadata/properties" ma:root="true" ma:fieldsID="325600f5c473097404d147cd586dc4f8" ns3:_="" ns4:_="">
    <xsd:import namespace="4c01d178-c11a-487f-be00-a6252d3eed65"/>
    <xsd:import namespace="6c9d6819-5883-4e8d-bee3-5d5dec95d7c5"/>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d178-c11a-487f-be00-a6252d3eed6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element name="SharingHintHash" ma:index="13"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9d6819-5883-4e8d-bee3-5d5dec95d7c5"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E6FE0-EB00-461D-82DF-14C9376BF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d178-c11a-487f-be00-a6252d3eed65"/>
    <ds:schemaRef ds:uri="6c9d6819-5883-4e8d-bee3-5d5dec95d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723592-28AA-4024-89FD-805DFE8B68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8BC624-AE40-4511-9C4F-BC227036C1A2}">
  <ds:schemaRefs>
    <ds:schemaRef ds:uri="http://schemas.microsoft.com/sharepoint/v3/contenttype/forms"/>
  </ds:schemaRefs>
</ds:datastoreItem>
</file>

<file path=customXml/itemProps4.xml><?xml version="1.0" encoding="utf-8"?>
<ds:datastoreItem xmlns:ds="http://schemas.openxmlformats.org/officeDocument/2006/customXml" ds:itemID="{90D4C656-074D-4973-A49C-3AC86779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2022-01-13T11:10:00Z</dcterms:created>
  <dcterms:modified xsi:type="dcterms:W3CDTF">2022-01-13T12:08:00Z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0x010100CA19949BE7095E418B3CF0F24A6F99C1</vt:lpwstr>
  </property>
</Properties>
</file>