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...-i királyirendelet-tervezet a 2006. március 17-i 314/2006. sz. királyi rendelettel jóváhagyott műszaki építési szabályzat módosításáról</w:t>
      </w:r>
    </w:p>
    <w:p w14:paraId="42548872" w14:textId="172DDCC5" w:rsidR="005074AB" w:rsidRPr="003934E5" w:rsidRDefault="005074AB" w:rsidP="005074AB">
      <w:pPr>
        <w:jc w:val="both"/>
        <w:rPr>
          <w:rFonts w:cstheme="minorHAnsi"/>
        </w:rPr>
      </w:pPr>
      <w:r>
        <w:t>Az építési szabályzatról szóló, 1999. november 5-i 38/1999. sz. törvény a műszaki építési szabályzatot (CTE) olyan szabályozási keretként határozza meg, amely meghatározza az épületekre és létesítményeikre vonatkozó alapvető minőségi követelményeket, és lehetővé teszi a 3. cikkben meghatározott alapvető követelményeknek való megfelelést. Az e törvényben előírt műszaki építési szabályzatot (CTE) a 2006. március 17-i 314/2006. sz. királyi rendelet hagyta jóvá. A CTE II. részét alkotó alapdokumentumok meghatározzák és adott esetben számszerűsítik az I. részben meghatározott alapvető követelményeket a teljesítményre vonatkozó célszintek, határértékek vagy egyéb paraméterek meghatározásával. A DB-HE „Energiamegtakarítások” című alapdokumentum meghatározza és számszerűsíti az újépítésű épületek által teljesítendő energiahatékonysági követelményeket, valamint a meglévő épületeken végzett beavatkozásokat.</w:t>
      </w:r>
    </w:p>
    <w:p w14:paraId="400360D8" w14:textId="77777777" w:rsidR="005074AB" w:rsidRPr="003934E5" w:rsidRDefault="005074AB" w:rsidP="005074AB">
      <w:pPr>
        <w:jc w:val="both"/>
        <w:rPr>
          <w:rFonts w:cstheme="minorHAnsi"/>
        </w:rPr>
      </w:pPr>
      <w:r>
        <w:t>2018. május 30-án elfogadták az épületek energiahatékonyságáról szóló 2010/31/EU irányelv és az energiahatékonyságról szóló 2012/27/EU irányelv módosításáról szóló (EU) 2018/844 európai parlamenti és tanácsi irányelvet.</w:t>
      </w:r>
    </w:p>
    <w:p w14:paraId="0B5B2276" w14:textId="142A5C6B" w:rsidR="005A6E61" w:rsidRPr="003934E5" w:rsidRDefault="005074AB" w:rsidP="005A6E61">
      <w:pPr>
        <w:jc w:val="both"/>
        <w:rPr>
          <w:rFonts w:cstheme="minorHAnsi"/>
        </w:rPr>
      </w:pPr>
      <w:r>
        <w:t>Ez az irányelv meghatározza az épületek parkolóiban az elektromos járművek intelligens töltéséhez szükséges minimális infrastruktúra kialakításának feltételeit. Ezért mind az építőipari, mind a mobilitási ágazat a gazdaság általános dekarbonizációjának stratégiai területe, olyan szabályozási kerettel, amelynek célja az innováció, a fenntarthatóság és az energiahatékonyság előmozdítása ezekben az ágazatokban.</w:t>
      </w:r>
    </w:p>
    <w:p w14:paraId="4245C855" w14:textId="1828DE90" w:rsidR="005A6E61" w:rsidRPr="003934E5" w:rsidRDefault="005A6E61" w:rsidP="005A6E61">
      <w:pPr>
        <w:jc w:val="both"/>
        <w:rPr>
          <w:rFonts w:cstheme="minorHAnsi"/>
        </w:rPr>
      </w:pPr>
      <w:r>
        <w:t>Az elektromos járművek intelligens töltését szolgáló infrastruktúra fejlesztése pedig hozzá fog járulni az energiagazdálkodáshoz és a rugalmassághoz, a megújuló energiaforrások használatához és a levegőminőség javításához, az épületek digitálisabbá tételével és az új technológiáknak e területen történő bevezetésével pedig optimalizálni fogja az energiahatékonyságot.</w:t>
      </w:r>
    </w:p>
    <w:p w14:paraId="45A016F5" w14:textId="74A214E6" w:rsidR="005A6E61" w:rsidRPr="003934E5" w:rsidRDefault="005A6E61" w:rsidP="005A6E61">
      <w:pPr>
        <w:jc w:val="both"/>
        <w:rPr>
          <w:rFonts w:cstheme="minorHAnsi"/>
        </w:rPr>
      </w:pPr>
      <w:r>
        <w:t xml:space="preserve">A Spanyolország által az Európai Bizottsághoz benyújtott, a 2021–2030-as időszakra szóló integrált nemzeti energia- és klímaterv (PNIEC) a maga részéről az energiafogyasztás és a járművek kibocsátásának csökkentésére irányuló intézkedésként tervezi az elektromos mobilitás előmozdítását az európai uniós jog szabályozás kiigazítása és beépítése révén, amely lehetővé teszi az elektromos járművek töltési infrastruktúrájának a járműflotta villamosításának fejlesztésével összhangban történő kiépítését, valamint egyéb ösztönző és támogatási mechanizmusok révén. </w:t>
      </w:r>
    </w:p>
    <w:p w14:paraId="3BF925DC" w14:textId="3FA9F544" w:rsidR="00A75681" w:rsidRPr="000E4F56" w:rsidRDefault="00C33374" w:rsidP="00A75681">
      <w:pPr>
        <w:jc w:val="both"/>
        <w:rPr>
          <w:rFonts w:cstheme="minorHAnsi"/>
        </w:rPr>
      </w:pPr>
      <w:r>
        <w:t>E célok elérése és az irányelv e tekintetben történő részleges átültetése érdekében ez a királyi rendelet új energiamegtakarítási alapkövetelményt vezet be a műszaki építési szabályzatba az elektromos járművek töltőinfrastruktúrájával való minimális ellátás tekintetében, amelyet az energiamegtakarításról szóló alapdokumentum HE 6. „Minimális töltőinfrastruktúra-létesítmények elektromos járművek számára” című új szakasza dolgoz ki. Az akadálymentes parkolókban található töltőállomások akadálymentességi feltételeinek biztosítása érdekében módosul a DB-SUA „Biztonságos és akadálymentes használat” című alapdokumentum.</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lastRenderedPageBreak/>
        <w:t xml:space="preserve">Az éghajlatváltozásról és az energetikai átmenetről szóló, 2021. május 20-i 7/2021. sz. törvény rendelkezéseivel összhangban a műszaki építési szabályzatot jóváhagyó, 2006. március 17-i 314/2006. sz. királyi rendelet egyetlen kiegészítő rendelkezése a következő követelményeket állapítja meg az olyan meglévő épületekben az elektromos járművek töltőinfrastruktúráira vonatkozó minimumkövetelményeket illetően, amelyek nem magánlakás-célú használatra szolgálnak, és amelyek több mint húsz parkolóhellyel rendelkeznek, akár beltérben, akár egy kijelölt kültéri területen, és amelyek nem tartoznak az energiamegtakarításról szóló alapdokumentum HE 6. szakaszának alkalmazási körébe. Az éghajlatváltozásról és az energetikai átmenetről szóló, 2021. május 20-i 7/2021. sz. törvény előírja, hogy a műszaki építési szabályzatban szereplő ezen rendelkezést 2023. január 1-je előtt hatályba kell léptetni. </w:t>
      </w:r>
    </w:p>
    <w:p w14:paraId="1192FDEB" w14:textId="77777777" w:rsidR="005074AB" w:rsidRPr="009064BC" w:rsidRDefault="005074AB" w:rsidP="005074AB">
      <w:pPr>
        <w:jc w:val="both"/>
        <w:rPr>
          <w:rFonts w:cstheme="minorHAnsi"/>
        </w:rPr>
      </w:pPr>
      <w:r>
        <w:t>Végezetül az elektromos járművek töltőinfrastruktúráira vonatkozó szabályozás kiegészítése érdekében a 2014. december 12-i 1053/2014. sz. királyi rendelettel jóváhagyott, a kisfeszültségű elektrotechnikai berendezésekről szóló rendelet BT-52 kiegészítő műszaki utasítását (ITC) és egyéb kiegészítő műszaki utasításait módosítják.</w:t>
      </w:r>
    </w:p>
    <w:p w14:paraId="53205125" w14:textId="62D4F2A6" w:rsidR="005A6E61" w:rsidRPr="009064BC" w:rsidRDefault="005074AB" w:rsidP="005A6E61">
      <w:pPr>
        <w:jc w:val="both"/>
        <w:rPr>
          <w:rFonts w:cstheme="minorHAnsi"/>
        </w:rPr>
      </w:pPr>
      <w:r>
        <w:t xml:space="preserve">Ezen túlmenően a PNIEC a megújuló energiák előmozdítására, a termelő ágazatok versenyképességének javítására és a fogyasztók energiagazdálkodásba való fokozottabb bevonására irányuló intézkedésként előirányozza, hogy a lakossági és üzleti területeken a saját fogyasztást megújuló energiával és elosztott termeléssel alakítsák ki. </w:t>
      </w:r>
    </w:p>
    <w:p w14:paraId="4F23D1D3" w14:textId="56BE7436" w:rsidR="005074AB" w:rsidRPr="009064BC" w:rsidRDefault="005A6E61" w:rsidP="005074AB">
      <w:pPr>
        <w:jc w:val="both"/>
        <w:rPr>
          <w:rFonts w:cstheme="minorHAnsi"/>
        </w:rPr>
      </w:pPr>
      <w:r>
        <w:t xml:space="preserve">E tekintetben a saját villamosenergia-fogyasztás adminisztratív, műszaki és gazdasági feltételeit szabályozó, 2019. április 5-i 244/2019. sz. királyi rendelet jóváhagyása többek között lehetővé tette a kollektív saját villamosenergia-fogyasztást, ugyanakkor csökkentette a saját fogyasztás végrehajtására vonatkozó közigazgatási eljárásokat. Ezért úgy tekinthető, hogy a jelenlegi jogi keret lehetővé teszi a minimális villamosenergia-termelésre vonatkozó HE 5. alapkövetelmény hatályának kiterjesztését egyrészt azáltal, hogy alkalmazandóvá teszi azt a magánlakás-célú épületekben, másrészt azáltal, hogy csökkenti a követelmény hatálya alá tartozó, valamennyi felhasználásra szánt épületekben a beépített felületre vonatkozó küszöbértéket. </w:t>
      </w:r>
    </w:p>
    <w:p w14:paraId="2C3560FF" w14:textId="60FA6548" w:rsidR="005074AB" w:rsidRDefault="005074AB" w:rsidP="005074AB">
      <w:pPr>
        <w:jc w:val="both"/>
        <w:rPr>
          <w:rFonts w:cstheme="minorHAnsi"/>
        </w:rPr>
      </w:pPr>
      <w:r>
        <w:t>Ezen túlmenően, miután a 2006. március 17-i 314/2006. sz. királyi rendelettel jóváhagyott, a 2019. december 27-i 311. sz. BOE-ben közzétett, a műszaki építési szabályzat módosításáról szóló, 2019. december 20-i 732/2019. sz. királyi rendeletben hibákat és nyomdai hibákat észleltek, a megfelelő javításokat ez a tervezet tartalmazza. Az energiamegtakarításról szóló DB-HE alapdokumentum alkalmazási módjának tisztázása érdekében a fent említett 732/2019. sz. királyi rendelettel történő aktualizálását követően szükségesnek véljük módosítani az energiaigény szabályozásának feltételeiről szóló HE 1. szakasz egyes szakaszainak, valamint a fent említett alapdokumentum terminológiájáról szóló A. melléklet szövegét.</w:t>
      </w:r>
    </w:p>
    <w:p w14:paraId="010C68C8" w14:textId="6D1CCB96" w:rsidR="00E26B23" w:rsidRDefault="00E26B23" w:rsidP="00B65F28">
      <w:pPr>
        <w:jc w:val="both"/>
        <w:rPr>
          <w:rFonts w:cstheme="minorHAnsi"/>
          <w:bCs/>
        </w:rPr>
      </w:pPr>
      <w:r>
        <w:t xml:space="preserve">A műszaki szabályzatnak az energiamegtakarításról szóló alapdokumentum HE 6. „Az elektromos járművek töltőinfrastruktúrájára vonatkozó minimumrendelkezések” című új szakaszának beillesztésére vonatkozó módosítása, valamint a 2014. december 12-i 1053/2014. sz. királyi rendelet módosítása, amely jóváhagyja az új BT 52 kiegészítő műszaki utasítást (ITC), amelyet a műszaki építési szabályzatot jóváhagyó, 2006. március 17-i 314/2006. sz. királyi rendelet záró rendelkezése és egyetlen kiegészítő rendelkezése tartalmaz, a helyreállítási, átalakítási és rezilienciaépítési tervben (PRTR) előirányzott jogi reformok részét képezik. Konkrétan a PRTR „Fenntartható, biztonságos és összekapcsolt mobilitási sokkterv városi és nagyvárosi környezetben” című 1. eleme a „Az elektromos járművek töltőinfrastruktúrájának </w:t>
      </w:r>
      <w:r>
        <w:lastRenderedPageBreak/>
        <w:t xml:space="preserve">kiépítésére és az elektromos járművek előmozdítására vonatkozó terv” elnevezésű C1.R1. sz. reformján belül a fent említett jogi reformok végrehajtásáról szóló királyi rendelet jóváhagyását foglalja magában.  A C1.R1. reformot olyan jogszabályi, szabályozási és stratégiai keretként dolgozták ki, amely megkönnyíti a töltési infrastruktúra kiépítését az elektromos járművek spanyolországi előmozdítása érdekében, és két mérföldkövet tartalmaz. Ezek közül az első az állami utakhoz, a szervizutakhoz és a kiszolgáló létesítmények építéséhez való hozzáférést szabályozó 1997. december 16-i rendelet módosításáról szóló, 2020. február 19-i TMA/178/2020. sz. rendelet, valamint az energetika területén és a gazdasági helyreállítás egyéb területein hozott intézkedések jóváhagyásáról szóló, 2020. június 23-i 23/2020. sz. királyi törvényerejű rendelet. A C1.R1. reform második mérföldköve a műszaki építési szabályzatot módosító ezen királyi rendelet és az új BT 52 kiegészítő műszaki utasítást (ITC) jóváhagyó, 2014. december 12-i 1053/2014. sz. királyi rendelet jóváhagyása.  A C1.R1. reform a C1.I2. „A töltőpontok létesítésére, az elektromos és üzemanyagcellás járművek beszerzésére, valamint az elektromobilitással, töltéssel és zöld hidrogénnel kapcsolatos innováció ösztönzésére szolgáló terv” elnevezésű beruházáshoz kapcsolódik. Ez a beruházás magában foglalja a töltőállomások létesítésére irányuló, a PRTR keretében az elektromos mobilitáshoz kapcsolódó ösztönző programok (MOVES III) végrehajtásához az autonóm közösségeknek, valamint Ceuta és a Melilla városoknak nyújtott közvetlen támogatás jóváhagyásáról szóló, 2021. április 13-i 266/2021. sz. királyi rendeletben meghatározott támogatási formákat. </w:t>
      </w:r>
    </w:p>
    <w:p w14:paraId="65C24996" w14:textId="1073EF13" w:rsidR="003F7C25" w:rsidRPr="001C78CB" w:rsidRDefault="003F7C25" w:rsidP="005074AB">
      <w:pPr>
        <w:jc w:val="both"/>
        <w:rPr>
          <w:rFonts w:cstheme="minorHAnsi"/>
          <w:bCs/>
          <w:i/>
          <w:iCs/>
        </w:rPr>
      </w:pPr>
      <w:r>
        <w:t xml:space="preserve">Ez a királyi rendelet tiszteletben tartja a PRTR rendelkezéseivel összhangban a jelentős károkozás elkerülésének elvét, valamint az éghajlatvédelemmel és a digitális átállással kapcsolatos címkézés feltételeit, a Helyreállítási és Rezilienciaépítési Eszköz létrehozásáról szóló, 2021. február 12-i (EU) 2021/241 európai parlamenti és tanácsi rendeletet és annak végrehajtási jogszabályait, különösen a „Technikai iránymutatás a jelentős károkozás elkerülését célzó elvnek a Helyreállítási és Rezilienciaépítési Eszközről szóló rendelet keretében történő alkalmazásáról” című bizottsági közleményt, valamint a spanyol helyreállítási, átalakítási és rezilienciaépítési terv értékelésének jóváhagyásáról szóló tanácsi végrehajtási határozat követelményeit. Ez magában foglalja az 1. sz. elemben, valamint a jelen királyi rendelet alapjául szolgáló 1. sz. reformban meghatározott egyedi feltételeknek való megfelelést, mind a jelentős károkozás elkerülését célzó elv, mind pedig az éghajlatvédelemmel és a digitális átállással kapcsolatos címkézés tekintetében, különös tekintettel a PRTR elemeiről szóló dokumentum 3., 6. és 8. szakaszában meghatározottakra. A C1.R1. reformhoz kapcsolódó C1.I2. PRTR-beruházások szintén tiszteletben tartják a jelentős károkozás elkerülésének elvét, valamint az éghajlatvédelemmel és a digitális átállással kapcsolatos címkézés feltételeit. </w:t>
      </w:r>
    </w:p>
    <w:p w14:paraId="16D6EC35" w14:textId="6F02251C" w:rsidR="005074AB" w:rsidRPr="009064BC" w:rsidRDefault="005074AB" w:rsidP="005074AB">
      <w:pPr>
        <w:ind w:left="13"/>
        <w:jc w:val="both"/>
        <w:rPr>
          <w:rFonts w:cstheme="minorHAnsi"/>
        </w:rPr>
      </w:pPr>
      <w:r>
        <w:t xml:space="preserve">Ez a királyi rendelet megfelel a szükségesség, az eredményesség, az arányosság, a jogbiztonság, az átláthatóság és a hatékonyság elvének, amelyet a közigazgatási hatóságok közös közigazgatási eljárásáról szóló, 2015. október 1-jei 39/2015. sz. törvény 129. cikke határoz meg. Ami a szükségesség és a hatékonyság elvét illeti, a törvény eleget tesz az európai irányelvek nemzeti jogba történő átültetésére vonatkozó kötelezettségnek, és összhangban van az olyan általános érdekű célkitűzésekkel, mint az építési infrastruktúra kiigazítása a fenntartható mobilitás és a megújuló energia használatának előmozdítása érdekében. Ez a társadalom jóllétét és a környezet védelmét fogja eredményezni. Ez a királyi rendelet az arányosság elvével is összhangban van, mivel biztosítja az irányelvben előírt jogi felhatalmazás végrehajtásához szükséges és elégséges eszközöket, de nem igényel szükségtelen vagy a jogi követelményeket meghaladó innovációt, és nem vonja maga után a polgárok jogainak korlátozását sem. Ez a </w:t>
      </w:r>
      <w:r>
        <w:lastRenderedPageBreak/>
        <w:t>rendelet megfelel a jogbiztonság elvének, mivel azt az 1997. november 27-i 50/1997. sz. kormányrendeletben meghatározott eljárásoknak és az átláthatóság elvének megfelelően dolgozták ki, mivel egyértelműen meghatározza célját, és nyilvánosan hozzáférhető indokolása teljes körűen kifejti annak tartalmát. Végezetül megfelel a hatékonyság elvének is, mivel nem jár semmilyen adminisztratív teherrel.</w:t>
      </w:r>
    </w:p>
    <w:p w14:paraId="4E30715D" w14:textId="77777777" w:rsidR="005074AB" w:rsidRPr="009064BC" w:rsidRDefault="005074AB" w:rsidP="005074AB">
      <w:pPr>
        <w:jc w:val="both"/>
        <w:rPr>
          <w:rFonts w:cstheme="minorHAnsi"/>
        </w:rPr>
      </w:pPr>
      <w:r>
        <w:t>Ez az általános rendelkezés a műszaki szabályok és az információs társadalommal összefüggő szolgáltatásokra vonatkozó szabályok terén a 2015. szeptember 9-i (EU) 2015/1535 európai parlamenti és tanácsi irányelvben, valamint az 1999. július 31-i 1337/1999. sz. királyi rendeletben előírt információszolgáltatási eljárás hatálya alá tartozik.</w:t>
      </w:r>
    </w:p>
    <w:p w14:paraId="533AAB8D" w14:textId="741A459B" w:rsidR="003C546E" w:rsidRDefault="003C546E" w:rsidP="003C546E">
      <w:pPr>
        <w:jc w:val="both"/>
        <w:rPr>
          <w:rFonts w:cstheme="minorHAnsi"/>
        </w:rPr>
      </w:pPr>
      <w:r>
        <w:t>Ennek értelmében a közlekedési, mobilitási és városfejlesztési menetrendért felelős miniszter és a kormány harmadik miniszterelnök-helyettese és az ökológiai átmenetért és a demográfiai kihívásért felelős miniszter javaslata alapján, az Államtanáccsal egyetértésben és a Miniszterek Tanácsa által a ...-án/-én tartott ülésén folytatott tanácskozásokat követően:</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ELRENDELEM AZ ALÁBBIAKAT:</w:t>
      </w:r>
    </w:p>
    <w:p w14:paraId="29194849" w14:textId="17EA67F9" w:rsidR="005074AB" w:rsidRPr="0033081E" w:rsidRDefault="002A5A94" w:rsidP="005074AB">
      <w:pPr>
        <w:jc w:val="both"/>
        <w:rPr>
          <w:rFonts w:cstheme="minorHAnsi"/>
          <w:bCs/>
          <w:i/>
          <w:iCs/>
        </w:rPr>
      </w:pPr>
      <w:r>
        <w:t xml:space="preserve">Egyetlen cikk. </w:t>
      </w:r>
      <w:r>
        <w:rPr>
          <w:i/>
        </w:rPr>
        <w:t>A 2006. március 17-i 314/2006. sz. királyi rendelettel jóváhagyott műszaki építési szabályzat (CTE) módosítása.</w:t>
      </w:r>
    </w:p>
    <w:p w14:paraId="49F6DB5C" w14:textId="77777777" w:rsidR="005074AB" w:rsidRPr="009064BC" w:rsidRDefault="005074AB" w:rsidP="005074AB">
      <w:pPr>
        <w:jc w:val="both"/>
        <w:rPr>
          <w:rFonts w:cstheme="minorHAnsi"/>
        </w:rPr>
      </w:pPr>
      <w:r>
        <w:t>A műszaki építési szabályzat (CTE) jóváhagyásáról szóló, 2006. március 17-i 314/2006. sz. királyi rendelet a következőképpen módosul:</w:t>
      </w:r>
    </w:p>
    <w:p w14:paraId="1E4A23CD" w14:textId="3CA20F16" w:rsidR="005074AB" w:rsidRPr="009064BC" w:rsidRDefault="005074AB" w:rsidP="005074AB">
      <w:pPr>
        <w:ind w:left="567" w:hanging="567"/>
        <w:jc w:val="both"/>
        <w:rPr>
          <w:rFonts w:cstheme="minorHAnsi"/>
        </w:rPr>
      </w:pPr>
      <w:r>
        <w:t>Egy. A műszaki építési szabályzat I. része a következőképpen módosul:</w:t>
      </w:r>
    </w:p>
    <w:p w14:paraId="7B36765A" w14:textId="6C7BF234" w:rsidR="006B44D8" w:rsidRPr="009064BC" w:rsidRDefault="006B44D8" w:rsidP="0033081E">
      <w:pPr>
        <w:ind w:left="142" w:hanging="142"/>
        <w:jc w:val="both"/>
        <w:rPr>
          <w:rFonts w:cstheme="minorHAnsi"/>
        </w:rPr>
      </w:pPr>
      <w:r>
        <w:t>– A tartalomjegyzékben a „15.6. HE 5. alapkövetelmény: Minimális villamosenergia-termelés” szövegrész helyébe a következő szöveg lép:</w:t>
      </w:r>
    </w:p>
    <w:p w14:paraId="750B02FB" w14:textId="5E773080" w:rsidR="006B44D8" w:rsidRPr="009064BC" w:rsidRDefault="006B44D8" w:rsidP="00F11565">
      <w:pPr>
        <w:ind w:left="426"/>
        <w:jc w:val="both"/>
        <w:rPr>
          <w:rFonts w:cstheme="minorHAnsi"/>
        </w:rPr>
      </w:pPr>
      <w:r>
        <w:t>„15.6. HE 5. alapkövetelmény: HE 5. szakasz – Minimális villamosenergia-termelés megújuló energiaforrásokból.”</w:t>
      </w:r>
    </w:p>
    <w:p w14:paraId="0B75EAC4" w14:textId="77777777" w:rsidR="006B44D8" w:rsidRPr="009064BC" w:rsidRDefault="006B44D8" w:rsidP="006B44D8">
      <w:pPr>
        <w:numPr>
          <w:ilvl w:val="0"/>
          <w:numId w:val="9"/>
        </w:numPr>
        <w:ind w:left="142" w:hanging="142"/>
        <w:jc w:val="both"/>
        <w:rPr>
          <w:rFonts w:cstheme="minorHAnsi"/>
        </w:rPr>
      </w:pPr>
      <w:r>
        <w:t>A tárgymutatóban a 15. cikkre való hivatkozás a következő ponttal egészül ki:</w:t>
      </w:r>
    </w:p>
    <w:p w14:paraId="1C1AB680" w14:textId="1D8C7D23" w:rsidR="006B44D8" w:rsidRPr="009064BC" w:rsidRDefault="007E461E" w:rsidP="00F11565">
      <w:pPr>
        <w:ind w:left="426"/>
        <w:jc w:val="both"/>
        <w:rPr>
          <w:rFonts w:cstheme="minorHAnsi"/>
        </w:rPr>
      </w:pPr>
      <w:r>
        <w:t>„15.7. HE 6. alapkövetelmény: Minimális töltőinfrastruktúra-létesítmények elektromos járművek számára.”</w:t>
      </w:r>
    </w:p>
    <w:p w14:paraId="03B3513D" w14:textId="1133ED17" w:rsidR="001E31F3" w:rsidRPr="002C30D6" w:rsidRDefault="005074AB" w:rsidP="005074AB">
      <w:pPr>
        <w:numPr>
          <w:ilvl w:val="0"/>
          <w:numId w:val="9"/>
        </w:numPr>
        <w:ind w:left="142" w:hanging="142"/>
        <w:jc w:val="both"/>
        <w:rPr>
          <w:rFonts w:cstheme="minorHAnsi"/>
        </w:rPr>
      </w:pPr>
      <w:r>
        <w:t>A 3. fejezet 15. cikkének 15.6. pontja a következőképpen módosul:</w:t>
      </w:r>
    </w:p>
    <w:p w14:paraId="1E36A006" w14:textId="3C6E29CB" w:rsidR="001E31F3" w:rsidRPr="009064BC" w:rsidRDefault="00F11565" w:rsidP="00F11565">
      <w:pPr>
        <w:pStyle w:val="ListParagraph"/>
        <w:ind w:left="426"/>
        <w:jc w:val="both"/>
        <w:rPr>
          <w:rFonts w:cstheme="minorHAnsi"/>
        </w:rPr>
      </w:pPr>
      <w:r>
        <w:t>„15.6. HE 5. alapkövetelmény: Minimális villamosenergia-termelés megújuló energiaforrásokból.</w:t>
      </w:r>
    </w:p>
    <w:p w14:paraId="4799EB9C" w14:textId="22AE3D4A" w:rsidR="001E31F3" w:rsidRPr="009064BC" w:rsidRDefault="001B0467" w:rsidP="00F11565">
      <w:pPr>
        <w:ind w:left="426"/>
        <w:jc w:val="both"/>
        <w:rPr>
          <w:rFonts w:cstheme="minorHAnsi"/>
        </w:rPr>
      </w:pPr>
      <w:r>
        <w:t>Az épületeknek saját használatra vagy a hálózat ellátására megújuló energiaforrásokból származó villamosenergia termelésére szolgáló rendszerekkel kell rendelkezniük.”</w:t>
      </w:r>
    </w:p>
    <w:p w14:paraId="799517C6" w14:textId="6A449415" w:rsidR="005074AB" w:rsidRPr="009064BC" w:rsidRDefault="001E31F3" w:rsidP="005074AB">
      <w:pPr>
        <w:numPr>
          <w:ilvl w:val="0"/>
          <w:numId w:val="9"/>
        </w:numPr>
        <w:ind w:left="142" w:hanging="142"/>
        <w:jc w:val="both"/>
        <w:rPr>
          <w:rFonts w:cstheme="minorHAnsi"/>
        </w:rPr>
      </w:pPr>
      <w:r>
        <w:t>A 15. cikk vége a következő szöveggel egészül ki:</w:t>
      </w:r>
    </w:p>
    <w:p w14:paraId="67BDEE2E" w14:textId="77777777" w:rsidR="005074AB" w:rsidRPr="009064BC" w:rsidRDefault="005074AB" w:rsidP="00F11565">
      <w:pPr>
        <w:ind w:left="426"/>
        <w:jc w:val="both"/>
        <w:rPr>
          <w:rFonts w:cstheme="minorHAnsi"/>
        </w:rPr>
      </w:pPr>
      <w:r>
        <w:t>„15.7. HE 6. alapkövetelmény: Minimális töltőinfrastruktúra-létesítmények elektromos járművek számára.</w:t>
      </w:r>
    </w:p>
    <w:p w14:paraId="7C67403C" w14:textId="535BDE0B" w:rsidR="005074AB" w:rsidRDefault="005074AB" w:rsidP="00F11565">
      <w:pPr>
        <w:ind w:left="426"/>
        <w:jc w:val="both"/>
        <w:rPr>
          <w:rFonts w:cstheme="minorHAnsi"/>
        </w:rPr>
      </w:pPr>
      <w:r>
        <w:t>Az épületeknek rendelkezniük kell az elektromos járművek töltését lehetővé tevő minimális infrastruktúrával.”</w:t>
      </w:r>
    </w:p>
    <w:p w14:paraId="6F674517" w14:textId="77777777" w:rsidR="002A5A94" w:rsidRPr="000E4F56" w:rsidRDefault="002A5A94" w:rsidP="002A5A94">
      <w:pPr>
        <w:pStyle w:val="ListParagraph"/>
        <w:numPr>
          <w:ilvl w:val="0"/>
          <w:numId w:val="9"/>
        </w:numPr>
        <w:ind w:left="142" w:hanging="142"/>
        <w:jc w:val="both"/>
        <w:rPr>
          <w:rFonts w:cstheme="minorHAnsi"/>
        </w:rPr>
      </w:pPr>
      <w:r>
        <w:lastRenderedPageBreak/>
        <w:t>A szöveg a következő kiegészítő rendelkezéssel egészül ki:</w:t>
      </w:r>
    </w:p>
    <w:p w14:paraId="2417D1DC" w14:textId="3DAEE52F" w:rsidR="002A5A94" w:rsidRPr="0033081E" w:rsidRDefault="002A5A94" w:rsidP="002A5A94">
      <w:pPr>
        <w:ind w:left="426"/>
        <w:jc w:val="both"/>
        <w:rPr>
          <w:rFonts w:cstheme="minorHAnsi"/>
          <w:bCs/>
          <w:i/>
          <w:iCs/>
        </w:rPr>
      </w:pPr>
      <w:r>
        <w:t xml:space="preserve">„Egyetlen kiegészítő rendelkezés. </w:t>
      </w:r>
      <w:r>
        <w:rPr>
          <w:i/>
        </w:rPr>
        <w:t>Minimális töltőinfrastruktúra-létesítmények elektromos járművek számára a több mint húsz parkolóhellyel rendelkező, nem magánlakás-célú épületekben.</w:t>
      </w:r>
    </w:p>
    <w:p w14:paraId="71CE31DD" w14:textId="72E1754E" w:rsidR="0067270E" w:rsidRPr="008F4D49" w:rsidRDefault="0067270E" w:rsidP="0067270E">
      <w:pPr>
        <w:ind w:left="426"/>
        <w:jc w:val="both"/>
      </w:pPr>
      <w:r>
        <w:t>Az éghajlatváltozásról és az energetikai átalakulásról szóló, 2021. május 20-i 7/2021. sz. törvény rendelkezéseinek megfelelően 2023. január 1-je előtt minden olyan, nem magánlakás-célú használatra szánt épületnek, amely több mint húsz parkolóhellyel rendelkezik, beltérben, vagy egy kijelölt kültéri területen legalább a következő töltőinfrastruktúra-létesítményekkel kell rendelkeznie elektromos járművek számára:</w:t>
      </w:r>
    </w:p>
    <w:p w14:paraId="2339A7CE" w14:textId="2F683544" w:rsidR="0067270E" w:rsidRPr="00DC3EE9" w:rsidRDefault="0067270E" w:rsidP="00675D0E">
      <w:pPr>
        <w:ind w:left="426"/>
        <w:jc w:val="both"/>
        <w:rPr>
          <w:rFonts w:cstheme="minorHAnsi"/>
        </w:rPr>
      </w:pPr>
      <w:r>
        <w:t>– általánosságban egy töltőállomást kell telepíteni minden 40 parkolóhelyre vagy azzal egyenértékű legfeljebb 1000 helyre, és egy további töltőállomást minden további 100 vagy azzal egyenértékű helyre. Alternatív megoldásként a töltési infrastruktúra megvalósításához szükséges önkormányzati engedélyt vagy építési engedélyt kell kérni, vagy abban az esetben, ha az épület tulajdonosa a 2014. február 26-i 2014/23/EU és 2014/24/EU európai parlamenti és tanácsi irányelveket átültető, az állami szerződésekről szóló 2017. november 8-i 9/2017. sz. törvény hatálya alá tartozik, az említett építési munkálatokra vagy projektre vonatkozó pályázati eljárást, illetve a munkálatok meghatározásához szükséges műszaki dokumentum iránti eljárást a megfelelő szerződéskötési platformon közzétett hirdetmény útján kell megindítani</w:t>
      </w:r>
      <w:bookmarkStart w:id="0" w:name="_Hlk74840570"/>
      <w:r>
        <w:t>. Az önkormányzati engedély vagy építési engedély iránti kérelemmel hivatalossá tett építési munkálatokat a vonatkozó rendelkezéseknek megfelelően az engedély maximális érvényességi időtartamán belül, és ennek hiányában az engedély kiadásától számított hat hónapon belül meg kell kezdeni. A pályáztatásuk, illetve a projektre, vagy az építési munkálatokat meghatározó műszaki dokumentációra vonatkozó pályáztatás megkezdésével hivatalossá tett építési munkálatoknak az építési engedély, az önkormányzati engedély vagy az azzal egyenértékű dokumentum maximális érvényességi időtartamán belül, vagy ennek hiányában a kiadás időpontjától számított hat hónapon belül meg kell kezdődniük.</w:t>
      </w:r>
    </w:p>
    <w:bookmarkEnd w:id="0"/>
    <w:p w14:paraId="58AB7358" w14:textId="65977551" w:rsidR="00F90C96" w:rsidRPr="008F4D49" w:rsidRDefault="0067270E" w:rsidP="00EA32C0">
      <w:pPr>
        <w:ind w:left="426"/>
        <w:jc w:val="both"/>
        <w:rPr>
          <w:rFonts w:cstheme="minorHAnsi"/>
        </w:rPr>
      </w:pPr>
      <w:r>
        <w:t>– az állam általános közigazgatási hatósága, illetve az ahhoz kapcsolódó vagy hozzá tartozó állami szervek tulajdonában lévő épületekben 20 parkolóhelyenként vagy azzal egyenértékű 500 helyenként egy töltőállomást, és minden további 100 vagy ezzel egyenértékű helyenként további egy töltőállomást kell telepíteni, vagy alternatív megoldásként az építési munkálatokra, a projektre, vagy az építési munkálatok meghatározásához szükséges műszaki dokumentumra vonatkozó pályázati eljárást az adott közbeszerzési platformon meghirdetett hirdetmény útján meg kell indítani. A pályáztatásuk, illetve a projektre, vagy az építési munkálatokat meghatározó műszaki dokumentációra vonatkozó pályáztatás megkezdésével hivatalossá tett építési munkálatoknak az építési engedély, az önkormányzati engedély vagy az azzal egyenértékű dokumentum maximális érvényességi időtartamán belül, vagy ennek hiányában a kiadás időpontjától számított hat hónapon belül meg kell kezdődniük.</w:t>
      </w:r>
    </w:p>
    <w:p w14:paraId="354182C6" w14:textId="54A09FDC" w:rsidR="002A5A94" w:rsidRPr="00BA4C0D" w:rsidRDefault="002A5A94" w:rsidP="00210EA2">
      <w:pPr>
        <w:ind w:left="426"/>
        <w:jc w:val="both"/>
      </w:pPr>
      <w:r>
        <w:t xml:space="preserve">A hivatalosan védett épületeket azért zárják ki e kötelezettségek alól, mert egy minősített környezet részét képezik, vagy különleges építészeti vagy történelmi értékük miatt, amennyiben a követelménynek való megfelelés indokolatlanul megváltoztathatja azok </w:t>
      </w:r>
      <w:r>
        <w:lastRenderedPageBreak/>
        <w:t>jellegét vagy megjelenését, és a megváltoztathatatlan elemeket a hivatalos védelemért felelős hatóság határozza meg.</w:t>
      </w:r>
    </w:p>
    <w:p w14:paraId="0662362C" w14:textId="0FC45639" w:rsidR="002A5A94" w:rsidRPr="0062182D" w:rsidRDefault="002A5A94" w:rsidP="0062182D">
      <w:pPr>
        <w:pStyle w:val="ListParagraph"/>
        <w:ind w:left="426"/>
        <w:jc w:val="both"/>
        <w:rPr>
          <w:rFonts w:cstheme="minorHAnsi"/>
        </w:rPr>
      </w:pPr>
      <w:r>
        <w:t>Az elektromos járművek töltőinfrastruktúrája megfelel a kisfeszültségű elektrotechnikai berendezésekről szóló rendeletet jóváhagyó 2002. augusztus 2-i 842/2002. sz. királyi rendeletben, és annak BT 52 „Különleges célú berendezések. Infrastruktúra elektromos járművek felöltésére” című kiegészítő műszaki utasításában (ITC), illetve a DB-HE „Energiamegtakarítások” című alapdokumentum HE 6. „Minimális töltőinfrastruktúra-létesítmények elektromos járművek számára” című szakaszának „A követelmény indokolása” című 4. szakaszában és az „Építés, karbantartás és fenntartás” című 5. szakaszában foglalt rendelkezéseknek.”</w:t>
      </w:r>
    </w:p>
    <w:p w14:paraId="0769E30E" w14:textId="6A51451B" w:rsidR="0033081E" w:rsidRPr="008F4D49" w:rsidRDefault="005074AB" w:rsidP="00D47CC2">
      <w:pPr>
        <w:jc w:val="both"/>
        <w:rPr>
          <w:rFonts w:cstheme="minorHAnsi"/>
        </w:rPr>
      </w:pPr>
      <w:r>
        <w:t xml:space="preserve">Kettő. Módosul a műszaki építési szabályzat II. részében szereplő DB-HE „Energiamegtakarítások” című alapdokumentum, amely magában foglalja a HE 6. „Minimális töltőinfrastruktúra-létesítmények elektromos járművek számára” című szakaszt, amely e királyi rendelet I. mellékletében szerepel. </w:t>
      </w:r>
    </w:p>
    <w:p w14:paraId="5DC46FAC" w14:textId="4A465EFF" w:rsidR="005074AB" w:rsidRPr="008F4D49" w:rsidRDefault="005074AB" w:rsidP="005074AB">
      <w:pPr>
        <w:spacing w:after="162"/>
        <w:ind w:left="13"/>
        <w:jc w:val="both"/>
        <w:rPr>
          <w:rFonts w:cstheme="minorHAnsi"/>
        </w:rPr>
      </w:pPr>
      <w:r>
        <w:t>A DB-HE alapdokumentum a következő módosításokat is tartalmazza:</w:t>
      </w:r>
    </w:p>
    <w:p w14:paraId="53FD09BA" w14:textId="1FBEE4B0" w:rsidR="005074AB" w:rsidRPr="009064BC" w:rsidRDefault="005074AB" w:rsidP="006424FF">
      <w:pPr>
        <w:numPr>
          <w:ilvl w:val="0"/>
          <w:numId w:val="13"/>
        </w:numPr>
        <w:spacing w:after="162"/>
        <w:ind w:left="720" w:hanging="295"/>
        <w:jc w:val="both"/>
        <w:rPr>
          <w:rFonts w:cstheme="minorHAnsi"/>
        </w:rPr>
      </w:pPr>
      <w:r>
        <w:t>A „Bevezetés” rész „I. Tárgy” szakaszában az első albekezdésben „A DB szakaszai megfelelnek a HE 0 a.-–HE 5. alapkövetelményeknek” mondatban a „HE 5.” helyébe a „HE 6.” szövegrész lép.</w:t>
      </w:r>
    </w:p>
    <w:p w14:paraId="7957EC48" w14:textId="441BEE49" w:rsidR="006F5E38" w:rsidRPr="009064BC" w:rsidRDefault="006F5E38" w:rsidP="006424FF">
      <w:pPr>
        <w:numPr>
          <w:ilvl w:val="0"/>
          <w:numId w:val="13"/>
        </w:numPr>
        <w:spacing w:after="162"/>
        <w:ind w:left="720" w:hanging="295"/>
        <w:jc w:val="both"/>
        <w:rPr>
          <w:rFonts w:cstheme="minorHAnsi"/>
        </w:rPr>
      </w:pPr>
      <w:r>
        <w:t>A „Bevezetés” rész I. szakaszában („Tárgy”) a CTE I. részének 15.6. cikkére való hivatkozás a következőképpen módosul:</w:t>
      </w:r>
    </w:p>
    <w:p w14:paraId="5F1636DD" w14:textId="77777777" w:rsidR="006F5E38" w:rsidRPr="009064BC" w:rsidRDefault="006F5E38" w:rsidP="009064BC">
      <w:pPr>
        <w:pStyle w:val="ListParagraph"/>
        <w:ind w:left="709"/>
        <w:contextualSpacing w:val="0"/>
        <w:jc w:val="both"/>
        <w:rPr>
          <w:rFonts w:cstheme="minorHAnsi"/>
        </w:rPr>
      </w:pPr>
      <w:r>
        <w:t>„15.6. HE 5. alapkövetelmény: Minimális villamosenergia-termelés megújuló energiaforrásokból.</w:t>
      </w:r>
    </w:p>
    <w:p w14:paraId="6BB983CA" w14:textId="72439AD8" w:rsidR="006F5E38" w:rsidRPr="009064BC" w:rsidRDefault="006F5E38" w:rsidP="009064BC">
      <w:pPr>
        <w:pStyle w:val="ListParagraph"/>
        <w:spacing w:after="162"/>
        <w:ind w:left="709"/>
        <w:contextualSpacing w:val="0"/>
        <w:jc w:val="both"/>
        <w:rPr>
          <w:rFonts w:cstheme="minorHAnsi"/>
        </w:rPr>
      </w:pPr>
      <w:r>
        <w:t>Az épületeknek saját használatra vagy a hálózat ellátására megújuló energiaforrásokból származó villamosenergia termelésére szolgáló rendszerekkel kell rendelkezniük.”</w:t>
      </w:r>
    </w:p>
    <w:p w14:paraId="2D6B0228" w14:textId="7AFD12CA" w:rsidR="005074AB" w:rsidRPr="009064BC" w:rsidRDefault="005074AB" w:rsidP="006424FF">
      <w:pPr>
        <w:numPr>
          <w:ilvl w:val="0"/>
          <w:numId w:val="13"/>
        </w:numPr>
        <w:spacing w:after="162"/>
        <w:ind w:left="720" w:hanging="295"/>
        <w:jc w:val="both"/>
        <w:rPr>
          <w:rFonts w:cstheme="minorHAnsi"/>
        </w:rPr>
      </w:pPr>
      <w:r>
        <w:t>A „Bevezetés” I. szakaszában („Tárgy”) a CTE I. részének 15. cikkére való hivatkozás a CTE végén a következő szöveggel egészül ki:</w:t>
      </w:r>
    </w:p>
    <w:p w14:paraId="7D3E8D59" w14:textId="77777777" w:rsidR="005074AB" w:rsidRPr="009064BC" w:rsidRDefault="005074AB" w:rsidP="006424FF">
      <w:pPr>
        <w:ind w:left="709"/>
        <w:jc w:val="both"/>
        <w:rPr>
          <w:rFonts w:cstheme="minorHAnsi"/>
        </w:rPr>
      </w:pPr>
      <w:r>
        <w:t>„15.7. HE 6. alapkövetelmény: Minimális töltőinfrastruktúra-létesítmények elektromos járművek számára.</w:t>
      </w:r>
    </w:p>
    <w:p w14:paraId="63C180D9" w14:textId="77777777" w:rsidR="005074AB" w:rsidRPr="009064BC" w:rsidRDefault="005074AB" w:rsidP="006424FF">
      <w:pPr>
        <w:ind w:left="709"/>
        <w:jc w:val="both"/>
        <w:rPr>
          <w:rFonts w:cstheme="minorHAnsi"/>
        </w:rPr>
      </w:pPr>
      <w:r>
        <w:t>Az épületeknek rendelkezniük kell az elektromos járművek töltését lehetővé tevő minimális infrastruktúrával.”</w:t>
      </w:r>
    </w:p>
    <w:p w14:paraId="2CCB9F35" w14:textId="1C8D3E4F" w:rsidR="001B0467" w:rsidRPr="009064BC" w:rsidRDefault="001B0467" w:rsidP="006424FF">
      <w:pPr>
        <w:numPr>
          <w:ilvl w:val="0"/>
          <w:numId w:val="13"/>
        </w:numPr>
        <w:ind w:left="720" w:hanging="294"/>
        <w:jc w:val="both"/>
        <w:rPr>
          <w:rFonts w:cstheme="minorHAnsi"/>
        </w:rPr>
      </w:pPr>
      <w:r>
        <w:t>A tartalomjegyzékben a HE 5. szakasz címe a következőképpen módosul:</w:t>
      </w:r>
    </w:p>
    <w:p w14:paraId="7DC0F11B" w14:textId="4E9858DC" w:rsidR="001B0467" w:rsidRPr="009064BC" w:rsidRDefault="001B0467" w:rsidP="001B0467">
      <w:pPr>
        <w:pStyle w:val="ListParagraph"/>
        <w:ind w:left="709"/>
        <w:jc w:val="both"/>
        <w:rPr>
          <w:rFonts w:cstheme="minorHAnsi"/>
        </w:rPr>
      </w:pPr>
      <w:r>
        <w:t>„HE 5. szakasz: Minimális villamosenergia-termelés megújuló energiaforrásokból.”</w:t>
      </w:r>
    </w:p>
    <w:p w14:paraId="1178E5DE" w14:textId="4953BECD" w:rsidR="005074AB" w:rsidRPr="009064BC" w:rsidRDefault="005074AB" w:rsidP="006424FF">
      <w:pPr>
        <w:numPr>
          <w:ilvl w:val="0"/>
          <w:numId w:val="13"/>
        </w:numPr>
        <w:ind w:left="720" w:hanging="294"/>
        <w:jc w:val="both"/>
        <w:rPr>
          <w:rFonts w:cstheme="minorHAnsi"/>
        </w:rPr>
      </w:pPr>
      <w:r>
        <w:t>A tárgymutatóban a 15. cikkre való hivatkozás a következő ponttal egészül ki:</w:t>
      </w:r>
    </w:p>
    <w:p w14:paraId="661731BD" w14:textId="50DD66A3" w:rsidR="005074AB" w:rsidRPr="009064BC" w:rsidRDefault="00982E58" w:rsidP="00982E58">
      <w:pPr>
        <w:tabs>
          <w:tab w:val="left" w:pos="7938"/>
        </w:tabs>
        <w:ind w:left="1134" w:hanging="425"/>
        <w:contextualSpacing/>
        <w:jc w:val="both"/>
        <w:rPr>
          <w:rFonts w:cstheme="minorHAnsi"/>
        </w:rPr>
      </w:pPr>
      <w:r>
        <w:t>„HE 6. szakasz: Minimális töltőinfrastruktúra-létesítmények elektromos járművek számára……………………………………………………………………………………..……………..</w:t>
      </w:r>
      <w:r>
        <w:tab/>
        <w:t>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Alkalmazási kör........................................................................................</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A követelmény leírása……………………………………………………………………</w:t>
      </w:r>
      <w:r>
        <w:tab/>
        <w:t>34</w:t>
      </w:r>
    </w:p>
    <w:p w14:paraId="4D6A108B" w14:textId="59207892" w:rsidR="005074AB" w:rsidRPr="009064BC" w:rsidRDefault="005074AB" w:rsidP="00982E58">
      <w:pPr>
        <w:numPr>
          <w:ilvl w:val="0"/>
          <w:numId w:val="10"/>
        </w:numPr>
        <w:tabs>
          <w:tab w:val="left" w:pos="7938"/>
        </w:tabs>
        <w:ind w:left="1134" w:hanging="425"/>
        <w:contextualSpacing/>
        <w:jc w:val="both"/>
        <w:rPr>
          <w:rFonts w:cstheme="minorHAnsi"/>
        </w:rPr>
      </w:pPr>
      <w:r>
        <w:t>A követelmény számszerűsítése………………………………………………………………..</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lastRenderedPageBreak/>
        <w:t>A követelmény indokolása……………………………………………………………………</w:t>
      </w:r>
      <w:r>
        <w:tab/>
        <w:t>34</w:t>
      </w:r>
    </w:p>
    <w:p w14:paraId="7CB375BD" w14:textId="42FB7BB8" w:rsidR="005074AB" w:rsidRPr="009064BC" w:rsidRDefault="005074AB" w:rsidP="00982E58">
      <w:pPr>
        <w:numPr>
          <w:ilvl w:val="0"/>
          <w:numId w:val="10"/>
        </w:numPr>
        <w:tabs>
          <w:tab w:val="left" w:pos="7938"/>
        </w:tabs>
        <w:ind w:left="1134" w:hanging="425"/>
        <w:contextualSpacing/>
        <w:jc w:val="both"/>
        <w:rPr>
          <w:rFonts w:cstheme="minorHAnsi"/>
        </w:rPr>
      </w:pPr>
      <w:r>
        <w:t>Építés, karbantartás és fenntartás……………………………………………………....</w:t>
      </w:r>
      <w:r w:rsidR="0090056C">
        <w:tab/>
      </w:r>
      <w:r>
        <w:t>35</w:t>
      </w:r>
    </w:p>
    <w:p w14:paraId="0BB8C82D" w14:textId="09943AE3" w:rsidR="005074AB" w:rsidRPr="009064BC" w:rsidRDefault="006424FF" w:rsidP="00982E58">
      <w:pPr>
        <w:tabs>
          <w:tab w:val="left" w:pos="7938"/>
        </w:tabs>
        <w:ind w:left="1843" w:hanging="425"/>
        <w:contextualSpacing/>
        <w:jc w:val="both"/>
        <w:rPr>
          <w:rFonts w:cstheme="minorHAnsi"/>
        </w:rPr>
      </w:pPr>
      <w:r>
        <w:t>5.1.</w:t>
      </w:r>
      <w:r>
        <w:tab/>
        <w:t>Kivitelezés……………………………………………………………………………………….</w:t>
      </w:r>
      <w:r>
        <w:tab/>
        <w:t>35</w:t>
      </w:r>
    </w:p>
    <w:p w14:paraId="4AE42B35" w14:textId="4950E3E2" w:rsidR="005074AB" w:rsidRPr="009064BC" w:rsidRDefault="005074AB" w:rsidP="00982E58">
      <w:pPr>
        <w:tabs>
          <w:tab w:val="left" w:pos="7938"/>
        </w:tabs>
        <w:ind w:left="1843" w:hanging="425"/>
        <w:contextualSpacing/>
        <w:jc w:val="both"/>
        <w:rPr>
          <w:rFonts w:cstheme="minorHAnsi"/>
        </w:rPr>
      </w:pPr>
      <w:r>
        <w:t>5.2.</w:t>
      </w:r>
      <w:r>
        <w:tab/>
        <w:t>Az építési munkálatok kivitelezésének nyomon követése………………..35</w:t>
      </w:r>
    </w:p>
    <w:p w14:paraId="2E5A6752" w14:textId="09392F3C" w:rsidR="005074AB" w:rsidRPr="009064BC" w:rsidRDefault="005074AB" w:rsidP="00982E58">
      <w:pPr>
        <w:tabs>
          <w:tab w:val="left" w:pos="7938"/>
        </w:tabs>
        <w:ind w:left="1843" w:hanging="436"/>
        <w:contextualSpacing/>
        <w:jc w:val="both"/>
        <w:rPr>
          <w:rFonts w:cstheme="minorHAnsi"/>
        </w:rPr>
      </w:pPr>
      <w:r>
        <w:t>5.3.</w:t>
      </w:r>
      <w:r>
        <w:tab/>
        <w:t>A befejezett építési munkálatok ellenőrzése……………………………………35</w:t>
      </w:r>
    </w:p>
    <w:p w14:paraId="5D3A912D" w14:textId="794493B7" w:rsidR="005074AB" w:rsidRPr="009064BC" w:rsidRDefault="005074AB" w:rsidP="00982E58">
      <w:pPr>
        <w:tabs>
          <w:tab w:val="left" w:pos="7938"/>
        </w:tabs>
        <w:ind w:left="1843" w:hanging="425"/>
        <w:contextualSpacing/>
        <w:jc w:val="both"/>
        <w:rPr>
          <w:rFonts w:cstheme="minorHAnsi"/>
        </w:rPr>
      </w:pPr>
      <w:r>
        <w:t>5.4.</w:t>
      </w:r>
      <w:r>
        <w:tab/>
        <w:t>Az épület karbantartása és fenntartása………………………..…………..</w:t>
      </w:r>
      <w:r>
        <w:tab/>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A HE 0. „Energiafogyasztási határértékek” szakaszban a 4.1. szakasz („Számítási eljárás”) 9. bekezdésében az „Elismert dokumentum” szövegrész helyébe az „Épületek elismert energiatanúsítványa” szöveg lép.</w:t>
      </w:r>
    </w:p>
    <w:p w14:paraId="3222E360" w14:textId="2F90CB7E" w:rsidR="0067340E" w:rsidRPr="0067340E" w:rsidRDefault="006C16B4" w:rsidP="0026457E">
      <w:pPr>
        <w:numPr>
          <w:ilvl w:val="0"/>
          <w:numId w:val="13"/>
        </w:numPr>
        <w:ind w:left="720" w:hanging="295"/>
        <w:jc w:val="both"/>
        <w:rPr>
          <w:rFonts w:cstheme="minorHAnsi"/>
        </w:rPr>
      </w:pPr>
      <w:r>
        <w:t>A HE 0. „Energiafogyasztási határértékek” szakasz „Számítási eljárás” című 4.1. szakaszában a 9. bekezdés számozása 11. bekezdésre változik, és a szöveg a következő albekezdésekkel egészül ki:</w:t>
      </w:r>
    </w:p>
    <w:p w14:paraId="3392DEB4" w14:textId="73112890" w:rsidR="0067340E" w:rsidRDefault="0067340E" w:rsidP="0067340E">
      <w:pPr>
        <w:ind w:left="1134" w:hanging="425"/>
        <w:contextualSpacing/>
        <w:jc w:val="both"/>
        <w:rPr>
          <w:rFonts w:cstheme="minorHAnsi"/>
        </w:rPr>
      </w:pPr>
      <w:r>
        <w:t>„9.</w:t>
      </w:r>
      <w:r>
        <w:tab/>
        <w:t>A BD követelményeinek ellenőrzéséhez szükséges energiamérleg kiszámítása az UNE-EN ISO 52000-1:2019 (Épületek energetikai teljesítőképessége. Átfogó kiértékelés. 1. rész: Általános keretrendszer és eljárások. K</w:t>
      </w:r>
      <w:r>
        <w:rPr>
          <w:vertAlign w:val="subscript"/>
        </w:rPr>
        <w:t>exp</w:t>
      </w:r>
      <w:r>
        <w:t xml:space="preserve"> = 0 exporttényező alkalmazása) szabvány szerint történik.”</w:t>
      </w:r>
    </w:p>
    <w:p w14:paraId="744E1B50" w14:textId="4419E002" w:rsidR="00B233D0" w:rsidRDefault="00B233D0" w:rsidP="0026457E">
      <w:pPr>
        <w:ind w:left="1134" w:hanging="425"/>
        <w:jc w:val="both"/>
        <w:rPr>
          <w:rFonts w:cstheme="minorHAnsi"/>
        </w:rPr>
      </w:pPr>
      <w:r>
        <w:t>„10.</w:t>
      </w:r>
      <w:r>
        <w:tab/>
        <w:t>A különböző szolgáltatások elosztása céljából a helyszínen termelt villamos energia elosztását minden egyes időintervallumban az érintett elektromos fogyasztással (fűtés, hűtés, szellőztetés, ACS és harmadlagos használat, valamint világítás) arányosan kell kiszámítani.”</w:t>
      </w:r>
    </w:p>
    <w:p w14:paraId="78947690" w14:textId="66930B3C" w:rsidR="005074AB" w:rsidRPr="009064BC" w:rsidRDefault="005074AB" w:rsidP="0026457E">
      <w:pPr>
        <w:numPr>
          <w:ilvl w:val="0"/>
          <w:numId w:val="13"/>
        </w:numPr>
        <w:ind w:left="720" w:hanging="294"/>
        <w:jc w:val="both"/>
        <w:rPr>
          <w:rFonts w:cstheme="minorHAnsi"/>
        </w:rPr>
      </w:pPr>
      <w:r>
        <w:t>A HE 1. „Az energiaigény szabályozására vonatkozó feltételek” című szakasz 3.1.1. szakasza („A hőáramvezérlő réteg áteresztőképessége”) a következő albekezdéssel egészül ki:</w:t>
      </w:r>
    </w:p>
    <w:p w14:paraId="729573A3" w14:textId="05413AE2" w:rsidR="005074AB" w:rsidRPr="009064BC" w:rsidRDefault="005074AB" w:rsidP="006424FF">
      <w:pPr>
        <w:ind w:left="1134" w:hanging="425"/>
        <w:jc w:val="both"/>
        <w:rPr>
          <w:rFonts w:cstheme="minorHAnsi"/>
        </w:rPr>
      </w:pPr>
      <w:r>
        <w:t>„6.</w:t>
      </w:r>
      <w:r>
        <w:tab/>
        <w:t xml:space="preserve">Alternatív megoldásként </w:t>
      </w:r>
      <w:r>
        <w:rPr>
          <w:i/>
          <w:iCs/>
        </w:rPr>
        <w:t>a hőáramvezérlő rétegen keresztüli hőátadás általános együtthatójának (K)</w:t>
      </w:r>
      <w:r>
        <w:t xml:space="preserve"> való megfelelés kötelezettsége alól ki lehet zárni az olyan épületeket, illetve a meglévő épületeken végzett részleges beavatkozás esetén az olyan épületrészeket, amelyeken beavatkozást hajtanak végre, és amelyek fűtési és hűtési igénye mindkét esetben kevesebb, mint 15 kWh/m</w:t>
      </w:r>
      <w:r>
        <w:rPr>
          <w:vertAlign w:val="superscript"/>
        </w:rPr>
        <w:t>2</w:t>
      </w:r>
      <w:r>
        <w:t>.”</w:t>
      </w:r>
    </w:p>
    <w:p w14:paraId="49941342" w14:textId="77777777" w:rsidR="00802B87" w:rsidRDefault="005074AB" w:rsidP="00802B87">
      <w:pPr>
        <w:numPr>
          <w:ilvl w:val="0"/>
          <w:numId w:val="13"/>
        </w:numPr>
        <w:ind w:left="709" w:hanging="283"/>
        <w:contextualSpacing/>
        <w:jc w:val="both"/>
        <w:rPr>
          <w:rFonts w:cstheme="minorHAnsi"/>
        </w:rPr>
      </w:pPr>
      <w:r>
        <w:t>A HE 1. „Az energiaigény szabályozására vonatkozó feltételek” című szakasz 3.1.3. szakasza („A hőáramvezérlő réteg légáteresztő képessége”) a következő új 3. bekezdéssel egészül ki:</w:t>
      </w:r>
    </w:p>
    <w:p w14:paraId="1D58DEB1" w14:textId="0D8F3294" w:rsidR="005074AB" w:rsidRPr="00802B87" w:rsidRDefault="005074AB" w:rsidP="00802B87">
      <w:pPr>
        <w:ind w:left="709"/>
        <w:contextualSpacing/>
        <w:jc w:val="both"/>
        <w:rPr>
          <w:rFonts w:cstheme="minorHAnsi"/>
        </w:rPr>
      </w:pPr>
      <w:r>
        <w:t xml:space="preserve">„Módosítások esetén a fenti 3.1.3.a-HE1. táblázat csak a </w:t>
      </w:r>
      <w:r>
        <w:rPr>
          <w:i/>
          <w:iCs/>
        </w:rPr>
        <w:t>hőáramvezérlő réteg</w:t>
      </w:r>
      <w:r>
        <w:t xml:space="preserve"> azon elemeire vonatkozik, amelyeket helyettesítenek, beépítettek vagy lényegesen módosítottak;”</w:t>
      </w:r>
    </w:p>
    <w:p w14:paraId="7563FEDE" w14:textId="74826D79" w:rsidR="005074AB" w:rsidRDefault="005074AB" w:rsidP="00836E07">
      <w:pPr>
        <w:ind w:left="709"/>
        <w:jc w:val="both"/>
        <w:rPr>
          <w:rFonts w:cstheme="minorHAnsi"/>
        </w:rPr>
      </w:pPr>
      <w:r>
        <w:t>A 3.1.3. „A hőáramvezérlő réteg légáteresztő képessége” szakasz jelenlegi 3. és 4. bekezdésének számozása 4. és 5. bekezdésre módosul.</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A HE 3. „A világítóberendezésekre vonatkozó feltételek” című szakaszban a 3.1-HE3. Telepítési hatékonysági határérték (VEEI</w:t>
      </w:r>
      <w:r>
        <w:rPr>
          <w:vertAlign w:val="subscript"/>
        </w:rPr>
        <w:t>lim</w:t>
      </w:r>
      <w:r>
        <w:t xml:space="preserve">) táblázatban a „boltok és kis üzletek” szövegrész helyébe a „Boltok és kis üzletek </w:t>
      </w:r>
      <w:r>
        <w:rPr>
          <w:rFonts w:ascii="Calibri" w:hAnsi="Calibri"/>
          <w:vertAlign w:val="subscript"/>
        </w:rPr>
        <w:t>(10)</w:t>
      </w:r>
      <w:r>
        <w:t>” szöveg lép, és a szöveg a következő lábjegyzettel egészül ki:</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lastRenderedPageBreak/>
        <w:t>„</w:t>
      </w:r>
      <w:r>
        <w:rPr>
          <w:vertAlign w:val="superscript"/>
        </w:rPr>
        <w:t>(10)</w:t>
      </w:r>
      <w:r>
        <w:t xml:space="preserve"> A bolt kifejezés mind a kisméretű független üzletekre, mind a kereskedelmi használatra szánt részre vonatkozik, amelyet a bevásárlóközpontokban általában nem használnak.”</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A HE 4. „A megújuló energia minimális hozzájárulása a háztartási melegvíz-igény kielégítéséhez” című szakasz 2. szakaszában („A követelmény leírása”) az 1. cikk szövege a következő:</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Az épületeknek nagy mértékben ki kell elégíteniük az ACS-re és a fűtött beltéri medencék vízmelegítésére vagy megújuló kapcsolt energiatermelési folyamatokra vonatkozó igényeiket; amelyek magában az épületben, vagy a távfűtési rendszerhez való csatlakozáson keresztül keletkeznek.”</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A HE 5. „Minimális villamosenergia-termelés” szakasz címe a következőképpen módosul:</w:t>
      </w:r>
    </w:p>
    <w:p w14:paraId="1835914C" w14:textId="7892C477" w:rsidR="005074AB" w:rsidRPr="009064BC" w:rsidRDefault="00836E07" w:rsidP="006F5E38">
      <w:pPr>
        <w:pStyle w:val="ListParagraph"/>
        <w:ind w:left="709"/>
        <w:contextualSpacing w:val="0"/>
        <w:jc w:val="both"/>
        <w:rPr>
          <w:rFonts w:cstheme="minorHAnsi"/>
        </w:rPr>
      </w:pPr>
      <w:r>
        <w:t>„HE 5. szakasz: Minimális villamosenergia-termelés megújuló energiaforrásokból”</w:t>
      </w:r>
    </w:p>
    <w:p w14:paraId="5A13D3D2" w14:textId="6E7AA8ED" w:rsidR="005074AB" w:rsidRPr="009064BC" w:rsidRDefault="005074AB" w:rsidP="00CC005A">
      <w:pPr>
        <w:numPr>
          <w:ilvl w:val="0"/>
          <w:numId w:val="13"/>
        </w:numPr>
        <w:ind w:left="720" w:hanging="294"/>
        <w:jc w:val="both"/>
        <w:rPr>
          <w:rFonts w:cstheme="minorHAnsi"/>
        </w:rPr>
      </w:pPr>
      <w:r>
        <w:t xml:space="preserve">A HE 5. „Minimális villamosenergia-termelés” című szakaszban az 1. szakasz („Hatály”) szövege a következő: </w:t>
      </w:r>
    </w:p>
    <w:p w14:paraId="45B1F681" w14:textId="77777777" w:rsidR="005074AB" w:rsidRPr="009064BC" w:rsidRDefault="005074AB" w:rsidP="00CC005A">
      <w:pPr>
        <w:ind w:left="1134" w:hanging="425"/>
        <w:jc w:val="both"/>
        <w:rPr>
          <w:rFonts w:cstheme="minorHAnsi"/>
        </w:rPr>
      </w:pPr>
      <w:r>
        <w:t>„1.</w:t>
      </w:r>
      <w:r>
        <w:tab/>
        <w:t xml:space="preserve">Ez a szakasz a következő esetekben alkalmazandó: </w:t>
      </w:r>
    </w:p>
    <w:p w14:paraId="10C39280" w14:textId="4335D1B7" w:rsidR="002F2BD0" w:rsidRPr="003934E5" w:rsidRDefault="005074AB" w:rsidP="002F2BD0">
      <w:pPr>
        <w:numPr>
          <w:ilvl w:val="0"/>
          <w:numId w:val="8"/>
        </w:numPr>
        <w:ind w:left="1418" w:hanging="284"/>
        <w:contextualSpacing/>
        <w:jc w:val="both"/>
        <w:rPr>
          <w:rFonts w:cstheme="minorHAnsi"/>
        </w:rPr>
      </w:pPr>
      <w:r>
        <w:t>újépítésű épületek, amennyiben meghaladják az 1 000 m</w:t>
      </w:r>
      <w:r>
        <w:rPr>
          <w:vertAlign w:val="superscript"/>
        </w:rPr>
        <w:t>2</w:t>
      </w:r>
      <w:r>
        <w:t xml:space="preserve"> beépített területet;</w:t>
      </w:r>
    </w:p>
    <w:p w14:paraId="288E1AFC" w14:textId="6CE90E6C" w:rsidR="002F2BD0" w:rsidRPr="003934E5" w:rsidRDefault="002F2BD0" w:rsidP="002F2BD0">
      <w:pPr>
        <w:numPr>
          <w:ilvl w:val="0"/>
          <w:numId w:val="8"/>
        </w:numPr>
        <w:ind w:left="1418" w:hanging="284"/>
        <w:contextualSpacing/>
        <w:jc w:val="both"/>
        <w:rPr>
          <w:rFonts w:cstheme="minorHAnsi"/>
        </w:rPr>
      </w:pPr>
      <w:r>
        <w:t>meglévő épületek bővítése, ha a beépített terület több mint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meglévő épületek, amelyeket teljesen felújítottak, vagy amelyek használati jellemzői megváltoztak, ha a beépített terület meghaladja az 1 000 m</w:t>
      </w:r>
      <w:r>
        <w:rPr>
          <w:vertAlign w:val="superscript"/>
        </w:rPr>
        <w:t>2</w:t>
      </w:r>
      <w:r>
        <w:t>-t.</w:t>
      </w:r>
    </w:p>
    <w:p w14:paraId="2BDE8293" w14:textId="74B0ACD8" w:rsidR="001B0467" w:rsidRPr="003934E5" w:rsidRDefault="00D76296" w:rsidP="001B0467">
      <w:pPr>
        <w:ind w:left="1134"/>
        <w:jc w:val="both"/>
        <w:rPr>
          <w:rFonts w:cstheme="minorHAnsi"/>
        </w:rPr>
      </w:pPr>
      <w:r>
        <w:t xml:space="preserve">Úgy kell tekinteni, hogy a beépített terület magában foglalja az épületen belüli parkolók területét, és nem foglalja magában a közös szabadtéri területeket.”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A HE 5. „Minimális villamosenergia-termelés” című szakaszban „A követelmény leírása” című 2. szakasz első albekezdésének szövege a következő:</w:t>
      </w:r>
    </w:p>
    <w:p w14:paraId="477CF5F6" w14:textId="719B0DCE" w:rsidR="001B0467" w:rsidRPr="003934E5" w:rsidRDefault="003934E5" w:rsidP="003934E5">
      <w:pPr>
        <w:pStyle w:val="ListParagraph"/>
        <w:ind w:left="1134" w:hanging="425"/>
        <w:contextualSpacing w:val="0"/>
        <w:jc w:val="both"/>
        <w:rPr>
          <w:rFonts w:cstheme="minorHAnsi"/>
        </w:rPr>
      </w:pPr>
      <w:r>
        <w:t>„1.</w:t>
      </w:r>
      <w:r>
        <w:tab/>
        <w:t>Az épületeknek saját használatra vagy a hálózat ellátására megújuló energiaforrásokból származó villamosenergia termelésére szolgáló rendszerekkel kell rendelkezniük.”</w:t>
      </w:r>
    </w:p>
    <w:p w14:paraId="6586AED4" w14:textId="66518836" w:rsidR="005074AB" w:rsidRPr="003934E5" w:rsidRDefault="005074AB" w:rsidP="00262992">
      <w:pPr>
        <w:pStyle w:val="ListParagraph"/>
        <w:numPr>
          <w:ilvl w:val="0"/>
          <w:numId w:val="13"/>
        </w:numPr>
        <w:ind w:left="709" w:hanging="283"/>
        <w:jc w:val="both"/>
        <w:rPr>
          <w:rFonts w:cstheme="minorHAnsi"/>
        </w:rPr>
      </w:pPr>
      <w:r>
        <w:t>A HE 5. „Minimális villamosenergia-termelés” című szakasz „A követelmény számszerűsítése” című 3. szakaszának szövege a következő:</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A minimális P</w:t>
      </w:r>
      <w:r>
        <w:rPr>
          <w:vertAlign w:val="subscript"/>
        </w:rPr>
        <w:t>min</w:t>
      </w:r>
      <w:r>
        <w:t xml:space="preserve"> </w:t>
      </w:r>
      <w:r>
        <w:rPr>
          <w:i/>
          <w:iCs/>
        </w:rPr>
        <w:t>telepítési teljesítmény</w:t>
      </w:r>
      <w:r>
        <w:t xml:space="preserve"> a következő két egyenlet legalacsonyabb eredménye: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 (0,5 · S</w:t>
      </w:r>
      <w:r>
        <w:rPr>
          <w:vertAlign w:val="subscript"/>
        </w:rPr>
        <w:t>c</w:t>
      </w:r>
      <w:r>
        <w:t xml:space="preserve"> - S</w:t>
      </w:r>
      <w:r>
        <w:rPr>
          <w:vertAlign w:val="subscript"/>
        </w:rPr>
        <w:t>oc</w:t>
      </w:r>
      <w:r>
        <w:t xml:space="preserve"> )</w:t>
      </w:r>
    </w:p>
    <w:p w14:paraId="33F1DF55" w14:textId="77777777" w:rsidR="005074AB" w:rsidRPr="00C249FB" w:rsidRDefault="005074AB" w:rsidP="005074AB">
      <w:pPr>
        <w:spacing w:before="60"/>
        <w:ind w:left="1134"/>
        <w:jc w:val="both"/>
        <w:rPr>
          <w:rFonts w:eastAsia="Arial" w:cstheme="minorHAnsi"/>
          <w:kern w:val="2"/>
          <w:szCs w:val="24"/>
        </w:rPr>
      </w:pPr>
      <w:r>
        <w:t>ahol:</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 xml:space="preserve">telepítési teljesítmény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lastRenderedPageBreak/>
        <w:t>F</w:t>
      </w:r>
      <w:r>
        <w:rPr>
          <w:vertAlign w:val="subscript"/>
        </w:rPr>
        <w:t>pr;el</w:t>
      </w:r>
      <w:r>
        <w:tab/>
        <w:t>villamosenergia-termelési tényező, amelynek értéke a magánlakás-célú felhasználás esetében 0,005, más felhasználások esetében pedig 0,010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az épület beépített területének felülete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ab/>
        <w:t>a nem közlekedésre szolgáló tető felülete vagy a tető csak fenntartás céljából hozzáférhető felülete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a nem közlekedésre szolgáló tető felülete vagy a tető csak fenntartás céljából hozzáférhető, termikus napkollektorok által elfoglalt területe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Azokban az épületekben, ahol városfejlesztési vagy építészeti okokból, vagy mert hivatalosan védett épületekről van szó, amennyiben a hivatalos védelmet megadó hatóság határozza meg a megváltoztathatatlan elemeket, a minimális </w:t>
      </w:r>
      <w:r>
        <w:rPr>
          <w:i/>
          <w:iCs/>
        </w:rPr>
        <w:t>telepítési teljesítmény</w:t>
      </w:r>
      <w:r>
        <w:t xml:space="preserve"> nem érhető el, ezt a tényt a különböző alternatívák elemzésével kell indokolni, és a lehető legnagyobb telepített teljesítményt elérő megoldást kell elfogadni.”</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A HE 5. „Minimális villamosenergia-termelés” szakaszban „A követelmény indokolása” című 4. szakasz a következőkkel egészül ki:</w:t>
      </w:r>
    </w:p>
    <w:p w14:paraId="1F522FCD" w14:textId="0464CEFA" w:rsidR="005074AB" w:rsidRPr="003934E5" w:rsidRDefault="00CC005A" w:rsidP="00982E58">
      <w:pPr>
        <w:ind w:left="1134" w:hanging="425"/>
        <w:jc w:val="both"/>
        <w:rPr>
          <w:rFonts w:cstheme="minorHAnsi"/>
        </w:rPr>
      </w:pPr>
      <w:r>
        <w:t>c)</w:t>
      </w:r>
      <w:r>
        <w:tab/>
        <w:t xml:space="preserve">adott esetben azok az okok, amelyek megakadályozzák az előírt minimális </w:t>
      </w:r>
      <w:r>
        <w:rPr>
          <w:i/>
          <w:iCs/>
        </w:rPr>
        <w:t>telepítési teljesítmény</w:t>
      </w:r>
      <w:r>
        <w:t xml:space="preserve"> elérését, az alternatívák elemzése és a lehető legnagyobb telepített teljesítmény elérése érdekében elfogadott megoldás.”</w:t>
      </w:r>
    </w:p>
    <w:p w14:paraId="2F009607" w14:textId="478B8572" w:rsidR="005074AB" w:rsidRPr="003934E5" w:rsidRDefault="005074AB" w:rsidP="009064BC">
      <w:pPr>
        <w:pStyle w:val="ListParagraph"/>
        <w:numPr>
          <w:ilvl w:val="0"/>
          <w:numId w:val="13"/>
        </w:numPr>
        <w:ind w:left="709" w:hanging="283"/>
        <w:jc w:val="both"/>
        <w:rPr>
          <w:rFonts w:cstheme="minorHAnsi"/>
        </w:rPr>
      </w:pPr>
      <w:r>
        <w:t>A „Terminológia” című A. melléklet a következőképpen módosul:</w:t>
      </w:r>
    </w:p>
    <w:p w14:paraId="44885A1E" w14:textId="0F9B0783" w:rsidR="005074AB" w:rsidRPr="009064BC" w:rsidRDefault="005074AB" w:rsidP="005074AB">
      <w:pPr>
        <w:ind w:left="709" w:hanging="142"/>
        <w:jc w:val="both"/>
        <w:rPr>
          <w:rFonts w:cstheme="minorHAnsi"/>
        </w:rPr>
      </w:pPr>
      <w:r>
        <w:t>– A „Benapozáscsökkentés (q</w:t>
      </w:r>
      <w:r>
        <w:rPr>
          <w:vertAlign w:val="subscript"/>
        </w:rPr>
        <w:t>sol;jul</w:t>
      </w:r>
      <w:r>
        <w:t>)” kifejezés meghatározásában a „H</w:t>
      </w:r>
      <w:r>
        <w:rPr>
          <w:vertAlign w:val="subscript"/>
        </w:rPr>
        <w:t>sol;jul</w:t>
      </w:r>
      <w:r>
        <w:t>” képlet eleme meghatározásának végén a pont helyébe pontosvessző lép, és a szöveg a képlet egy másik elemének meghatározásával egészül ki:</w:t>
      </w:r>
    </w:p>
    <w:p w14:paraId="3DF606FE" w14:textId="65F10CC5" w:rsidR="005074AB" w:rsidRPr="009064BC" w:rsidRDefault="005074AB" w:rsidP="00A5780E">
      <w:pPr>
        <w:ind w:left="709"/>
        <w:jc w:val="both"/>
        <w:rPr>
          <w:rFonts w:cstheme="minorHAnsi"/>
        </w:rPr>
      </w:pPr>
      <w:r>
        <w:t>„A</w:t>
      </w:r>
      <w:r>
        <w:rPr>
          <w:vertAlign w:val="subscript"/>
        </w:rPr>
        <w:t>util</w:t>
      </w:r>
      <w:r>
        <w:tab/>
        <w:t>olyan terület, amely megfelel a HE 0. 4.6. szakaszának.”</w:t>
      </w:r>
    </w:p>
    <w:p w14:paraId="22770CCD" w14:textId="56BB680A" w:rsidR="005074AB" w:rsidRPr="009064BC" w:rsidRDefault="005074AB" w:rsidP="005074AB">
      <w:pPr>
        <w:ind w:left="709" w:hanging="142"/>
        <w:jc w:val="both"/>
        <w:rPr>
          <w:rFonts w:cstheme="minorHAnsi"/>
        </w:rPr>
      </w:pPr>
      <w:r>
        <w:t>– A „Végső energia” fogalommeghatározásában a „közvetlenül felhasznált, a fogyasztó által villamos energia, üzemanyag vagy egyéb tüzelőanyag formájában vásárolt energia” szövegrész helyébe a következő szöveg lép: „Az épületrendszereknek a szolgáltatások nyújtása céljából biztosított energia. Ezt az ellátást általában tüzelőanyagokon, helyszíni termelésen vagy meghatározott hálózatokon (villamos energia, gáz, központi fűtés vagy hűtés stb.) keresztül nyújtják.”</w:t>
      </w:r>
    </w:p>
    <w:p w14:paraId="4C32D5BC" w14:textId="77777777" w:rsidR="005074AB" w:rsidRPr="009064BC" w:rsidRDefault="005074AB" w:rsidP="005074AB">
      <w:pPr>
        <w:ind w:left="709" w:hanging="142"/>
        <w:jc w:val="both"/>
        <w:rPr>
          <w:rFonts w:cstheme="minorHAnsi"/>
        </w:rPr>
      </w:pPr>
      <w:r>
        <w:t>A „hőátadás (U)” fogalommeghatározása a szöveg végén a következő mondattal egészül ki:</w:t>
      </w:r>
    </w:p>
    <w:p w14:paraId="553E6F27" w14:textId="77777777" w:rsidR="005074AB" w:rsidRPr="009064BC" w:rsidRDefault="005074AB" w:rsidP="00A5780E">
      <w:pPr>
        <w:ind w:left="709"/>
        <w:jc w:val="both"/>
        <w:rPr>
          <w:rFonts w:cstheme="minorHAnsi"/>
        </w:rPr>
      </w:pPr>
      <w:r>
        <w:t>„W/m</w:t>
      </w:r>
      <w:r>
        <w:rPr>
          <w:vertAlign w:val="superscript"/>
        </w:rPr>
        <w:t>2</w:t>
      </w:r>
      <w:r>
        <w:t>K-ban kifejezve.”</w:t>
      </w:r>
    </w:p>
    <w:p w14:paraId="573B0D8C" w14:textId="4E8B3B75" w:rsidR="005074AB" w:rsidRPr="009064BC" w:rsidRDefault="005074AB" w:rsidP="009064BC">
      <w:pPr>
        <w:pStyle w:val="ListParagraph"/>
        <w:numPr>
          <w:ilvl w:val="0"/>
          <w:numId w:val="13"/>
        </w:numPr>
        <w:ind w:left="709" w:hanging="283"/>
        <w:jc w:val="both"/>
        <w:rPr>
          <w:rFonts w:cstheme="minorHAnsi"/>
        </w:rPr>
      </w:pPr>
      <w:r>
        <w:t>A „Terminológia” című A. melléklet a következő kifejezésekkel egészül ki:</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Kiegészítő berendezések</w:t>
      </w:r>
      <w:r>
        <w:t>: a világításhoz kapcsolódó elektromos vagy elektronikus berendezések, amelyek minden egyes típusú</w:t>
      </w:r>
      <w:r>
        <w:rPr>
          <w:i/>
        </w:rPr>
        <w:t xml:space="preserve"> világítás</w:t>
      </w:r>
      <w:r>
        <w:t xml:space="preserve"> esetében eltérőek, és amelyek funkciója az üzemi feltételek biztosítása és szabályozása. Ezeket a kiegészítő berendezéseket, kivéve, ha elektronikusak, indítószerkezet, ballaszt és kondenzátor kombinációja alkotják.</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rPr>
          <w:b/>
          <w:bCs/>
          <w:i/>
          <w:iCs/>
        </w:rPr>
        <w:lastRenderedPageBreak/>
        <w:t>Töl</w:t>
      </w:r>
      <w:r>
        <w:rPr>
          <w:b/>
          <w:i/>
        </w:rPr>
        <w:t>tőállomás</w:t>
      </w:r>
      <w:r>
        <w:t xml:space="preserve">: az </w:t>
      </w:r>
      <w:r>
        <w:rPr>
          <w:i/>
        </w:rPr>
        <w:t>elektromos jármű</w:t>
      </w:r>
      <w:r>
        <w:t xml:space="preserve"> töltéshez szükséges rögzített elektromos berendezéshez való csatlakoztatásához szükséges elemek összesége. A</w:t>
      </w:r>
      <w:r>
        <w:rPr>
          <w:i/>
        </w:rPr>
        <w:t xml:space="preserve"> töltőállomásokat </w:t>
      </w:r>
      <w:r>
        <w:t>az alábbi kategóriákba lehet besorolni:</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Egyetlen töltőpont, amely a szükséges védelmi elemekből, egy vagy több, nem csak egy adott </w:t>
      </w:r>
      <w:r>
        <w:rPr>
          <w:i/>
        </w:rPr>
        <w:t>elektromos jármű</w:t>
      </w:r>
      <w:r>
        <w:rPr>
          <w:i/>
          <w:iCs/>
        </w:rPr>
        <w:t>höz</w:t>
      </w:r>
      <w:r>
        <w:t xml:space="preserve"> kialakított aljzatból és adott esetben a burkolatból áll.</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SAVE </w:t>
      </w:r>
      <w:r>
        <w:rPr>
          <w:i/>
        </w:rPr>
        <w:t>(Specific Electric Vehicle Power Supply System)</w:t>
      </w:r>
      <w:r>
        <w:t xml:space="preserve"> típusú töltőpont.</w:t>
      </w:r>
    </w:p>
    <w:p w14:paraId="1D92DB31" w14:textId="44506109" w:rsidR="005074AB" w:rsidRPr="003934E5" w:rsidRDefault="00547307" w:rsidP="00CC005A">
      <w:pPr>
        <w:spacing w:before="200" w:after="100" w:line="240" w:lineRule="auto"/>
        <w:ind w:left="709"/>
        <w:jc w:val="both"/>
        <w:rPr>
          <w:rFonts w:eastAsia="Arial" w:cstheme="minorHAnsi"/>
          <w:kern w:val="2"/>
        </w:rPr>
      </w:pPr>
      <w:r>
        <w:rPr>
          <w:b/>
          <w:bCs/>
          <w:i/>
          <w:iCs/>
        </w:rPr>
        <w:t>Töltőinfrastruktúra elektromos járművek számára:</w:t>
      </w:r>
      <w:r>
        <w:t xml:space="preserve"> olyan fizikai és logikai eszközök összessége, amelyek a kisfeszültségű elektrotechnikai berendezésekről szóló rendeletben az egyes esetekre előírt biztonsági és rendelkezésre állási követelményeknek megfelelő </w:t>
      </w:r>
      <w:r>
        <w:rPr>
          <w:i/>
          <w:iCs/>
        </w:rPr>
        <w:t>elektromos járművek</w:t>
      </w:r>
      <w:r>
        <w:t xml:space="preserve"> töltésére szolgálnak, és képesek teljes körű és átfogó töltési szolgáltatást nyújtani. Magában foglalja a </w:t>
      </w:r>
      <w:r>
        <w:rPr>
          <w:i/>
        </w:rPr>
        <w:t>töltőállomásokat</w:t>
      </w:r>
      <w:r>
        <w:t>, a vezérlőrendszert, az elektromos vezetékeket, az elektromos vezérlő- és védőpaneleket és a mérőberendezéseket, ha ezek kizárólag elektromos járművek töltésére szolgálnak.</w:t>
      </w:r>
    </w:p>
    <w:p w14:paraId="5C699291" w14:textId="5BE34863" w:rsidR="005074AB" w:rsidRPr="003934E5" w:rsidRDefault="00547307" w:rsidP="00547307">
      <w:pPr>
        <w:spacing w:before="200" w:after="100" w:line="240" w:lineRule="auto"/>
        <w:ind w:left="709"/>
        <w:jc w:val="both"/>
        <w:rPr>
          <w:rFonts w:eastAsia="Arial" w:cstheme="minorHAnsi"/>
          <w:kern w:val="2"/>
        </w:rPr>
      </w:pPr>
      <w:r>
        <w:rPr>
          <w:b/>
          <w:bCs/>
          <w:i/>
          <w:iCs/>
        </w:rPr>
        <w:t>Specific Electric Vehicle Power System (SAVE):</w:t>
      </w:r>
      <w:r>
        <w:t xml:space="preserve"> az </w:t>
      </w:r>
      <w:r>
        <w:rPr>
          <w:i/>
          <w:iCs/>
        </w:rPr>
        <w:t>elektromos jármű</w:t>
      </w:r>
      <w:r>
        <w:t xml:space="preserve"> töltésére szolgáló villamosenergia-ellátás céljából összeszerelt berendezések összessége, beleértve a töltőállomás védelmi elemeit, a csatlakozókábelt (fázis-, semleges és földelő vezetékekkel), az aljzatot vagy konnektort, valamint adott esetben a váltóáram-egyenáram átalakítót. Ennek a rendszernek adott esetben lehetővé kell tennie a kommunikációt az</w:t>
      </w:r>
      <w:r>
        <w:rPr>
          <w:i/>
        </w:rPr>
        <w:t xml:space="preserve"> elektromos jármű</w:t>
      </w:r>
      <w:r>
        <w:t xml:space="preserve"> és a helyhez kötött berendezés között.</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rPr>
          <w:b/>
          <w:i/>
        </w:rPr>
        <w:t>Magánlakás-célú felhasználás</w:t>
      </w:r>
      <w:r>
        <w:t>: Állandó lakóhely céljára szánt épület vagy terület, függetlenül attól, hogy milyen típusú épületről van szó: családi ház, lakóépület stb., köz- és magánfejlesztés céljából.</w:t>
      </w:r>
    </w:p>
    <w:p w14:paraId="0B244847" w14:textId="4B38DAFA" w:rsidR="005074AB" w:rsidRDefault="00547307" w:rsidP="00CC005A">
      <w:pPr>
        <w:spacing w:before="200" w:after="100" w:line="240" w:lineRule="auto"/>
        <w:ind w:left="709"/>
        <w:jc w:val="both"/>
        <w:rPr>
          <w:rFonts w:eastAsia="Arial" w:cstheme="minorHAnsi"/>
          <w:kern w:val="2"/>
          <w:szCs w:val="24"/>
        </w:rPr>
      </w:pPr>
      <w:r>
        <w:rPr>
          <w:b/>
          <w:bCs/>
          <w:i/>
          <w:iCs/>
        </w:rPr>
        <w:t>E</w:t>
      </w:r>
      <w:r>
        <w:rPr>
          <w:b/>
          <w:i/>
        </w:rPr>
        <w:t>lektromos jármű</w:t>
      </w:r>
      <w:r>
        <w:t>: legalább egy, energiaátalakítóként működő, nem perifériás elektromos mechanizmussal rendelkező hajtómű csoporttal felszerelt gépjármű, amely kívülről újratölthető villamosenergia-tároló rendszerrel van felszerelve.”</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A D. melléklet 4. bekezdésében az „Elismert dokumentum” szöveg helyébe az „Épületek energetikai tanúsítására vonatkozó elismert dokumentum” szöveg lép.</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A H. mellékletben (Az épület légáteresztő képességének meghatározása) a szakasz címe után „Az épület légáteresztő képességét az alábbi módszerek egyikével kell meghatározni” szöveg, valamint az 1. szakaszban (Vizsgálattal történő meghatározás) „A levegőcsere 50 Pa, n50 értékén mért aránya az UNE-EN 13829:2002 szabvány (Épületek légáteresztő képességének meghatározása. Túlnyomásos eljárás.) B. módszere szerinti vizsgálattal állapítható meg.” szövegrész helyébe a következő szöveg lép: „A levegőcsere 50 Pa, n50 értékén mért aránya az UNE-EN ISO 9972: 2019 szabvány (Épületek hőtechnikai viselkedése. Épületek légáteresztő képességének meghatározása. Túlnyomásos eljárás) 1. vagy 2. módszere szerinti vizsgálattal állapítható meg.”.</w:t>
      </w:r>
    </w:p>
    <w:p w14:paraId="153946FB" w14:textId="274D0F0F" w:rsidR="001E0B70" w:rsidRPr="003934E5" w:rsidRDefault="001E0B70" w:rsidP="005074AB">
      <w:pPr>
        <w:ind w:left="13"/>
        <w:jc w:val="both"/>
        <w:rPr>
          <w:rFonts w:cstheme="minorHAnsi"/>
        </w:rPr>
      </w:pPr>
      <w:r>
        <w:t>Három.</w:t>
      </w:r>
      <w:r>
        <w:rPr>
          <w:b/>
        </w:rPr>
        <w:t xml:space="preserve"> </w:t>
      </w:r>
      <w:r>
        <w:t xml:space="preserve">A műszaki építési szabályzat II. részében szereplő DB-SUA „Biztonságos és akadálymentes használat” alapdokumentum a következőképpen módosul: </w:t>
      </w:r>
    </w:p>
    <w:p w14:paraId="05134A28" w14:textId="08B7B404" w:rsidR="00A5780E" w:rsidRDefault="001E0B70" w:rsidP="00D722CA">
      <w:pPr>
        <w:ind w:left="13"/>
        <w:jc w:val="both"/>
        <w:rPr>
          <w:rFonts w:cstheme="minorHAnsi"/>
        </w:rPr>
      </w:pPr>
      <w:r>
        <w:t>A SUA 9. szakaszában („Akadálymentesség”) az A. mellékletben („Terminológia”) az „akadálymentes parkoló” fogalommeghatározása az alábbi albekezdéssel egészül ki:</w:t>
      </w:r>
    </w:p>
    <w:p w14:paraId="791B9B63" w14:textId="2AEB4586" w:rsidR="00D722CA" w:rsidRPr="009064BC" w:rsidRDefault="0078611E" w:rsidP="0078611E">
      <w:pPr>
        <w:ind w:left="709"/>
        <w:jc w:val="both"/>
        <w:rPr>
          <w:rFonts w:cstheme="minorHAnsi"/>
        </w:rPr>
      </w:pPr>
      <w:r>
        <w:lastRenderedPageBreak/>
        <w:t>„– Abban az esetben, ha az akadálymentes parkolóhely töltőállomással rendelkezik az elektromos járművek számára, az akadálymentes útvonalnak ezt a töltőállomást is magában kell foglalnia. E töltőállomások áramkivezetőit és csatlakozóit a környezethez képest kontrasztos színnel megjelölni, 80 és 120 cm közötti magasságban kell elhelyezni, és a sarkoktól mért távolságuknak legalább 35 cm-nek kell lennie.”</w:t>
      </w:r>
    </w:p>
    <w:p w14:paraId="09F57FB9" w14:textId="78225EA3" w:rsidR="005074AB" w:rsidRPr="009064BC" w:rsidRDefault="00DF5914" w:rsidP="005074AB">
      <w:pPr>
        <w:ind w:left="13"/>
        <w:jc w:val="both"/>
        <w:rPr>
          <w:rFonts w:cstheme="minorHAnsi"/>
        </w:rPr>
      </w:pPr>
      <w:r>
        <w:t>Négy. A műszaki építési szabályzat II. részében szereplő DB-HS „Víziközmű-szolgáltatás” alapdokumentum a következőképpen módosul:</w:t>
      </w:r>
    </w:p>
    <w:p w14:paraId="6B818CBA" w14:textId="77777777" w:rsidR="002E7342" w:rsidRDefault="005074AB" w:rsidP="002E7342">
      <w:pPr>
        <w:pStyle w:val="ListParagraph"/>
        <w:numPr>
          <w:ilvl w:val="0"/>
          <w:numId w:val="22"/>
        </w:numPr>
        <w:jc w:val="both"/>
        <w:rPr>
          <w:rFonts w:cstheme="minorHAnsi"/>
        </w:rPr>
      </w:pPr>
      <w:r>
        <w:t>A HS 4. „Vízellátás” szakasz 3.2.2.1. szakaszának 2. pontjában a „napenergia minimális hozzájárulása a háztartási melegvíz-előállításhoz” mondat helyébe „a megújuló energia minimális hozzájárulása a háztartási melegvíz-igény fedezéséhez” mondat lép.</w:t>
      </w:r>
    </w:p>
    <w:p w14:paraId="49ACE665" w14:textId="4B95E48B" w:rsidR="005074AB" w:rsidRPr="003934E5" w:rsidRDefault="002F25C7" w:rsidP="009064BC">
      <w:pPr>
        <w:jc w:val="both"/>
        <w:rPr>
          <w:rFonts w:eastAsia="Arial" w:cstheme="minorHAnsi"/>
          <w:kern w:val="2"/>
        </w:rPr>
      </w:pPr>
      <w:r>
        <w:t>Öt. A műszaki építési szabályzat II. részében szereplő DB-HE „Energiamegtakarítások” alapdokumentumban a következő hibajavítások történtek:</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A HE 0. szakasz 1. szakasza (Hatály) 1. bekezdésében: a „...ha a teljes megnövelt hasznos alapterület meghaladja az 50 m</w:t>
      </w:r>
      <w:r>
        <w:rPr>
          <w:vertAlign w:val="superscript"/>
        </w:rPr>
        <w:t>2</w:t>
      </w:r>
      <w:r>
        <w:t>-t;” szövegrész helyébe a következő szövegrész lép: ”...ha a megnövelt hasznos alapterület meghaladja az 50 m</w:t>
      </w:r>
      <w:r>
        <w:rPr>
          <w:vertAlign w:val="superscript"/>
        </w:rPr>
        <w:t>2</w:t>
      </w:r>
      <w:r>
        <w:t>-t;”.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A HE 0. szakasz 3. szakaszában (A követelmény számszerűsítése) a 3.1. szakasz (Nem megújuló primerenergia-fogyasztás) 2. bekezdésében: „... C</w:t>
      </w:r>
      <w:r>
        <w:rPr>
          <w:vertAlign w:val="subscript"/>
        </w:rPr>
        <w:t>ep’nren,lim</w:t>
      </w:r>
      <w:r>
        <w:t>...”, helyesen: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A HE 0. szakasz 3. szakaszában (A követelmény számszerűsítése) a 3.2. szakasz (Teljes primerenergia-fogyasztás) 1. bekezdésében: a „... C</w:t>
      </w:r>
      <w:r>
        <w:rPr>
          <w:vertAlign w:val="subscript"/>
        </w:rPr>
        <w:t>ep’tot</w:t>
      </w:r>
      <w:r>
        <w:t>...”, helyesen: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A HE 0. szakasz 3. szakaszában (A követelmény számszerűsítése) a 3.2. szakasz (Teljes primerenergia-fogyasztás) 2. bekezdésében: „... C</w:t>
      </w:r>
      <w:r>
        <w:rPr>
          <w:vertAlign w:val="subscript"/>
        </w:rPr>
        <w:t>ep,tot</w:t>
      </w:r>
      <w:r>
        <w:t>...”, helyesen: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A HE 0. szakaszban a 3.1.a-HE0. és 3.2.a-HE0. táblázat a dőlt betűvel szedett „</w:t>
      </w:r>
      <w:r>
        <w:rPr>
          <w:i/>
        </w:rPr>
        <w:t>magánlakás-célú felhasználás</w:t>
      </w:r>
      <w:r>
        <w:t>” kifejezéssel egészül ki. A 3.1. szakasz (Nem megújuló primerenergia-fogyasztás) 2. szakaszában és a 3.2. szakasz (Teljes primerenergia-fogyasztás) 2. szakaszában a „</w:t>
      </w:r>
      <w:r>
        <w:rPr>
          <w:i/>
        </w:rPr>
        <w:t>magánlakás célú felhasználás</w:t>
      </w:r>
      <w:r>
        <w:t>” kifejezést dőlt betűvel szedve kell feltüntetni.</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A HE 0. szakasz 4.3. szakaszának (Belső kérések és működési feltételek) 2. szakaszában a „</w:t>
      </w:r>
      <w:r>
        <w:rPr>
          <w:i/>
        </w:rPr>
        <w:t>magánlakás-célú felhasználás</w:t>
      </w:r>
      <w:r>
        <w:t>” kifejezést dőlt betűvel szedve kell feltüntetni.</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A HE 0. szakasz 4.5. szakaszában (A magánlakás-célú felhasználásra vonatkozó referenciarendszerek) a „</w:t>
      </w:r>
      <w:r>
        <w:rPr>
          <w:i/>
        </w:rPr>
        <w:t>magánlakás-célú felhasználás</w:t>
      </w:r>
      <w:r>
        <w:t>” kifejezést mind a címben, mind az 1. bekezdésben dőlt betűvel kell feltüntetni.</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A HE 1. szakasz 3. szakaszának (A követelmény számszerűsítése) 3.11. szakaszában (A hőáramvezérlő réteg áteresztőképessége) a 3.1.1.b-HE1 és a 3.1.1.c-HE1 táblázatban a „tömörség” kifejezést dőlt betűvel kell szedni.</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A HE 1. szakasz 3. szakaszának (A követelmény számszerűsítése) 3.11. szakaszában (A hőáramvezérlő réteg áteresztőképessége) a „tömörség” kifejezést 3.1.1.b-HE1. és a 3.1.1.c-HE1. táblázatokban és a táblázatok lábjegyzeteiben dőlt betűvel kell szedni.</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lastRenderedPageBreak/>
        <w:t>A HE 1. szakasz 3. szakaszában (A követelmény számszerűsítése) a 3.1.1. szakaszban (A hőáramvezérlő réteg áteresztőképessége) a „</w:t>
      </w:r>
      <w:r>
        <w:rPr>
          <w:i/>
        </w:rPr>
        <w:t>magánlakás-célú felhasználás</w:t>
      </w:r>
      <w:r>
        <w:t>” kifejezést mind a 3. bekezdésben, mind a 3.1.1.b-HE1. táblázatban dőlt betűvel kell feltüntetni.</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A HE 1. szakasz 3. szakaszában (A követelmény számszerűsítése) a 3.1.1. szakaszban (A hőáramvezérlő réteg áteresztőképessége) a 3.1.1.c-HE1. táblázatban a „hőáramvezető réteg” kifejezést dőlt betűvel kell szedni.</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A HE 1. szakasz 3. szakaszában (A követelmény számszerűsítése) a 3.1.2. szakaszban (A hőáramvezető réteg benapozáscsökkentése) a „3.1.2-HE1. táblázat: a qsol;jul,lim [KWh/m</w:t>
      </w:r>
      <w:r>
        <w:rPr>
          <w:vertAlign w:val="superscript"/>
        </w:rPr>
        <w:t>2</w:t>
      </w:r>
      <w:r>
        <w:t>·mes] benapozáscsökkentési paraméter határértéke” szövegrész helyébe a következő szöveg lép (a „sun;jul,lim” alsó indexbe kerül): „3.1.2-HE1. táblázat: a q</w:t>
      </w:r>
      <w:r>
        <w:rPr>
          <w:vertAlign w:val="subscript"/>
        </w:rPr>
        <w:t>sol;jul,lim</w:t>
      </w:r>
      <w:r>
        <w:t xml:space="preserve"> [KWh/m</w:t>
      </w:r>
      <w:r>
        <w:rPr>
          <w:vertAlign w:val="superscript"/>
        </w:rPr>
        <w:t>2</w:t>
      </w:r>
      <w:r>
        <w:t>·mes] benapozáscsökkentési paraméter határértéke”.</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A HE 1. szakasz 3. szakaszában (A követelmény számszerűsítése) a 3.1.3. szakaszban (A hőáramvezető réteg légáteresztő képessége) a „hőáramvezető réteg” kifejezést dőlt betűvel szedve kell feltüntetni.</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A HE 1. szakasz 3. szakaszában (A követelmény számszerűsítése) a 3.1.3. szakaszban (A hőáramvezető réteg légáteresztő képessége), a 3.1.3.b-HE1. táblázatban a „tömörség” kifejezést, 3. bekezdésben a „magánlakás-célú felhasználás” kifejezést dőlt betűvel kell szedni.</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A HE 1. szakasz 4. szakaszában (A követelmény indokolása) a 4.1.b) pontban a „tömörség” kifejezést és a 4.1.g) pontban a „magánlakás-célú felhasználás” kifejezést dőlt betűvel szedve kell feltüntetni.</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A HE 4. szakasz 3. szakaszában (A követelmény számszerűsítése) a 3.1. szakasz (A megújuló energiaforrások minimális hozzájárulása a háztartási melegvízhez és/vagy a medencefűtéshez) 4. bekezdésében: a „...több mint 2,5 elektromos működtetés, és több mint 1,15 hőenergiával működtetés esetén...” szövegrész helyébe a következő szöveg lép: „...legalább 2,5 elektromos működtetés, és legalább 1,15 hőenergiával működtetés esetén...”.</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A HE 4. szakasz 3. szakaszában (A követelmény számszerűsítése) a 3.1. szakasz (A megújuló energiaforrások minimális hozzájárulása a háztartási melegvízhez és/vagy a medencefűtéshez) 5. bekezdésében: a „... lakóépületek...” kifejezés helyesen: „... magánlakás-célú épületek...”.</w:t>
      </w:r>
    </w:p>
    <w:p w14:paraId="198A06EA" w14:textId="307304FC" w:rsidR="005074AB" w:rsidRPr="009064BC" w:rsidRDefault="003E1EAB" w:rsidP="00547307">
      <w:pPr>
        <w:numPr>
          <w:ilvl w:val="0"/>
          <w:numId w:val="15"/>
        </w:numPr>
        <w:ind w:left="714" w:hanging="357"/>
        <w:jc w:val="both"/>
        <w:rPr>
          <w:rFonts w:cstheme="minorHAnsi"/>
        </w:rPr>
      </w:pPr>
      <w:r>
        <w:t xml:space="preserve">A HE 4. szakaszban az „5.1. „Végrehajtás” szakasz elé az alábbi címet kell beilleszteni: „5. Építés, karbantartás és fenntartás”.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A 140553. oldalon, az A. mellékletben ( Terminológia) „a (az épület hőáramvezérlő rétegén keresztüli) hőátadás általános együtthatója (K)” meghatározásában: „... K = X Hx/Aint...” szövegrész helyébe a következő lép, a két „x” és az „int” alsó indexbe kerül: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Az A. mellékletben (Terminológia) a „Tömörség” fogalommeghatározásában a második bekezdésben a „tömörség” szót dőlt betűvel szedve kell feltüntetni.</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lastRenderedPageBreak/>
        <w:t>Az A. mellékletben (Terminológia) az „Üzemeltetési feltételek” fogalommeghatározásában a „magánlakás-célú felhasználás” kifejezést dőlt betűvel kell szedni.</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Az A. mellékletben (Terminológia) a „Nem megújuló primerenergia-fogyasztás” fogalommeghatározásában: „... Nem megújuló primerenergia-fogyasztás...” helyébe a következő lép, és az „ep,nren” alsó indexbe kerül: „... Nem megújuló primerenergia-fogyasztás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Az A. mellékletben (Terminológia) a „Teljes primerenergia-fogyasztás” fogalommeghatározásában: „... Teljes primerenergia-fogyasztás...” helyébe a következő lép, és az „ep,tot” alsó indexbe kerül: „... Teljes primerenergia-fogyasztás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Az A. mellékletben (Terminológia) a „benapozáscsökkentés (q</w:t>
      </w:r>
      <w:r>
        <w:rPr>
          <w:vertAlign w:val="subscript"/>
        </w:rPr>
        <w:t>sol;ju</w:t>
      </w:r>
      <w:r>
        <w:t>)” fogalommeghatározásában: „... a helyiségek hasznos felülete...” helyesen: „... a lakóterek hasznos felülete...”.</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Az A. mellékletben (Terminológia) a „Kondicionált lakótér” fogalommeghatározásában a „magánlakás-célú felhasználás” kifejezést dőlt betűvel kell szedni.</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Az A. mellékletben (Terminológia) a „Használat időtartama” fogalommeghatározásban a második bekezdésben a „magánlakás-célú felhasználás” kifejezést dőlt betűvel szedve kell feltüntetni.</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Az A. mellékletben a (Terminológia) a „Létesítmény energiahatékonysági értéke (VEEI)” fogalommeghatározásában a „magánlakás-célú felhasználás” kifejezést dőlt betűvel kell szedni.</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A C. mellékletben (A hőáramvezérlő réteg meghatározására vonatkozó megfontolások) a „hőáramvezérlő réteg” kifejezést a címben dőlt betűvel szedve kell feltüntetni.</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A D. mellékletben (Üzemeltetési feltételek és használati profilok) a „Működési feltételek” és a „Használati profilok” kifejezéseket dőlt betűvel kell feltüntetni a címben, a 2. bekezdésben, valamint az a., b. és c. táblázatában.</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Az E. mellékletben (Az áteresztőképesség indikatív értékei) az 1. szakaszban a „magánlakás-célú felhasználás” kifejezést dőlt betűvel szedve kell feltüntetni.</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Az F. mellékletben (Az ACS-ra vonatkozó referenciaigény) a „magánlakás-célú felhasználás” kifejezést dőlt betűvel szedve kell feltüntetni mind az 1. szakaszban, mind az F. melléklet a. táblázatában.</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A H. mellékletben (Az épület légáteresztő képességének meghatározása) a 2. szakaszban (Meghatározás referenciaértékekkel): „... 2. A levegőcsere 50 Pa, n50 értékén mért aránya a következő egyenlettel számítható ki:” szövegész a következőképpen módosul: „... 1. A levegőcsere 50 Pa, n50 értékén mért aránya a következő egyenlettel számítható ki referenciaértékek alapján:”. A következő szövegész: „n</w:t>
      </w:r>
      <w:r>
        <w:rPr>
          <w:vertAlign w:val="subscript"/>
        </w:rPr>
        <w:t>50</w:t>
      </w:r>
      <w:r>
        <w:t xml:space="preserve"> = 0,629 · (C</w:t>
      </w:r>
      <w:r>
        <w:rPr>
          <w:vertAlign w:val="subscript"/>
        </w:rPr>
        <w:t>o</w:t>
      </w:r>
      <w:r>
        <w:t>· A</w:t>
      </w:r>
      <w:r>
        <w:rPr>
          <w:vertAlign w:val="subscript"/>
        </w:rPr>
        <w:t>o</w:t>
      </w:r>
      <w:r>
        <w:t xml:space="preserve"> + C</w:t>
      </w:r>
      <w:r>
        <w:rPr>
          <w:vertAlign w:val="subscript"/>
        </w:rPr>
        <w:t>h</w:t>
      </w:r>
      <w:r>
        <w:t>· A</w:t>
      </w:r>
      <w:r>
        <w:rPr>
          <w:vertAlign w:val="subscript"/>
        </w:rPr>
        <w:t>h</w:t>
      </w:r>
      <w:r>
        <w:t>) / V” a következőképpen módosul: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Az alábbi szövegrész: „V</w:t>
      </w:r>
      <w:r>
        <w:tab/>
        <w:t>a hőáramvezérlő réteg belső térfogata, [m</w:t>
      </w:r>
      <w:r>
        <w:rPr>
          <w:vertAlign w:val="superscript"/>
        </w:rPr>
        <w:t>3</w:t>
      </w:r>
      <w:r>
        <w:t>]-ben” a következőképpen módosul: „V</w:t>
      </w:r>
      <w:r>
        <w:rPr>
          <w:vertAlign w:val="subscript"/>
        </w:rPr>
        <w:t>int</w:t>
      </w:r>
      <w:r>
        <w:tab/>
        <w:t>a</w:t>
      </w:r>
      <w:r>
        <w:rPr>
          <w:i/>
          <w:iCs/>
        </w:rPr>
        <w:t xml:space="preserve"> hőáramvezérlő réteg</w:t>
      </w:r>
      <w:r>
        <w:t xml:space="preserve"> belső levegőtérfogata, [m</w:t>
      </w:r>
      <w:r>
        <w:rPr>
          <w:vertAlign w:val="superscript"/>
        </w:rPr>
        <w:t>3</w:t>
      </w:r>
      <w:r>
        <w:t>]-ben”, és az alábbi szövegrész: „A</w:t>
      </w:r>
      <w:r>
        <w:rPr>
          <w:vertAlign w:val="subscript"/>
        </w:rPr>
        <w:t>o</w:t>
      </w:r>
      <w:r>
        <w:tab/>
        <w:t>a hőáramvezérlő réteg átlátszatlan részének felülete, [m</w:t>
      </w:r>
      <w:r>
        <w:rPr>
          <w:vertAlign w:val="superscript"/>
        </w:rPr>
        <w:t>2</w:t>
      </w:r>
      <w:r>
        <w:t xml:space="preserve">]-ben” a </w:t>
      </w:r>
      <w:r>
        <w:lastRenderedPageBreak/>
        <w:t>következőképpen módosul: „A</w:t>
      </w:r>
      <w:r>
        <w:rPr>
          <w:vertAlign w:val="subscript"/>
        </w:rPr>
        <w:t>o</w:t>
      </w:r>
      <w:r>
        <w:tab/>
        <w:t xml:space="preserve">a </w:t>
      </w:r>
      <w:r>
        <w:rPr>
          <w:i/>
          <w:iCs/>
        </w:rPr>
        <w:t>hőáramvezérlő réteg</w:t>
      </w:r>
      <w:r>
        <w:t xml:space="preserve"> átlátszatlan, a külső levegővel érintkező részének felülete, [m</w:t>
      </w:r>
      <w:r>
        <w:rPr>
          <w:vertAlign w:val="superscript"/>
        </w:rPr>
        <w:t>2</w:t>
      </w:r>
      <w:r>
        <w:t>]-ben”.</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A H. mellékletben (Az épület légáteresztő képességének meghatározása) a „hőáramvezérlő réteg” kifejezést dőlt betűvel szedve kell feltüntetni a V</w:t>
      </w:r>
      <w:r>
        <w:rPr>
          <w:vertAlign w:val="subscript"/>
        </w:rPr>
        <w:t>int</w:t>
      </w:r>
      <w:r>
        <w:t>, C</w:t>
      </w:r>
      <w:r>
        <w:rPr>
          <w:vertAlign w:val="subscript"/>
        </w:rPr>
        <w:t>o</w:t>
      </w:r>
      <w:r>
        <w:t>, C</w:t>
      </w:r>
      <w:r>
        <w:rPr>
          <w:vertAlign w:val="subscript"/>
        </w:rPr>
        <w:t>h</w:t>
      </w:r>
      <w:r>
        <w:t>és A</w:t>
      </w:r>
      <w:r>
        <w:rPr>
          <w:vertAlign w:val="subscript"/>
        </w:rPr>
        <w:t>h</w:t>
      </w:r>
      <w:r>
        <w:t xml:space="preserve"> kifejezések meghatározásában és a H. melléklet a. táblázatában.</w:t>
      </w:r>
    </w:p>
    <w:p w14:paraId="7A548AE7" w14:textId="77777777" w:rsidR="0024794E" w:rsidRDefault="002F25C7" w:rsidP="0024794E">
      <w:pPr>
        <w:spacing w:before="200" w:after="100" w:line="240" w:lineRule="auto"/>
        <w:jc w:val="both"/>
        <w:rPr>
          <w:rFonts w:eastAsia="Arial" w:cstheme="minorHAnsi"/>
          <w:kern w:val="2"/>
          <w:szCs w:val="24"/>
        </w:rPr>
      </w:pPr>
      <w:r>
        <w:t xml:space="preserve">Hat. Az észlelt hibákat a következők szerint javították: A műszaki építési szabályzat II. részében szereplő DB-HS „Víziközmű-szolgáltatás” alapdokumentumban: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A HS 4. „Vízellátás” szakasz 6.2. szakaszában az „e) klórozott polivinil-klorid (PVC-C) csövek az UNE-EN ISO 15874-1:2013, UNE-EN ISO 15874-2:2013 és UNE-EN ISO 15874-3:2013 szabvány szerint;” szövegrész helyébe az „e) klórozott polivinil-klorid (PVC-C) csövek az UNE-EN ISO 15877-1:2009 (+UNE-EN ISO 15877-1:2009/A1): 2011), UNE-EN ISO 15877-2:2009 (+UNE-EN ISO 15877-2:2009/A1: 2011) és UNE-EN ISO 15877-3:2009 (+UNE-EN ISO 15877-3:2009/A1: 2011) szabvány szerint;” szövegrész lép.</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A HS 4. „Vízellátás” szakasz 6.2. szakaszában a „h) polibutilén csövek (PB) az UNE-EN ISO 15876-1:2017, UNE-EN ISO 15876–2:2017 és UNE-EN ISO 15876–3:2017 szabvány szerint;” szövegrész helyébe a következő szöveg lép: „h) polibutilén csövek (PB) az UNE-EN ISO 15876-1:2017, UNE-EN ISO 15876-2:2017 és UNE-EN ISO 15876-3:2017 szabvány szerint;”.</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A C. függelékben (Referenciaszabványok) az alábbi szövegrész: „Műanyag csővezetékrendszerek meleg és hideg vizes berendezésekhez. Polibutilén (PB). 1. rész: Általános rendelkezések” szövegrész helyébe a következő szöveg lép: „Műanyag csővezetékrendszerek meleg és hideg vizes berendezésekhez. Polibutén (PB). 1. rész: Általános rendelkezések”.</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A C. függelékben (Referenciaszabványok) az alábbi szövegrész: „Műanyag csővezetékrendszerek meleg és hideg vizes berendezésekhez. Polibutilén (PB). 2. rész: Csövek” a következőképpen módosul: „Műanyag csővezetékrendszerek meleg és hideg vizes berendezésekhez. Polibutén (PB). 2. rész: Csövek”.</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A C. függelékben (Referenciaszabványok) az alábbi szövegrész: „Műanyag csővezetékrendszerek meleg és hideg vizes berendezésekhez. Polibutilén (PB). 3. rész: Csőidomok” a következőképpen módosul: „Műanyag csővezetékrendszerek meleg és hideg vizes berendezésekhez. Polibutén (PB). 3. rész: Csőidomok”.</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A C. függelékben (Referenciaszabványok) az alábbi szabványra való hivatkozás után: „UNE-EN ISO 15876-3: 2017</w:t>
      </w:r>
      <w:r>
        <w:tab/>
        <w:t>Műanyag csővezetékrendszerek meleg és hideg vizes berendezésekhez. Polibutén (PB). 3. rész: Csőidomok” az alábbiakat kell beilleszteni:</w:t>
      </w:r>
    </w:p>
    <w:p w14:paraId="5A496CEC" w14:textId="6500843E" w:rsidR="00AD074F" w:rsidRDefault="00AD074F" w:rsidP="0024794E">
      <w:pPr>
        <w:pStyle w:val="ListParagraph"/>
        <w:spacing w:after="120"/>
        <w:ind w:left="709"/>
        <w:jc w:val="both"/>
      </w:pPr>
      <w:r>
        <w:t xml:space="preserve">„UNE-EN ISO 15877-1:2009 Műanyag csővezetékrendszerek meleg és hideg vizes berendezésekhez. Klórozott poli(vinil-klorid) (PVC-C). 1. rész: Általános előírások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Műanyag csővezetékrendszerek meleg és hideg vizes berendezésekhez. Klórozott poli(vinil-klorid) (PVC-C). 2. rész: Csövek.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Műanyag csővezetékrendszerek meleg és hideg vizes berendezésekhez. Klórozott poli(vinil-klorid) (PVC-C). 3. rész: Csőidomok. (+UNE-EN ISO 15877-3:2009/A1:2011)”</w:t>
      </w:r>
    </w:p>
    <w:p w14:paraId="30F2E766" w14:textId="038A7758" w:rsidR="005074AB" w:rsidRPr="00431D05" w:rsidRDefault="005074AB" w:rsidP="005074AB">
      <w:pPr>
        <w:jc w:val="both"/>
        <w:rPr>
          <w:rFonts w:cstheme="minorHAnsi"/>
          <w:bCs/>
          <w:i/>
          <w:iCs/>
        </w:rPr>
      </w:pPr>
      <w:r>
        <w:t xml:space="preserve">Első átmeneti rendelkezés. </w:t>
      </w:r>
      <w:r>
        <w:rPr>
          <w:i/>
        </w:rPr>
        <w:t>E királyi rendelet rendelkezései alól mentesített épületek.</w:t>
      </w:r>
    </w:p>
    <w:p w14:paraId="71A41130" w14:textId="7184244B" w:rsidR="005074AB" w:rsidRPr="009064BC" w:rsidRDefault="005074AB" w:rsidP="005074AB">
      <w:pPr>
        <w:jc w:val="both"/>
        <w:rPr>
          <w:rFonts w:cstheme="minorHAnsi"/>
        </w:rPr>
      </w:pPr>
      <w:r>
        <w:lastRenderedPageBreak/>
        <w:t xml:space="preserve">A műszaki építési szabályzatnak (CTE) az e királyi rendelettel elfogadott módosításai nem vonatkoznak az olyan új épületekre vagy meglévő épületeken végzett építési munkálatokra, amelyekre e királyi rendelet hatálybalépésekor már kérelmeztek önkormányzati építési engedélyt. </w:t>
      </w:r>
    </w:p>
    <w:p w14:paraId="6E353956" w14:textId="262DE845" w:rsidR="007B11B1" w:rsidRDefault="005074AB" w:rsidP="005074AB">
      <w:pPr>
        <w:jc w:val="both"/>
        <w:rPr>
          <w:rFonts w:cstheme="minorHAnsi"/>
        </w:rPr>
      </w:pPr>
      <w:r>
        <w:t>Az ilyen építési munkálatokat az említett engedély maximális érvényességi időtartamán belül kell megkezdeni, az erre vonatkozó szabályokkal összhangban, vagy ennek hiányában az engedély megadásától számított hat hónapon belül. Ellenkező esetben, a projekteket hozzá kell igazítani a CTE e királyi rendelettel jóváhagyott módosításaihoz.</w:t>
      </w:r>
    </w:p>
    <w:p w14:paraId="78DABA03" w14:textId="77777777" w:rsidR="005074AB" w:rsidRPr="00D47CC2" w:rsidRDefault="005074AB" w:rsidP="005074AB">
      <w:pPr>
        <w:jc w:val="both"/>
        <w:rPr>
          <w:rFonts w:cstheme="minorHAnsi"/>
          <w:bCs/>
          <w:i/>
          <w:iCs/>
        </w:rPr>
      </w:pPr>
      <w:r>
        <w:t xml:space="preserve">Második átmeneti rendelkezés. </w:t>
      </w:r>
      <w:r>
        <w:rPr>
          <w:i/>
        </w:rPr>
        <w:t>Olyan épületek, amelyek esetében e királyi rendelet rendelkezéseinek alkalmazása önkéntes.</w:t>
      </w:r>
    </w:p>
    <w:p w14:paraId="047CBC16" w14:textId="1E288EF7" w:rsidR="00CA5D2D" w:rsidRPr="00B24946" w:rsidRDefault="005074AB" w:rsidP="005074AB">
      <w:pPr>
        <w:jc w:val="both"/>
        <w:rPr>
          <w:rFonts w:cstheme="minorHAnsi"/>
        </w:rPr>
      </w:pPr>
      <w:r>
        <w:t xml:space="preserve">A műszaki építési szabályzatnak az e királyi rendelettel jóváhagyott módosításai önkéntesen alkalmazandók az olyan új építési munkálatokra és a meglévő épületeken végzett olyan munkálatokra, amelyek esetében az e királyi rendelet hatálybalépésétől számított hat hónapon belül önkormányzati építési engedélyt kérnek. </w:t>
      </w:r>
    </w:p>
    <w:p w14:paraId="0F321A96" w14:textId="5FE37BEE" w:rsidR="00CA5D2D" w:rsidRDefault="00CA5D2D" w:rsidP="00CA5D2D">
      <w:pPr>
        <w:jc w:val="both"/>
        <w:rPr>
          <w:rFonts w:cstheme="minorHAnsi"/>
        </w:rPr>
      </w:pPr>
      <w:r>
        <w:t>Az ilyen építési munkálatokat az említett engedély maximális érvényességi időtartamán belül kell megkezdeni, az erre vonatkozó szabályokkal összhangban, vagy ennek hiányában az engedély megadásától számított hat hónapon belül. Ellenkező esetben, a projekteket hozzá kell igazítani a CTE e királyi rendelettel jóváhagyott módosításaihoz.</w:t>
      </w:r>
    </w:p>
    <w:p w14:paraId="1B48DE1E" w14:textId="77777777" w:rsidR="005074AB" w:rsidRPr="00D47CC2" w:rsidRDefault="005074AB" w:rsidP="005074AB">
      <w:pPr>
        <w:jc w:val="both"/>
        <w:rPr>
          <w:rFonts w:cstheme="minorHAnsi"/>
          <w:bCs/>
          <w:i/>
          <w:iCs/>
        </w:rPr>
      </w:pPr>
      <w:r>
        <w:t xml:space="preserve">Harmadik átmeneti rendelkezés. </w:t>
      </w:r>
      <w:r>
        <w:rPr>
          <w:i/>
        </w:rPr>
        <w:t>Olyan épületek, amelyek esetében e királyi rendelet rendelkezéseinek alkalmazása kötelező.</w:t>
      </w:r>
    </w:p>
    <w:p w14:paraId="557DDCCB" w14:textId="624E2145" w:rsidR="005074AB" w:rsidRDefault="005074AB" w:rsidP="005074AB">
      <w:pPr>
        <w:jc w:val="both"/>
        <w:rPr>
          <w:rFonts w:cstheme="minorHAnsi"/>
        </w:rPr>
      </w:pPr>
      <w:r>
        <w:t>Az építési műszaki szabályzat (CTE) az e királyi rendelettel elfogadott módosításainak alkalmazása kötelező az olyan új épületek vagy a meglévő épületeken végzett olyan építési munkálatok esetében, amelyekre e rendelkezés hatálybalépését követő több mint kilenc hónappal kérnek önkormányzati építési engedélyt.</w:t>
      </w:r>
    </w:p>
    <w:p w14:paraId="588C44EA" w14:textId="52803F33" w:rsidR="005074AB" w:rsidRPr="00D47CC2" w:rsidRDefault="005074AB" w:rsidP="005074AB">
      <w:pPr>
        <w:jc w:val="both"/>
        <w:rPr>
          <w:rFonts w:cstheme="minorHAnsi"/>
          <w:bCs/>
          <w:i/>
          <w:iCs/>
        </w:rPr>
      </w:pPr>
      <w:r>
        <w:t xml:space="preserve">Első záró rendelkezés. </w:t>
      </w:r>
      <w:r>
        <w:rPr>
          <w:i/>
        </w:rPr>
        <w:t>A kisfeszültségű elektrotechnikai berendezésekről szóló, a 2002. augusztus 2-i 842/2002. sz. királyi rendelettel jóváhagyott rendelet BT 52 „Különleges célú létesítmények. Infrastruktúra elektromos járművek feltöltésére” című új kiegészítő műszaki utasításának (ITC) jóváhagyásáról szóló, 2014. december 12-i 1053/2014. sz. királyi rendelet és egyéb kiegészítő műszaki utasítások módosítása.</w:t>
      </w:r>
    </w:p>
    <w:p w14:paraId="183CB7CD" w14:textId="78A1B469" w:rsidR="005074AB" w:rsidRPr="009064BC" w:rsidRDefault="005074AB" w:rsidP="005074AB">
      <w:pPr>
        <w:jc w:val="both"/>
        <w:rPr>
          <w:rFonts w:cstheme="minorHAnsi"/>
        </w:rPr>
      </w:pPr>
      <w:r>
        <w:t>Egy. Az új BT 52 kiegészítő műszaki utasítás (ITC) jóváhagyásáról szóló, 2014. december 12-i 1053/2014. sz. királyi rendelet első kiegészítő rendelkezése a következőképpen módosul:</w:t>
      </w:r>
    </w:p>
    <w:p w14:paraId="6C63F170" w14:textId="77777777" w:rsidR="005074AB" w:rsidRPr="009064BC" w:rsidRDefault="005074AB" w:rsidP="005074AB">
      <w:pPr>
        <w:ind w:left="567"/>
        <w:jc w:val="both"/>
        <w:rPr>
          <w:rFonts w:cstheme="minorHAnsi"/>
        </w:rPr>
      </w:pPr>
      <w:r>
        <w:t>„Első kiegészítő rendelkezés. Az elektromos járművek töltésére szolgáló minimális létesítmények az épületekhez nem tartozó, újépítésű vagy jelentős felújítás alá vont parkolókban, valamint a közutakon.</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Az újonnan épített vagy jelentős felújítás alá vont, nem épületekben vagy azok mellett közvetlenül elhelyezkedő, és ezért a műszaki építési szabályzat „Energiamegtakarítások” (DB HE) alapdokumentumának hatályán kívül eső parkolókban 40 parkolóhelyenként legalább egy töltőállomást kell telepíteni. A parkoló akkor tekinthető új építésűnek, ha az építési projektet e királyi rendelet </w:t>
      </w:r>
      <w:r>
        <w:lastRenderedPageBreak/>
        <w:t xml:space="preserve">hatálybalépését követően feldolgozás céljából az illetékes közigazgatási szerv elé terjesztik. </w:t>
      </w:r>
    </w:p>
    <w:p w14:paraId="0C99327A" w14:textId="0AD5DDFE" w:rsidR="005074AB" w:rsidRPr="009064BC" w:rsidRDefault="005074AB" w:rsidP="002F659F">
      <w:pPr>
        <w:numPr>
          <w:ilvl w:val="0"/>
          <w:numId w:val="11"/>
        </w:numPr>
        <w:ind w:left="1418" w:hanging="284"/>
        <w:contextualSpacing/>
        <w:jc w:val="both"/>
        <w:rPr>
          <w:rFonts w:cstheme="minorHAnsi"/>
        </w:rPr>
      </w:pPr>
      <w:r>
        <w:t>Biztosítani kell az önkormányzatok felettes szervei vagy az önkormányzatok által kidolgozott fenntartható mobilitási tervekben előírt, a közutakon az elektromos járművek számára biztosított sávokban található töltőállomások ellátásához szükséges berendezéseket.”</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Kettő. A BT 52 kiegészítő műszaki utasítás (ITC) BT-52 3.2. szakasza a következőképpen módosul:</w:t>
      </w:r>
    </w:p>
    <w:p w14:paraId="6A13CA56" w14:textId="2BC47FB2" w:rsidR="005074AB" w:rsidRPr="009064BC" w:rsidRDefault="005074AB" w:rsidP="005074AB">
      <w:pPr>
        <w:ind w:left="567"/>
        <w:jc w:val="both"/>
        <w:rPr>
          <w:rFonts w:cstheme="minorHAnsi"/>
        </w:rPr>
      </w:pPr>
      <w:r>
        <w:t xml:space="preserve">„3.2. Telepítés parkolókban, vagy közvetlenül épületek vagy épületkomplexumok mellett elhelyezkedő közös parkolóhelyeken. </w:t>
      </w:r>
    </w:p>
    <w:p w14:paraId="14463364" w14:textId="6F4941EA" w:rsidR="005074AB" w:rsidRPr="003934E5" w:rsidRDefault="005074AB" w:rsidP="005074AB">
      <w:pPr>
        <w:ind w:left="567"/>
        <w:jc w:val="both"/>
        <w:rPr>
          <w:rFonts w:cstheme="minorHAnsi"/>
        </w:rPr>
      </w:pPr>
      <w:r>
        <w:t xml:space="preserve">Az </w:t>
      </w:r>
      <w:r>
        <w:rPr>
          <w:i/>
        </w:rPr>
        <w:t>elektromos járművek</w:t>
      </w:r>
      <w:r>
        <w:t xml:space="preserve"> töltésére szolgáló, parkolókban, vagy épületeken vagy lakóparkokon belül vagy közvetlenül azok mellett elhelyezkedő parkolóhelyeken található elektromos berendezéseknek követniük kell a fent leírt rendszerek bármelyikét.</w:t>
      </w:r>
      <w:r>
        <w:rPr>
          <w:color w:val="000000" w:themeColor="text1"/>
        </w:rPr>
        <w:t xml:space="preserve"> </w:t>
      </w:r>
      <w:r>
        <w:t>Ugyanabban az épületben különböző diagramok használhatók, feltéve, hogy az ebben a BT-52 kiegészítő műszaki utasításban (ITC) meghatározott valamennyi követelmény teljesül.</w:t>
      </w:r>
    </w:p>
    <w:p w14:paraId="642E3740" w14:textId="7634F88A" w:rsidR="005074AB" w:rsidRPr="009064BC" w:rsidRDefault="005074AB" w:rsidP="005074AB">
      <w:pPr>
        <w:ind w:left="567"/>
        <w:jc w:val="both"/>
        <w:rPr>
          <w:rFonts w:cstheme="minorHAnsi"/>
        </w:rPr>
      </w:pPr>
      <w:r>
        <w:t>A 4a. rendszer esetében a töltőáramkörnek a BT-15 kiegészítő műszaki utasításban (ITC) leírt telepítési feltételeket kell követnie, olyan kábeleket és vezetékendszereket használva, amelyek ugyanolyan típusúak és jellemzőkkel bírnak, mint egy egyedi megkerülő vezeték esetében, és a kábelszakaszt ezen ITC 5. szakaszának általános követelményeivel összhangban kell kiszámítani. Az alkalmazandó vezetékrendszer átmérőjének vagy keresztirányú méreteinek meghatározása érdekében nem szükséges a kábelszakasz bővítése.</w:t>
      </w:r>
    </w:p>
    <w:p w14:paraId="5C0A8DBB" w14:textId="77777777" w:rsidR="005074AB" w:rsidRPr="009064BC" w:rsidRDefault="005074AB" w:rsidP="005074AB">
      <w:pPr>
        <w:ind w:left="567"/>
        <w:jc w:val="both"/>
        <w:rPr>
          <w:rFonts w:cstheme="minorHAnsi"/>
        </w:rPr>
      </w:pPr>
      <w:r>
        <w:t>A 4b. rendszert akkor kell alkalmazni, ha a töltőállomások ellátását a garázsok általános szolgáltatásait kiszolgáló elektromos berendezés szerves részeként vagy kiterjesztéseként tervezték.</w:t>
      </w:r>
    </w:p>
    <w:p w14:paraId="1BEC25F6" w14:textId="7E6AD67A" w:rsidR="005074AB" w:rsidRPr="009064BC" w:rsidRDefault="00D676D8" w:rsidP="005074AB">
      <w:pPr>
        <w:ind w:left="567"/>
        <w:jc w:val="both"/>
        <w:rPr>
          <w:rFonts w:cstheme="minorHAnsi"/>
        </w:rPr>
      </w:pPr>
      <w:r>
        <w:t>Mind a meglévő, mind az új berendezésekben, valamint a kiválasztott elektromos rendszer használatának megkönnyítése érdekében az erre a célra kijelölt helyiségekben vagy a közös területeken általános védőeszközöket és az elektromos járművek töltésére szolgáló eszközöket tartalmazó szekrények helyezhetők el.</w:t>
      </w:r>
    </w:p>
    <w:p w14:paraId="3AA0FB18" w14:textId="5CA8F82A" w:rsidR="005074AB" w:rsidRPr="009064BC" w:rsidRDefault="005074AB" w:rsidP="00904550">
      <w:pPr>
        <w:ind w:left="567"/>
        <w:jc w:val="both"/>
        <w:rPr>
          <w:rFonts w:cstheme="minorHAnsi"/>
        </w:rPr>
      </w:pPr>
      <w:r>
        <w:t xml:space="preserve">Az épületekben vagy épületkomplexumokban vagy közvetlenül azok mellett elhelyezkedő parkolókban az elektromos jármű töltésére szolgáló elektromos berendezések előtelepítésének elő kell segítenie bármely lehetséges telepítési rendszer későbbi alkalmazását. Ez a következő elemeket foglalja magában: </w:t>
      </w:r>
    </w:p>
    <w:p w14:paraId="4CCD8B27" w14:textId="732EDA20" w:rsidR="005074AB" w:rsidRPr="009064BC" w:rsidRDefault="005074AB" w:rsidP="005074AB">
      <w:pPr>
        <w:numPr>
          <w:ilvl w:val="0"/>
          <w:numId w:val="12"/>
        </w:numPr>
        <w:ind w:left="1418" w:hanging="284"/>
        <w:jc w:val="both"/>
        <w:rPr>
          <w:rFonts w:cstheme="minorHAnsi"/>
        </w:rPr>
      </w:pPr>
      <w:r>
        <w:t xml:space="preserve">Kábelvezető rendszerek telepítése a fogyasztásmérők központosítása után és a parkolók főútvonalai mentén annak érdekében, hogy az egyes parkolóhelyeknél vagy parkolókban elhelyezhető töltőállomásokat később működtetni lehessen. Amennyiben az előtelepítést a parkolóhelyek 100%-ára tervezik, a kábelvezető rendszereknek mindegyik parkolóhelyet el kell érniük. Amennyiben az előtelepítést nem tervezik a pakolóhelyek 100%-ára, meg kell határozni a kábelvezető rendszerekre vonatkozó szabályozási rendelkezéseknek való </w:t>
      </w:r>
      <w:r>
        <w:lastRenderedPageBreak/>
        <w:t>megfelelés szempontjából figyelembe vett parkolóhelyeket, és ezeknek a rendszereknek el kell érniük e parkolóhelyek mindegyikét.</w:t>
      </w:r>
    </w:p>
    <w:p w14:paraId="0460434B" w14:textId="6073EA36" w:rsidR="005074AB" w:rsidRPr="009064BC" w:rsidRDefault="005074AB" w:rsidP="00281B93">
      <w:pPr>
        <w:numPr>
          <w:ilvl w:val="0"/>
          <w:numId w:val="12"/>
        </w:numPr>
        <w:jc w:val="both"/>
        <w:rPr>
          <w:rFonts w:cstheme="minorHAnsi"/>
        </w:rPr>
      </w:pPr>
      <w:r>
        <w:t>A fogyasztásmérők központosítását az elektromos jármű töltésére választott elektromos rendszer szerint kell méretezni, a BT-16 (ITC) szerint. Tartalék modulokat kell felszerelni a lakáshoz nem kapcsolódó parkolóhelyek legalább 20%-ára, és még akkor is, ha az összes parkolóhely lakásokhoz kapcsolódik, legalább egy tartalék modullal. Ezeknek a tartalék moduloknak képesnek kell lenniük a fő mérő és a mérőhöz kapcsolódó túláramvédő berendezések tárolására, akár biztosítékokkal vagy megszakítókkal együtt.</w:t>
      </w:r>
    </w:p>
    <w:p w14:paraId="7C024BD7" w14:textId="5A6D76AB" w:rsidR="005074AB" w:rsidRPr="009064BC" w:rsidRDefault="005074AB" w:rsidP="005074AB">
      <w:pPr>
        <w:ind w:left="1416"/>
        <w:jc w:val="both"/>
        <w:rPr>
          <w:rFonts w:cstheme="minorHAnsi"/>
        </w:rPr>
      </w:pPr>
      <w:r>
        <w:t>A töltőállomásra és annak automatikus védelmi áramkör-megszakítóira szerelt aljzatoknak vagy csatlakozóknak meg kell felelniük az 5.4. szakaszban megadott lehetőségek egyikének.”</w:t>
      </w:r>
    </w:p>
    <w:p w14:paraId="3C2EF0D1" w14:textId="7C25EDED" w:rsidR="00324D93" w:rsidRPr="009064BC" w:rsidRDefault="00441D3E" w:rsidP="00CA5D2D">
      <w:pPr>
        <w:jc w:val="both"/>
        <w:rPr>
          <w:rFonts w:cstheme="minorHAnsi"/>
        </w:rPr>
      </w:pPr>
      <w:r>
        <w:t>Három. A BT-52 kiegészítő műszaki utasítás (ITC) 5.4. szakaszának első albekezdése a következőképpen módosul:</w:t>
      </w:r>
    </w:p>
    <w:p w14:paraId="1D0AA4C9" w14:textId="6013C719" w:rsidR="00527DF1" w:rsidRDefault="00324D93" w:rsidP="00CA5D2D">
      <w:pPr>
        <w:jc w:val="both"/>
        <w:rPr>
          <w:color w:val="FF0000"/>
        </w:rPr>
      </w:pPr>
      <w:r>
        <w:t xml:space="preserve">„5.4. Csatlakozási pont. </w:t>
      </w:r>
      <w:bookmarkStart w:id="1" w:name="_Hlk81468651"/>
      <w:r>
        <w:t xml:space="preserve">A csatlakozási pontot az ellátandó parkolóhely mellett kell elhelyezni, és állandó jelleggel be kell szerelni egy burkolatba. </w:t>
      </w:r>
    </w:p>
    <w:bookmarkEnd w:id="1"/>
    <w:p w14:paraId="346E72DC" w14:textId="2F609E5D" w:rsidR="00441D3E" w:rsidRPr="00527DF1" w:rsidRDefault="00527DF1" w:rsidP="00CA5D2D">
      <w:pPr>
        <w:jc w:val="both"/>
        <w:rPr>
          <w:color w:val="FF0000"/>
        </w:rPr>
      </w:pPr>
      <w:r>
        <w:t xml:space="preserve">Az aljzatok és csatlakozók legkisebb telepítési magasságának a talajszint felett 60 cm-re kell lennie. </w:t>
      </w:r>
      <w:bookmarkStart w:id="2" w:name="_Hlk81468224"/>
      <w:r>
        <w:t>Ha a töltőállomást nyilvános használatra szánják, a maximális magasság 120 cm. Az akadálymentes parkolóhelyeken az aljzatokat és csatlakozókat a környezethez képest kontrasztos színnel kell megjelölni, 80 és 120 cm közötti magasságban kell elhelyezkedniük, a sarokilleszkedésektől való távolságnak pedig legalább 35 cm-nek kell lennie.”</w:t>
      </w:r>
      <w:bookmarkEnd w:id="2"/>
    </w:p>
    <w:p w14:paraId="33BA3231" w14:textId="6E4F1E78" w:rsidR="005074AB" w:rsidRPr="00D47CC2" w:rsidRDefault="005074AB" w:rsidP="00CA5D2D">
      <w:pPr>
        <w:jc w:val="both"/>
        <w:rPr>
          <w:rFonts w:cstheme="minorHAnsi"/>
          <w:bCs/>
          <w:i/>
          <w:iCs/>
        </w:rPr>
      </w:pPr>
      <w:r>
        <w:t xml:space="preserve">Második záró rendelkezés. </w:t>
      </w:r>
      <w:r>
        <w:rPr>
          <w:i/>
        </w:rPr>
        <w:t>Az uniós jog átültetése.</w:t>
      </w:r>
    </w:p>
    <w:p w14:paraId="09244551" w14:textId="77777777" w:rsidR="005074AB" w:rsidRPr="009064BC" w:rsidRDefault="005074AB" w:rsidP="00CA5D2D">
      <w:pPr>
        <w:jc w:val="both"/>
        <w:rPr>
          <w:rFonts w:cstheme="minorHAnsi"/>
        </w:rPr>
      </w:pPr>
      <w:r>
        <w:t>Ez a királyi rendelet az épületek energiahatékonyságáról szóló 2010/31/EU irányelv és az energiahatékonyságról szóló 2012/27/EU irányelv módosításáról szóló, 2018. május 30-i (EU) 2018/844 európai parlamenti és tanácsi irányelv 8. cikkének (2), (3) és (5) bekezdését ülteti át a spanyol jogba.</w:t>
      </w:r>
    </w:p>
    <w:p w14:paraId="106D513A" w14:textId="7AD1ED46" w:rsidR="005074AB" w:rsidRPr="00C760C9" w:rsidRDefault="005074AB" w:rsidP="005074AB">
      <w:pPr>
        <w:jc w:val="both"/>
        <w:rPr>
          <w:rFonts w:cstheme="minorHAnsi"/>
          <w:bCs/>
          <w:i/>
          <w:iCs/>
        </w:rPr>
      </w:pPr>
      <w:r>
        <w:t xml:space="preserve">Harmadik záró rendelkezés. </w:t>
      </w:r>
      <w:r>
        <w:rPr>
          <w:i/>
        </w:rPr>
        <w:t>Hatálybalépés.</w:t>
      </w:r>
    </w:p>
    <w:p w14:paraId="74B6AB2B" w14:textId="74C92419" w:rsidR="001035FC" w:rsidRDefault="005074AB" w:rsidP="000A2592">
      <w:pPr>
        <w:jc w:val="both"/>
        <w:rPr>
          <w:rFonts w:cstheme="minorHAnsi"/>
          <w:color w:val="FF0000"/>
        </w:rPr>
      </w:pPr>
      <w:r>
        <w:t>E királyi rendelet a Hivatalos Állami Közlönyben való közzétételét követő napon lép hatályba.</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Kelt: Madrid, [...]-án/én                          </w:t>
      </w:r>
    </w:p>
    <w:p w14:paraId="28C0A3AF" w14:textId="7E6F82AF" w:rsidR="007F6E00" w:rsidRPr="00243027" w:rsidRDefault="00D47CC2" w:rsidP="00726501">
      <w:pPr>
        <w:jc w:val="center"/>
        <w:rPr>
          <w:rFonts w:cstheme="minorHAnsi"/>
          <w:sz w:val="24"/>
          <w:szCs w:val="24"/>
        </w:rPr>
      </w:pPr>
      <w:r>
        <w:rPr>
          <w:sz w:val="24"/>
        </w:rPr>
        <w:t>KÖZLEKEDÉSI, MOBILITÁSI ÉS VÁROSFEJLESZTÉSI MENETRENDÉRT FELELŐS MINISZTER</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A KORMÁNY HARMADIK MINISZTERELNÖK-HELYETTESE, AZ ÖKOLÓGIAI ÁTMENETÉRT ÉS A DEMOGRÁFIAI KIHÍVÁSÉRT FELELŐS MINISZTER</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C961" w14:textId="77777777" w:rsidR="00612D4A" w:rsidRDefault="00612D4A" w:rsidP="003B5AE7">
      <w:pPr>
        <w:spacing w:after="0" w:line="240" w:lineRule="auto"/>
      </w:pPr>
      <w:r>
        <w:separator/>
      </w:r>
    </w:p>
  </w:endnote>
  <w:endnote w:type="continuationSeparator" w:id="0">
    <w:p w14:paraId="2751A020" w14:textId="77777777" w:rsidR="00612D4A" w:rsidRDefault="00612D4A"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Királyirendelet-tervezet a 2006. március 17-i 314/2006. sz. királyi rendelettel jóváhagyott műszaki építési szabályzat módosításáról.</w:t>
    </w:r>
  </w:p>
  <w:p w14:paraId="53C3F409" w14:textId="5B87674E" w:rsidR="00251439" w:rsidRPr="00C864A9" w:rsidRDefault="00251439" w:rsidP="00D214B0">
    <w:pPr>
      <w:pStyle w:val="Footer"/>
      <w:rPr>
        <w:i/>
        <w:sz w:val="15"/>
        <w:szCs w:val="15"/>
      </w:rPr>
    </w:pPr>
    <w:r>
      <w:rPr>
        <w:i/>
        <w:sz w:val="15"/>
      </w:rPr>
      <w:t>Az európai nyilvánosság tájékoztatására szolgáló változat. 2021. október</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C598" w14:textId="77777777" w:rsidR="00612D4A" w:rsidRDefault="00612D4A" w:rsidP="003B5AE7">
      <w:pPr>
        <w:spacing w:after="0" w:line="240" w:lineRule="auto"/>
      </w:pPr>
      <w:r>
        <w:separator/>
      </w:r>
    </w:p>
  </w:footnote>
  <w:footnote w:type="continuationSeparator" w:id="0">
    <w:p w14:paraId="546CBC9E" w14:textId="77777777" w:rsidR="00612D4A" w:rsidRDefault="00612D4A"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bCs/>
        <w:sz w:val="18"/>
      </w:rPr>
      <w:t>FEJLESZTÉSI</w:t>
    </w:r>
    <w:r>
      <w:rPr>
        <w:rFonts w:ascii="Arial" w:hAnsi="Arial"/>
        <w:b/>
        <w:sz w:val="18"/>
      </w:rPr>
      <w:t xml:space="preserve">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MINISZTÉRIUM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2D4A"/>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056C"/>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7445</Words>
  <Characters>42437</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2021-11-03T08:21:00Z</dcterms:modified>
</cp:coreProperties>
</file>