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177"/>
        <w:gridCol w:w="746"/>
        <w:gridCol w:w="1150"/>
      </w:tblGrid>
      <w:tr w:rsidR="005C2641" w:rsidRPr="00C32FE3" w14:paraId="06BA75C1" w14:textId="77777777" w:rsidTr="00100016">
        <w:trPr>
          <w:cantSplit/>
          <w:trHeight w:val="272"/>
        </w:trPr>
        <w:tc>
          <w:tcPr>
            <w:tcW w:w="3073" w:type="dxa"/>
            <w:gridSpan w:val="3"/>
          </w:tcPr>
          <w:p w14:paraId="0380FEC5" w14:textId="77777777" w:rsidR="005C2641" w:rsidRPr="00C32FE3" w:rsidRDefault="005C2641" w:rsidP="00C13834">
            <w:pPr>
              <w:pStyle w:val="SNREPUBLIQUE"/>
            </w:pPr>
            <w:r>
              <w:t>REPUBLIKA FRANCUSKA</w:t>
            </w:r>
          </w:p>
        </w:tc>
      </w:tr>
      <w:tr w:rsidR="005C2641" w:rsidRPr="00C32FE3" w14:paraId="60AB21EC" w14:textId="77777777" w:rsidTr="00100016">
        <w:trPr>
          <w:cantSplit/>
          <w:trHeight w:hRule="exact" w:val="107"/>
        </w:trPr>
        <w:tc>
          <w:tcPr>
            <w:tcW w:w="1177" w:type="dxa"/>
          </w:tcPr>
          <w:p w14:paraId="3A442AB4" w14:textId="77777777" w:rsidR="005C2641" w:rsidRPr="00C32FE3" w:rsidRDefault="005C2641" w:rsidP="00C13834"/>
        </w:tc>
        <w:tc>
          <w:tcPr>
            <w:tcW w:w="746" w:type="dxa"/>
            <w:tcBorders>
              <w:bottom w:val="single" w:sz="1" w:space="0" w:color="000000"/>
            </w:tcBorders>
          </w:tcPr>
          <w:p w14:paraId="64272111" w14:textId="77777777" w:rsidR="005C2641" w:rsidRPr="00C32FE3" w:rsidRDefault="005C2641" w:rsidP="00C13834"/>
        </w:tc>
        <w:tc>
          <w:tcPr>
            <w:tcW w:w="1149" w:type="dxa"/>
          </w:tcPr>
          <w:p w14:paraId="4C2C75AC" w14:textId="77777777" w:rsidR="005C2641" w:rsidRPr="00C32FE3" w:rsidRDefault="005C2641" w:rsidP="00C13834"/>
        </w:tc>
      </w:tr>
      <w:tr w:rsidR="005C2641" w:rsidRPr="00C32FE3" w14:paraId="61593BD7" w14:textId="77777777" w:rsidTr="00100016">
        <w:trPr>
          <w:cantSplit/>
          <w:trHeight w:val="769"/>
        </w:trPr>
        <w:tc>
          <w:tcPr>
            <w:tcW w:w="3073" w:type="dxa"/>
            <w:gridSpan w:val="3"/>
          </w:tcPr>
          <w:p w14:paraId="20413DCB" w14:textId="77777777" w:rsidR="005C2641" w:rsidRDefault="005C2641" w:rsidP="00C13834">
            <w:pPr>
              <w:pStyle w:val="SNTimbre"/>
            </w:pPr>
            <w:r>
              <w:t>Ministerstwo Transformacji Ekologicznej</w:t>
            </w:r>
          </w:p>
          <w:p w14:paraId="01EC4D2C" w14:textId="77777777" w:rsidR="005C2641" w:rsidRPr="00C32FE3" w:rsidRDefault="005C2641" w:rsidP="00C13834">
            <w:pPr>
              <w:pStyle w:val="SNTimbre"/>
            </w:pPr>
            <w:r>
              <w:t>Mieszkalnictwo</w:t>
            </w:r>
          </w:p>
        </w:tc>
      </w:tr>
      <w:tr w:rsidR="005C2641" w:rsidRPr="00C32FE3" w14:paraId="22B0EA09" w14:textId="77777777" w:rsidTr="00100016">
        <w:trPr>
          <w:cantSplit/>
          <w:trHeight w:hRule="exact" w:val="216"/>
        </w:trPr>
        <w:tc>
          <w:tcPr>
            <w:tcW w:w="1177" w:type="dxa"/>
          </w:tcPr>
          <w:p w14:paraId="3759A36A" w14:textId="77777777" w:rsidR="005C2641" w:rsidRPr="00C32FE3" w:rsidRDefault="005C2641" w:rsidP="00C13834"/>
        </w:tc>
        <w:tc>
          <w:tcPr>
            <w:tcW w:w="746" w:type="dxa"/>
            <w:tcBorders>
              <w:bottom w:val="single" w:sz="1" w:space="0" w:color="000000"/>
            </w:tcBorders>
          </w:tcPr>
          <w:p w14:paraId="04DEF11A" w14:textId="77777777" w:rsidR="005C2641" w:rsidRPr="00C32FE3" w:rsidRDefault="005C2641" w:rsidP="00C13834"/>
        </w:tc>
        <w:tc>
          <w:tcPr>
            <w:tcW w:w="1149" w:type="dxa"/>
          </w:tcPr>
          <w:p w14:paraId="77D432E1" w14:textId="77777777" w:rsidR="005C2641" w:rsidRPr="00C32FE3" w:rsidRDefault="005C2641" w:rsidP="00C13834"/>
        </w:tc>
      </w:tr>
      <w:tr w:rsidR="005C2641" w:rsidRPr="00C32FE3" w14:paraId="3B71A753" w14:textId="77777777" w:rsidTr="00100016">
        <w:trPr>
          <w:cantSplit/>
          <w:trHeight w:hRule="exact" w:val="216"/>
        </w:trPr>
        <w:tc>
          <w:tcPr>
            <w:tcW w:w="1177" w:type="dxa"/>
          </w:tcPr>
          <w:p w14:paraId="780F1E54" w14:textId="77777777" w:rsidR="005C2641" w:rsidRPr="00C32FE3" w:rsidRDefault="005C2641" w:rsidP="00C13834"/>
        </w:tc>
        <w:tc>
          <w:tcPr>
            <w:tcW w:w="746" w:type="dxa"/>
          </w:tcPr>
          <w:p w14:paraId="770B6C28" w14:textId="77777777" w:rsidR="005C2641" w:rsidRPr="00C32FE3" w:rsidRDefault="005C2641" w:rsidP="00C13834"/>
        </w:tc>
        <w:tc>
          <w:tcPr>
            <w:tcW w:w="114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Rozporządzenie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deklaracji środowiskowych produktów przeznaczonych do wykorzystania w obiektach budowlanych oraz deklaracji środowiskowych produktów stosowanych do obliczania efektywności środowiskowej budynków</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Odbiorcy, których dotyczy:</w:t>
      </w:r>
      <w:r>
        <w:rPr>
          <w:rFonts w:ascii="Times New Roman" w:hAnsi="Times New Roman"/>
          <w:i/>
          <w:sz w:val="24"/>
        </w:rPr>
        <w:t xml:space="preserve"> osoby rejestrujące, których dotyczą produkty budowlane i dekoracyjne, a także sprzęt elektryczny, elektroniczny i klimatyczny wykorzystywany do obliczania efektywności środowiskowej budynków.</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Cel:</w:t>
      </w:r>
      <w:r>
        <w:rPr>
          <w:rFonts w:ascii="Times New Roman" w:hAnsi="Times New Roman"/>
          <w:i/>
          <w:sz w:val="24"/>
        </w:rPr>
        <w:t xml:space="preserve"> określenie warunków stosowania artykułów od R. 412-49 do R. 412-57 kodeksu konsumenta oraz artykułów od R. 111-20-24 do R. 111-20-30 kodeksu budownictwa i mieszkalnictwa.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Wejście w życie:</w:t>
      </w:r>
      <w:r>
        <w:rPr>
          <w:rFonts w:ascii="Times New Roman" w:hAnsi="Times New Roman"/>
          <w:i/>
          <w:sz w:val="24"/>
        </w:rPr>
        <w:t xml:space="preserve"> tekst wchodzi w życie z dniem 1 stycznia 2022 r.</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Powiadomienie:</w:t>
      </w:r>
      <w:r>
        <w:rPr>
          <w:rFonts w:ascii="Times New Roman" w:hAnsi="Times New Roman"/>
          <w:i/>
          <w:sz w:val="24"/>
        </w:rPr>
        <w:t xml:space="preserve"> celem niniejszego rozporządzenia jest określenie warunków stosowania artykułów od R. 412-49 do R. 412-57 kodeksu konsumenta oraz artykułów od R. 111-20-24 do R. 111-20-30 kodeksu budownictwa i mieszkalnictwa.</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Rozporządzanie ustanawia:</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treść deklaracji środowiskowych dotyczących wyrobów budowlanych i dekoracyjnych oraz sprzętu elektrycznego, elektronicznego i klimatycznego przeznaczonego do użytku w obiektach budowlanych oraz deklaracji środowiskowych dotyczących wyrobów budowlanych i dekoracyjnych, a także sprzętu elektrycznego, elektronicznego i klimatycznego wykorzystywanego do obliczania efektywności środowiskowej budynków;</w:t>
      </w:r>
    </w:p>
    <w:p w14:paraId="25B1EABC" w14:textId="16A0656A" w:rsidR="00770B24" w:rsidRPr="005D260E" w:rsidRDefault="00100016" w:rsidP="001A45A9">
      <w:pPr>
        <w:ind w:left="708"/>
        <w:jc w:val="both"/>
        <w:rPr>
          <w:rFonts w:ascii="Times New Roman" w:hAnsi="Times New Roman" w:cs="Times New Roman"/>
          <w:i/>
          <w:sz w:val="24"/>
          <w:szCs w:val="24"/>
        </w:rPr>
      </w:pPr>
      <w:r>
        <w:rPr>
          <w:rFonts w:ascii="Times New Roman" w:hAnsi="Times New Roman"/>
          <w:i/>
          <w:sz w:val="24"/>
        </w:rPr>
        <w:t xml:space="preserve">— </w:t>
      </w:r>
      <w:r w:rsidR="00E04C22">
        <w:rPr>
          <w:rFonts w:ascii="Times New Roman" w:hAnsi="Times New Roman"/>
          <w:i/>
          <w:sz w:val="24"/>
        </w:rPr>
        <w:t>metodologię oceny i obliczania informacji zawartych w deklaracji środowiskowej;</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wszystkie dowody potwierdzające informacje zawarte w deklaracji środowiskowej, które mają być udostępnione programowi deklaracji środowiskowych oraz organom kontrolnym lub ich przedstawicielom;</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adres baz(y) danych, w której(-ych) podaje się do wiadomości publicznej deklaracje środowiskowe, o których mowa w art. R. 111-20-25 kodeksu budownictwa i mieszkalnictwa;</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warunki sporządzania przez kilka osób rejestrujących wspólnych deklaracji środowiskowych dotyczących wyrobów budowlanych lub dekoracyjnych bądź sprzętu;</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warunki opracowywania parametryzowanych deklaracji dotyczących wyrobów budowlanych lub dekoracyjnych bądź sprzętu.</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Odesłania:</w:t>
      </w:r>
      <w:r>
        <w:rPr>
          <w:rFonts w:ascii="Times New Roman" w:hAnsi="Times New Roman"/>
          <w:i/>
          <w:sz w:val="24"/>
        </w:rPr>
        <w:t xml:space="preserve"> teksty powstałe lub zmienione na mocy niniejszego rozporządzenia są dostępne, w wersji powstałej w wyniku tej zmiany, na stronie internetowej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Minister Transformacji Ekologicznej, wiceminister właściwy do spraw mieszkalnictwa przy Ministrze Transformacji Ekologicznej,</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uwzględniając dyrektywę (UE) 2015/1535 Parlamentu Europejskiego i Rady z dnia 9 września 2015 r. ustanawiająca procedurę udzielania informacji w dziedzinie przepisów technicznych oraz zasad dotyczących usług społeczeństwa informacyjnego (tekst jednolity), w szczególności powiadomienie nr </w:t>
      </w:r>
      <w:r>
        <w:rPr>
          <w:rFonts w:ascii="Times New Roman" w:hAnsi="Times New Roman"/>
          <w:sz w:val="24"/>
          <w:highlight w:val="yellow"/>
          <w:shd w:val="clear" w:color="auto" w:fill="FFFFFF"/>
        </w:rPr>
        <w:t>rok/XXX/F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uwzględniając kodeks konsumenta, w szczególności art. L. 412-1 i art. od R. 412-49 do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uwzględniając kodeks budownictwa i mieszkalnictwa, w szczególności art. L. 111-9-2 i art. od R. 111-20-24 do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uwzględniając uwagi zgłoszone w trakcie konsultacji społecznych przeprowadzonych w dniach od </w:t>
      </w:r>
      <w:r>
        <w:rPr>
          <w:rFonts w:ascii="Times New Roman" w:hAnsi="Times New Roman"/>
          <w:sz w:val="24"/>
          <w:highlight w:val="yellow"/>
        </w:rPr>
        <w:t xml:space="preserve">[...] </w:t>
      </w:r>
      <w:r>
        <w:rPr>
          <w:rFonts w:ascii="Times New Roman" w:hAnsi="Times New Roman"/>
          <w:sz w:val="24"/>
        </w:rPr>
        <w:t xml:space="preserve"> do </w:t>
      </w:r>
      <w:r>
        <w:rPr>
          <w:rFonts w:ascii="Times New Roman" w:hAnsi="Times New Roman"/>
          <w:sz w:val="24"/>
          <w:highlight w:val="yellow"/>
        </w:rPr>
        <w:t>[...]</w:t>
      </w:r>
      <w:r>
        <w:rPr>
          <w:rFonts w:ascii="Times New Roman" w:hAnsi="Times New Roman"/>
          <w:sz w:val="24"/>
        </w:rPr>
        <w:t>, zgodnie z art. L. 120-1 kodeksu ochrony środowiska,</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uwzględniając opinię Wysokiej Rady ds. Budownictwa i Efektywności Energetycznej z dnia 13 kwietnia 2021 r.,</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niniejszym rozporządza, co następuje:</w:t>
      </w:r>
    </w:p>
    <w:p w14:paraId="36B5C6AB" w14:textId="5A8F9966" w:rsidR="008F5FB3" w:rsidRPr="005D260E" w:rsidRDefault="008F5FB3" w:rsidP="007F6637">
      <w:pPr>
        <w:pStyle w:val="Titre2FDES"/>
      </w:pPr>
      <w:r>
        <w:t>Artykuł 1</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(Definicje)</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Dla celów niniejszego rozporządzenia stosuje się następujące definicje: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„wskaźnik”: wartość wymierna odnosząca się do aspektów środowiskowych; </w:t>
      </w:r>
    </w:p>
    <w:p w14:paraId="7CB46E4F" w14:textId="4E4C0FD1" w:rsidR="008F5FB3" w:rsidRPr="005D260E" w:rsidRDefault="00CF19F7" w:rsidP="00CD009F">
      <w:pPr>
        <w:pStyle w:val="NormalWeb"/>
        <w:jc w:val="both"/>
      </w:pPr>
      <w:r>
        <w:t xml:space="preserve">Termin „osoba rejestrująca” oznacza „osobę odpowiedzialną za wprowadzenie do obrotu” w rozumieniu art. R. 412-49 kodeksu konsumenta lub „zgłaszającego” w rozumieniu art. R. 111-20-24 kodeksu budownictwa i mieszkalnictwa;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„jednostka funkcjonalna”: określone ilościowo działanie systemu produktów przeznaczonych do stosowania jako jednostka odniesienia w analizie cyklu życia;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„deklarowana jednostka”: ilość wyposażenia, o ile istnieje, wyrobu budowlanego lub dekoracyjnego, przeznaczonego do stosowania jako jednostka referencyjna w analizie cyklu życia w uzupełnieniu do jednostki funkcjonalnej;</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 xml:space="preserve">„referencyjny okres trwałości użytkowej wyrobu budowlanego lub dekoracyjnego lub urządzenia: oczekiwany okres użytkowania dla wyrobu budowlanego, dekoracyjnego lub </w:t>
      </w:r>
      <w:r>
        <w:rPr>
          <w:rFonts w:ascii="Times New Roman" w:hAnsi="Times New Roman"/>
          <w:sz w:val="24"/>
        </w:rPr>
        <w:lastRenderedPageBreak/>
        <w:t>urządzenia w warunkach stanowiących zbiór referencyjnych warunków użytkowania, który może być stosowany jako podstawa do oszacowania okresu trwałości użytkowej w innych warunkach użytkowania;</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„Produkt uzupełniający”: ogólny termin dla każdego produktu, który musi być koniecznie związany z budową, wykończeniem lub wyposażeniem podstawowym na każdym etapie realizacji i życiu w praktyce;</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„Deklaracja parametryzowana”: deklaracja środowiskowa z zasadami dostosowywania zawartych w niej informacji do konkretnego produktu oraz narzędziem komputerowym do stosowania tych zasad;</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W poniższych artykułach termin „produkt” oznacza „wyrób budowlany”, „wyrób dekoracyjny” oraz „sprzęt elektryczny, elektroniczny i geoinżynieryjny” – zdefiniowane w art. R. 111-20-24 kodeksu budownictwa i mieszkalnictwa.</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Artykuł 2</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(Zakres stosowania)</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Przepisy niniejszego rozporządzenia mają zastosowanie do produktów wymienionych w art. R. 412-50 kodeksu konsumenta oraz w art. R. 111-20-24 kodeksu budownictwa i mieszkalnictwa.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Artykuł 3</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(Treść deklaracji środowiskowej)</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Deklaracja środowiskowa, o której mowa w art. R. 412-51 kodeksu konsumenta oraz w art. R. 111-20-25 kodeksu budownictwa i mieszkalnictwa, zawiera następujące informacje: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Wartości niżej wymienionych wskaźników dla etapu produkcji, etapu budowy, etapu użytkowania, etapu wycofania z eksploatacji i sumy tych etapów: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wpływu na środowisko: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globalne ocieplenie (emisje gazów cieplarnianych);</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zubożenie warstwy ozonowej;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zakwaszanie gleby i wody;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eutrofizacja;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fotochemiczne tworzenie ozonu;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wyczerpanie zasobów abiotycznych - pierwiastki;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wyczerpanie zasobów abiotycznych - paliwa kopalne;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wykorzystania zasobów: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odnawialnych źródeł energii pierwotnej, z wyłączeniem odnawialnych zasobów energii pierwotnej wykorzystywanych jako surowce;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odnawialnych zasobów energii pierwotnej wykorzystywanych jako surowce;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łączne wykorzystanie odnawialnych źródeł energii pierwotnej (energia pierwotna i zasoby energii pierwotnej wykorzystywane jako surowce);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nieodnawialnej energii pierwotnej, z wyłączeniem nieodnawialnych zasobów energii pierwotnej wykorzystywanych jako surowce;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nieodnawialnych zasobów energii pierwotnej wykorzystywanych jako surowce;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całkowite wykorzystanie nieodnawialnych zasobów energii pierwotnej (energia pierwotna i zasoby energii pierwotnej wykorzystywane jako surowce);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materiału wtórnego;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odnawialnych paliw wtórnych;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nieodnawialnych paliw wtórnych;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wykorzystanie wody słodkiej netto.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kategorii odpadów: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unieszkodliwiane odpady niebezpieczne;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unieszkodliwiane odpady inne niż niebezpieczne;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składowane odpady promieniotwórcze;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opis strumieni wychodzących: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komponenty przeznaczone do ponownego wykorzystania;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materiały przeznaczone do recyklingu;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materiały przeznaczone do odzysku energii;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energia dostarczana z zewnątrz.</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Od dnia 1 stycznia 2022 r.:</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Wykorzystanie materiałów ze źródeł odnawialnych zawartych w produkcie wyrażone poprzez wskaźnik ilości węgla pochodzącego z atmosfery, zmagazynowanego w </w:t>
      </w:r>
      <w:r>
        <w:rPr>
          <w:rFonts w:ascii="Times New Roman" w:hAnsi="Times New Roman"/>
          <w:sz w:val="24"/>
        </w:rPr>
        <w:lastRenderedPageBreak/>
        <w:t>produkcie budowlanym lub dekoracyjnym;</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Wartości wskaźników wymienionych w pkt 1. dla każdego z podetapów etapu użytkowania, tj. następujących podetapów: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wykorzystanie lub zastosowanie, z wyłączeniem zapotrzebowania na energię i wodę w fazie eksploatacji budynku;</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utrzymanie;</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naprawa;</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wymiana;</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rewitalizacja;</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wykorzystanie energii podczas użytkowania;</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wykorzystanie wody podczas użytkowania.</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 przypadku deklaracji środowiskowej, której dotyczą wymogi art. 9 niniejszego rozporządzenia, zakresy zmienności (wartości maksymalne i minimalne) wskaźników kontroli określonych w art. 9.</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W przypadku deklaracji środowiskowych zweryfikowanych od dnia 1 października 2022 r.:</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Wykorzystanie materiałów ze źródeł odnawialnych zawartych w produkcie wyrażone przez wskaźnik ilości węgla pochodzącego z atmosfery, zmagazynowany w urządzeniu;</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Wartości wskaźników odnoszących się do zysków i kosztów związanych z odzyskiem wycofanych z eksploatacji produktów.</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Od dnia środa, 1 stycznia 2025 r.: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Wartości wskaźników odnoszących się do zysków i kosztów związanych z odzyskiem wycofanych z eksploatacji produktów.</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Jednostkę funkcjonalną lub zadeklarowaną jednostkę produktu;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Referencyjny okres trwałości użytkowej produktu;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Opis produktów, które tworzą jednostkę funkcjonalną lub jednostkę zadeklarowaną (ilość głównego produktu, ilość opakowań, ilość produktów uzupełniających związanych z wdrożeniem lub okresem rzeczywistej trwałości użytkowej);</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Zakres zastosowania produktu;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Następujące informacje dotyczące produktu objętego deklaracją środowiskową: grupa, opis(-y) lub oznaczenia handlowe, nazwa(-y) lub nazwa(-y) osoby(ób) rejestrującej(-ych);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Datę deklaracji środowiskowej;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Świadectwo weryfikacji i dane kontaktowe kontrolera, który przeprowadził niezależną weryfikację przez stronę trzecią, o której mowa w art. R. 412-55 kodeksu konsumenta oraz w art. R. 111-20-27 kodeksu budownictwa i mieszkalnictwa;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Dane osoby rejestrującej;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Adres strony internetowej, na której informacje te są dostępne bezpłatnie.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Artykuł 4</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lastRenderedPageBreak/>
        <w:t>(Dostarczenie dowodów potwierdzających przez osobę rejestrującą)</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Osoba rejestrująca udostępnia programowi deklaracji środowiskowych oraz organom administracyjnym odpowiedzialnym za kontrole lub ich przedstawicielom wszystkie elementy lub dane kontaktowe osób fizycznych lub prawnych będących w ich posiadaniu w celu uzasadnienia informacji zawartych w deklaracji środowiskowej, w szczególności: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pochodzenie surowców, materiałów i składników produktu;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identyfikację czynników produkcji nieuwzględnionych w wykazie cyklu życia zgodnie z zasadą wyłączania;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całkowitą masę czynników produkcji nieuwzględnionych w wykazie cyklu życia zgodnie z zasadą wyłączania;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wyniki obliczeń inwentaryzacyjnych;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dowody potwierdzające okres referencyjny okres trwałości użytkowej produktu;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w przypadku gdy wykorzystywane są ogólne dane z publicznych lub prywatnych baz danych, dokumentacja dotycząca technologicznej, geograficznej i czasowej reprezentatywności wykorzystanych danych ogólnych, odniesienia do baz danych, z których zostały pobrane, oraz odniesienia do wykorzystanych modułów danych;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scenariusze, na podstawie których sporządza się inwentaryzację cyklu życia;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miejsce(-a) produkcji objęte deklaracją środowiskową;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produkcja każdego miejsca wyrażona w jednostce ilościowej określonej w jednostce funkcjonalnej;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w przypadku stosowania metody doboru próby - dowód, że zastosowana próbka jest reprezentatywna dla produkcji produktu, w szczególności z punktu widzenia geograficznego, czasowego i technologicznego;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elementy składowe ram ważności deklaracji środowiskowych, których dotyczą wymogi art. 9;</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elementy składowe deklaracji dającej się przypisać, o której mowa w art. 11.</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Artykuł 5</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(Jednostki)</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Wielkości jednostek funkcjonalnych dla każdej kategorii wyrobów budowlanych lub dekoracyjnych są określone w załączniku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Wielkości jednostek funkcjonalnych lub jednostek zadeklarowanych dla urządzeń są określone </w:t>
      </w:r>
      <w:r>
        <w:rPr>
          <w:rFonts w:ascii="Times New Roman" w:hAnsi="Times New Roman"/>
          <w:sz w:val="24"/>
        </w:rPr>
        <w:lastRenderedPageBreak/>
        <w:t>w załączniku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t>Artykuł 6</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(Metody oceny i obliczania)</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Metody oceny i obliczania informacji, o których mowa w art. 3, a w szczególności wskaźników, muszą spełniać wszystkie poniższe warunki :</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Nie mogą one prowadzić do pominięcia procesów stanowiących łącznie więcej niż 5% wartości każdej z wymienionych informacji;</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Nie skutkują przyznaniem produktu podlegającego deklaracji środowiskowej o korzyściach przypisanych innym produktom przy obliczaniu danych informacji, z wyjątkiem wskaźników odnoszących się do zysków i wydatków związanych z wyceną z eksploatacji;</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Są zgodne z normą NF EN 15804 + A1: 2014-04 lub normą </w:t>
      </w:r>
      <w:r>
        <w:rPr>
          <w:rFonts w:ascii="Times New Roman" w:hAnsi="Times New Roman"/>
          <w:sz w:val="24"/>
          <w:shd w:val="clear" w:color="auto" w:fill="FFFFFF"/>
        </w:rPr>
        <w:t>XP C08-100-1: 2016-12 lub normą EN 50693: 2019-08 lub jakąkolwiek równoważną normą;</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Są one zgodne z metodą obliczania zysków i kosztów związanych z odzyskiem po wycofaniu z eksploatacji określoną w załączniku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Ponadto w odniesieniu do deklaracji środowiskowych zweryfikowanych od dnia 1 października 2022 r., jeżeli deklaracja środowiskowa obejmuje różne sposoby instalacji produktu objętego tą deklaracją, to metody oceny i obliczania wspomnianych informacji muszą być zgodne z następującymi zasadami:</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Dla każdego z tych sposobów instalacji ocenia się następujące wskaźniki kontroli: c</w:t>
      </w:r>
      <w:r>
        <w:rPr>
          <w:rFonts w:ascii="Times New Roman" w:hAnsi="Times New Roman"/>
          <w:snapToGrid w:val="0"/>
          <w:sz w:val="24"/>
        </w:rPr>
        <w:t>ałkowite ocieplenie klimatu, całkowite zużycie nieodnawialnej energii pierwotnej, unieszkodliwione odpady inne niż niebezpieczne;</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Dla każdego z tych wskaźników kontroli maksymalną wartość uzyskaną dla sumy etapów, o których mowa w art. 3, porównuje się ze średnią uzyskanych wartości (tj. ze średnim wpływem różnych sposobów instalacji). Jeżeli maksymalna wartość jednego z tych wskaźników jest większa niż 1,1-krotność wartości średniej, to w odniesieniu do każdego ze wskaźników wymienionych w deklaracji środowiskowej należy określić maksymalną wartość (tj. maksymalny wpływ na poszczególne sposoby instalacji). W przeciwnym razie dla każdego wskaźnika można określić średnią wartość.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Artykuł 7</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(Zgłoszenie do bazy danych)</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Osoba rejestrująca udostępnia zweryfikowaną deklarację środowiskową w bazie (bazach) danych określonych w umowie zawartej między ministrem właściwym do spraw budownictwa a osobą prawną reprezentującą program deklaracji środowiskowych.</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Adres bazy danych lub adresy baz danych są dostępne na stronie internetowej ministerstwa właściwego ds. budownictwa.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Artykuł 8</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(Aktualizacja deklaracji środowiskowej)</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Deklaracja środowiskowa jest aktualizowana w każdym przypadku, gdy zachodzi znacząca </w:t>
      </w:r>
      <w:r>
        <w:rPr>
          <w:rFonts w:ascii="Times New Roman" w:hAnsi="Times New Roman"/>
          <w:sz w:val="24"/>
        </w:rPr>
        <w:lastRenderedPageBreak/>
        <w:t>zmiana w produkcie, gdy jest to niezbędne dla odzwierciedlenia rozwoju technologicznego lub innych okoliczności, które mogą mieć wpływ na treść lub dokładność deklaracji środowiskowej, oraz nie rzadziej niż co pięć lat.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Artykuł 9</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(Zbiorcze dane środowiskowe)</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Deklaracja środowiskowa może być oparta na zbiorczej deklaracji środowiskowej obejmującej podobne produkty kilku osób rejestrujących.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Ta zbiorcza deklaracja środowiskowa spełnia następujące warunki: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Dotyczy „typowego produktu”;</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Ustanawia się ją na warunkach, o których mowa w poprzednich artykułach;</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Należy zapewnić jednorodność parametrów, które znacząco wpływają na wartość każdego wskaźnika; w tym celu zbiorowa deklaracja środowiskowa zawiera ramy ważności określone w załączniku IV, które zawierają następujące informacje:</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Określenie wpływowych parametrów, ze wskazaniem, czy są one uzupełnione o dane ogólne czy szczegółowe;</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Okresy ważności tych parametrów.</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Osoba rejestrująca, która przekazała zbiorczą deklarację środowiskową, jest odpowiedzialna za zawarte w niej informacje, w tym za wykaz odnośnych produktów oraz warunki, na jakich produkty mogą być z nią powiązane, o ile dotyczy.</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Osoby rejestrujące produkty objęte niniejszą zbiorczą deklaracją środowiskową spełniają następujące warunki: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są odpowiedzialni za informacje, które przekazują wyżej wymienionej osobie rejestrującej;</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przestrzegają ram ważności zbiorczej deklaracji środowiskowej;</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dostarczają świadectwo potwierdzające zgodność zbiorczej deklaracji środowiskowej z ramami ważności;</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udostępniają one organom odpowiedzialnym za kontrole dowody potwierdzające zgodność z ramami ważności.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Niezależna weryfikacja przez stronę trzecią, o której mowa w art. R. 412-55 kodeksu konsumenta oraz w art. R. 111-20-27 kodeksu budownictwa i mieszkalnictwa, w odniesieniu do produktów dołączonych do zbiorczej deklaracji środowiskowej, polega na niezależnej weryfikacji zbiorowej deklaracji środowiskowej przez stronę trzecią.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Wskaźniki kontroli, które należy wziąć pod uwagę, obejmują co najmniej:</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lastRenderedPageBreak/>
        <w:t>całkowite globalne ocieplenie;</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 xml:space="preserve">całkowite zużycie nieodnawialnej energii pierwotnej;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unieszkodliwiane odpady inne niż niebezpieczne.</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Zbiorowe deklaracje środowiskowe muszą spełniać następujące wymogi:</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w przypadku gdy maksymalna wartość każdego wskaźnika kontrolnego, uzyskana w wyniku sumy etapów wymienionych w art. 3 i poprzez obliczenie zmienności opisanej w załączniku IV, jest mniejsza lub równa średniej wartości wskaźnika pomnożonej przez wartość graniczną, wówczas wartości wskaźników można obliczyć na podstawie średnich wartości parametrów wrażliwych. W przeciwnym razie należy określić górny próg (maksymalna wartość, jaką może osiągnąć wskaźnik).</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Dla zbiorczych deklaracji środowiskowych złożonych przed dniem 1 października 2022 r. wartość graniczna, o której mowa powyżej, wynosi „1,4”, a obliczanie zmienności, o której mowa powyżej, obejmuje co najmniej parametry wrażliwe odnoszące się do:</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składu produktu: ilości i rodzaju materiałów;</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ilości opakowań;</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procesów produkcyjnych innych niż wydobycie i przetworzenie surowców (etapy A2 i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Dla zbiorczych deklaracji środowiskowych składanych od dnia 1 października 2022 r. wartość graniczna, o której mowa powyżej, wynosi „1,3”, a obliczanie zmienności, o której mowa powyżej, obejmuje co najmniej parametry wrażliwe odnoszące się do:</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składu produktu: ilości i rodzaju materiałów;</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ilości opakowań;</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procesów produkcyjnych poza wydobyciem i przetwarzaniem surowców (etapy A2 i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transportu na miejsce (etap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Artykuł 10</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(Zakres danych dotyczących środowiska)</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Deklaracja środowiskowa może opierać się na podobnych produktach tej samej osoby rejestrującej. Te deklaracje środowiskowe muszą spełniać wymogi dotyczące zbiorczych deklaracji środowiskowych określone w art. 9.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Artykuł 11</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(Parametryzowane dane środowiskowe)</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Deklaracja środowiskowa może być oparta na deklaracji parametryzowanej.</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Deklaracja ta spełnia następujące warunki: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Dotyczy „typowego produktu”;</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Ustanawia się ją na warunkach, o których mowa w poprzednich artykułach;</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Obejmuje ona zestaw reguł obliczeniowych umożliwiających dostosowanie wymienionych w niej informacji, na podstawie modyfikowalnych parametrów, tak aby odpowiadały produktowi podobnemu do produktu standardowego, ale o innych wymiarach, składzie lub niektórych procesach cyklu życia;</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Wartość zmiennych parametrów, o których mowa powyżej, musi być możliwa do zweryfikowania po oddaniu budynku;</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Zawiera ramy ważności określające wartości, które mogą być przyjęte przez zmienne parametry, o których mowa powyżej, oraz cechy, które mają być spełnione przez podobny produkt, o którym mowa powyżej.</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Każdej deklaracji parametryzowanej, zweryfikowanej od dnia 1 października 2022 r. towarzyszy komputerowe narzędzie obliczeniowe do celów stosowania wyżej wymienionych zasad obliczania i eksportu informacji wymaganych na mocy art. 3, wraz z wykazem wyżej wymienionych zmiennych parametrów i ich wartości. Wszystkie te informacje zostają wyeksportowane jako plik komputerowy w formacie określonym na stronie internetowej ministerstwa odpowiedzialnego za budownictwo.</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Weryfikacja przez niezależną osobę trzecią, o której mowa w art. R. 412-55 kodeksu konsumenta i w art. R. 111-20-27 kodeksu budowlanego i mieszkaniowego, obejmuje również, w przypadku deklaracji parametryzowanej, zasady obliczania wymienione w niniejszym artykule oraz narzędzie do obliczeń komputerowych wymienione w poprzednim akapicie.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Artykuł 12</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(Certyfikacja)</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Uznaje się, że certyfikacja cech środowiskowych, o której mowa w art. R. 412-53 kodeksu konsumenta, jest zgodna z wymogami, jeżeli uwzględnia wszystkie wymagania normy NF EN ISO 14024: 2018/03. Certyfikację wyrobów budowlanych, dekoracyjnych lub urządzeń przeprowadza organizacja akredytowana w tym celu przez francuski komitet akredytacji (COFRAC) lub przez inną jednostkę akredytującą będącą sygnatariuszem wielostronnych umów o wzajemnym uznawaniu.</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Niniejszy artykuł nie ma zastosowania do deklaracji środowiskowych stosowanych przy obliczaniu efektywności środowiskowej budynków.</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Artykuł 13</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lastRenderedPageBreak/>
        <w:t>Uchyla się rozporządzenie z dnia 23 grudnia 2013 r. w sprawie deklaracji środowiskowej wyrobów budowlanych i dekoracyjnych przeznaczonych do stosowania w obiektach budowlanych.</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Uchyla się rozporządzenie z dnia 31 sierpnia 2015 r. w sprawie deklaracji środowiskowej urządzeń elektrycznych, elektronicznych i klimatycznych przeznaczonych do użytku w obiektach budowlanych.</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Artykuł 13</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Za wykonanie niniejszego rozporządzenia, które zostanie opublikowane w </w:t>
      </w:r>
      <w:r>
        <w:rPr>
          <w:rFonts w:ascii="Times New Roman" w:hAnsi="Times New Roman"/>
          <w:i/>
          <w:iCs/>
          <w:sz w:val="24"/>
        </w:rPr>
        <w:t>Dzienniku Urzędowym Republiki Francuskiej</w:t>
      </w:r>
      <w:r>
        <w:rPr>
          <w:rFonts w:ascii="Times New Roman" w:hAnsi="Times New Roman"/>
          <w:sz w:val="24"/>
        </w:rPr>
        <w:t>, odpowiada dyrektor ds. mieszkalnictwa, rozwoju obszarów miejskich i krajobrazów.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Wiceminister ds. mieszkalnictwa przy Ministrze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ds. Transformacji Ekologicznej</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 imieniu Ministra: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Dyrektor ds. mieszkalnictwa, rozwoju obszarów miejskich i krajobrazów,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Minister ds. Transformacji Ekologicznej,</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W imieniu Ministra:</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Dyrektor ds. mieszkalnictwa, rozwoju obszarów miejskich i krajobrazów,</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4CDEAABB" w14:textId="77777777" w:rsidR="00415DFD" w:rsidRDefault="00415DFD">
      <w:pPr>
        <w:rPr>
          <w:rFonts w:ascii="Times New Roman" w:hAnsi="Times New Roman"/>
          <w:b/>
          <w:sz w:val="24"/>
        </w:rPr>
      </w:pPr>
      <w:r>
        <w:rPr>
          <w:rFonts w:ascii="Times New Roman" w:hAnsi="Times New Roman"/>
          <w:b/>
          <w:sz w:val="24"/>
        </w:rPr>
        <w:br w:type="page"/>
      </w:r>
    </w:p>
    <w:p w14:paraId="4A1A9D13" w14:textId="4C900A0E"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Załączniki</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Załącznik I</w:t>
      </w:r>
    </w:p>
    <w:p w14:paraId="6761F1F1" w14:textId="57464D42" w:rsidR="001308A1" w:rsidRPr="005D260E" w:rsidRDefault="00C51AA3" w:rsidP="00F76954">
      <w:pPr>
        <w:pStyle w:val="Titre2FDES"/>
        <w:jc w:val="left"/>
      </w:pPr>
      <w:r>
        <w:t>Formaty jednostek funkcjonalnych dla każdej kategorii wyrobów budowlanych lub dekoracyjnych.</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Nr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FUNKCJA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KATEGORIA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 JEDNOSTKI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funkcjonalnej w jednostkach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systemu międzynarodowego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Drogi, różne sieci (w tym sieci wewnętrzne)</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Kadzie i zbiorniki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danej objętości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Sieci odwadniające i kanalizacyjne (wody deszczowe i ścieki)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medium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Sieci wodociągowe (wewnętrzne i zewnętrzne)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Sieci dostaw gazu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System odwadniający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medium</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Drogi i nawierzchnie zewnętrzne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nawierzchni do danego zastosowania (taras zewnętrzny, drogi o niskim natężeniu ruchu, parking itp.)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Ogrodzenie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ogrodzenia</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Osłony/kanały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Konstrukcja, murarstwo, roboty budowlane, ciesielstwo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Kominy i przewody dymowe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przewodu o danym przekroju wewnętrznym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Jastrychy/pływające jastrychy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dla danej grubości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Konstrukcje nośne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powierzchni pokrytej lub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Wiatrownice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wiatrownicy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Płyty i płyty prefabrykowane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Poziome elementy nośne (belki, dźwigary, pustaki, pustaki stropowe, nadproża)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elementu nośnego (określić rozpiętość i przekrój) lub m² (dla elementu powierzchniowego)</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Pionowe elementy nośne (słupy/kolumny/filary)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elementu (określić przekrój)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Schody (wewnętrzne i zewnętrzne)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dla danej wysokości elewacji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Fundamenty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Małe elementy murarskie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(określić opór cieplny)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Podłogi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podłogi (określić obciążenie użytkowe)</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Ściany (elementy architektoniczne)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(określić grubość)</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Elewacje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Okładziny ścienne (izolujące panele elewacyjne, oblicówka, okładziny)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elewacji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Ściany osłonowe i świetliki </w:t>
            </w:r>
            <w:r>
              <w:rPr>
                <w:rFonts w:ascii="Times New Roman" w:hAnsi="Times New Roman"/>
                <w:sz w:val="24"/>
              </w:rPr>
              <w:lastRenderedPageBreak/>
              <w:t xml:space="preserve">dachowe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elewacji (określić procent </w:t>
            </w:r>
            <w:r>
              <w:rPr>
                <w:rFonts w:ascii="Times New Roman" w:hAnsi="Times New Roman"/>
                <w:sz w:val="24"/>
              </w:rPr>
              <w:lastRenderedPageBreak/>
              <w:t xml:space="preserve">nieprzezroczystej powierzchni)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Zewnętrzne powierzchnie elewacji (w tym kompozytowe systemy zewnętrznej izolacji cieplnej)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elewacji (określić, w stosownych przypadkach, opór cieplny)</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Pokrycia dachowe/uszczelnienia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Duże elementy pokrycia dachowego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dachowego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Małe elementy pokrycia dachowego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dachowego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Produkty hydroizolacyjne i uszczelniające do ścian szczelinowych</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dachowego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Produkty do uszczelniania dachów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dachowego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Elementy zielonego dachu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dachowego (określić rodzaj wspieranej roślinności i, w stosownych przypadkach, charakterystykę cieplną)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Stolarka wewnętrzna i zewnętrzna, zamknięcia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Okna, okna francuskie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stolarki (powierzchnia otwartej powierzchni przed montażem) (określić wartość U, współczynnik słoneczny, klasyfikację powietrzno-wodno-wiatrową i przepuszczalność światła)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Poręcze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poręczy</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Drzwi (wewnętrzne, zewnętrzne, bramy itp.) </w:t>
            </w:r>
          </w:p>
          <w:p w14:paraId="49074EDD" w14:textId="1FC62C2F" w:rsidR="00F301F5" w:rsidRPr="00100016"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(powierzchnia otwarta przed montażem)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Żaluzje, rolety, żaluzje poziome, story, osłony przeciwsłoneczne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powierzchni nieprzezroczystej/chronionej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Okna dachowe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stolarki (powierzchnia otwartej powierzchni przed montażem) (określić wartość U, współczynnik słoneczny, klasyfikację powietrzno-wodno-wiatrową i przepuszczalność światła)</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Izolacja</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krokwiowe, panele dachowe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opór cieplny)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Systemy okładzin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opór cieplny)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Izolacja dodatkowa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opór cieplny)</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Płyty drążone, panele izolacyjne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opór cieplny)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ścian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odporność na ciepło i dźwięk)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poddaszy</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odporność na ciepło i dźwięk)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luzem</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izolacji (określić odporność na ciepło i dźwięk)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Materiały do izolacji cieplnej i </w:t>
            </w:r>
            <w:r>
              <w:rPr>
                <w:rFonts w:ascii="Times New Roman" w:hAnsi="Times New Roman"/>
                <w:sz w:val="24"/>
              </w:rPr>
              <w:lastRenderedPageBreak/>
              <w:t>akustycznej tarasów dachowych</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izolacji (określić odporność na ciepło </w:t>
            </w:r>
            <w:r>
              <w:rPr>
                <w:rFonts w:ascii="Times New Roman" w:hAnsi="Times New Roman"/>
                <w:sz w:val="24"/>
              </w:rPr>
              <w:lastRenderedPageBreak/>
              <w:t xml:space="preserve">i dźwięk)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pod jastrychem</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odporność na ciepło i dźwięk)</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Nienośna izolacja rozproszona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w stosownych przypadkach, odporność na ciepło i dźwięk)</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ścian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odporność na ciepło i dźwięk)</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akustycznej przegród</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odporność na ciepło i dźwięk)</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Materiały do izolacji cieplnej i akustycznej pod płytami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odporność na ciepło i dźwięk)</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Izolacja pod chodnikami i płytami fundamentowymi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izolacji (określić odporność na ciepło i dźwięk)</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Ścianki działowe, sufity podwieszane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Ścianki działowe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ścianki wewnętrznej (określić, w stosownych przypadkach, charakterystykę akustyczną)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Sufity podwieszane, sufity napinane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sufitu podwieszanego (określić charakterystykę akustyczną)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Pokrycia podłogowe i ścienne, farby, wyroby dekoracyjne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Farby, bejce i lakiery, tynki malarskie (bez saturatorów)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pokrytej powierzchni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Listwy przypodłogowe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listew przypodłogowych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Okładziny ścienne i sufitowe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Twarde wykładziny podłogowe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(określić klasę użytkowania UPEC lub klasyfikację odporności na zużycie i przebicie, reakcja na wodę i odporność na czynniki chemiczne lub równoważne)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Miękkie wykładziny podłogowe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(określić klasę użytkowania UPEC lub klasyfikację odporności na zużycie i przebicie, reakcja na wodę i odporność na czynniki chemiczne lub równoważne)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Wyroby akustyczne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pokrycia (określić klasę użytkowania UPEC lub klasyfikację odporności na zużycie i przebicie, reakcja na wodę i odporność na czynniki chemiczne lub równoważne)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Saturatory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pokrytej powierzchni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Produkty do przygotowania i realizacji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Kleje strukturalne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(określić gęstość)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Naprawy i montaż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(określić gęstość)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Posadzki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kleju do posadzki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Zaprawy murarskie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(określić gęstość)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Płytki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płytek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Dekoracja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kg (określić gęstość)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Uszczelniacze i pianki poliuretanowe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(określić gęstość liniową)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Chemia budowlana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(określić gęstość)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Produkty do betonu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(określić gęstość)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Żywice syntetyczne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(określić gęstość)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Różne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Wyposażenie sanitarne i łazienkowe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Baterie i zestawy prysznicowe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(określić typ)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Wanna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(określić pojemność w litrach i kształt)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Brodzik natryskowy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(określić wymiary: szerokość i długość)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Zlewozmywak</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(określić wymiary: szerokość, długość i liczbę komór)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Umywalka</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(określić wymiary: szerokość, długość i liczbę komór)</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WC - toaleta - miska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Jednostka (określić wymiary: szerokość i długość)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Inne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Załącznik II</w:t>
      </w:r>
    </w:p>
    <w:p w14:paraId="1E7210AD" w14:textId="4609938E" w:rsidR="001308A1" w:rsidRPr="005D260E" w:rsidRDefault="00C51AA3" w:rsidP="007F6637">
      <w:pPr>
        <w:pStyle w:val="Titre2FDES"/>
      </w:pPr>
      <w:r>
        <w:t>Formaty jednostek funkcjonalnych lub jednostek zadeklarowanych dla sprzętu.</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Nr</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Funkcja</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Kategoria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 funkcjonalna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Zadeklarowana jednostka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Rozwiązanie</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Aparatura instalacyjna sieci elektroenergetycznych i komunikacyjnych</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Aparatura naścienna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Systemy zautomatyzowane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Czujniki ruchu</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Termostaty</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Ściemniacze</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Skrzynki na urządzenia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 suchej zabudowy</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 wmurowania</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Elementy sterujące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Przełączniki</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Przyciski</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Inne: Kontrolowana wentylacja mechaniczna, roleta itp.</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Płyty i wsporniki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Podzespół wyposażenia ściennego</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Gniazda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Gniazda wtykowe niskoprądowe</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Gniazda wysokoprądowe</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 gniazda (telewizja, głośnik, komputer itp.)</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Sygnalizacja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Rozpraszanie dźwięku: głośniki</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Rozpraszanie dźwięku: dzwonek i gong</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Kontrolki</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Akcesoria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Piloty zdalnego sterowania, żaluzje, zaciski</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Modułowe wyposażenie do obudów</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Ogólne wyposażenie ochronne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Przyłącza</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automatyczne</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sieciowe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Przełączniki/odłączniki</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Falowniki źródłowe</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Przekaźniki różnicowe</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Ochrona odgromowa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Odgromniki</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Telefoniczne ograniczniki przepięć</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Zabezpieczenie linii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automatyczne</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rozdzielcze</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silnikowe</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Bezpieczniki</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Zabezpieczenie upływowe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Bloki różnicowe</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różnicowoprądowe</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Przełączniki </w:t>
            </w:r>
            <w:r>
              <w:rPr>
                <w:rFonts w:ascii="Times New Roman" w:hAnsi="Times New Roman"/>
                <w:sz w:val="24"/>
              </w:rPr>
              <w:lastRenderedPageBreak/>
              <w:t>różnicowoprądowe</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Zarządzanie oświetleniem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zmierzchowe</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Zarządzanie energią słoneczną</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Ściemniacze</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Zarządzanie energią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Odłączniki obciążenia</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Urządzenia do zarządzenia energią</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Zarządzanie oknami i roletami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Zarządzanie oknami i roletami</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Zarządzanie czasem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Wyłączniki czasowe</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Timery</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Przekaźniki czasowe</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Zarządzanie ciepłem (ogrzewanie, wentylacja)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Termostaty</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Pomiar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Liczniki energii</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Czujniki deszczu, słońca itp.</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Woltomierze, amperomierze</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Urządzenia sterujące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Przyciski</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Styczniki</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Przełączniki, falowniki, komutatory itp.</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Zdalne przełączniki impulsowe</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Urządzenia sygnalizacyjne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Gongi i dzwonki</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Kontrolki</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Automatyka domowa i systemy komunikacyjne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Sieci multimedialne i VDI (do transmisji głosu, danych i obrazu)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Modułowe wyposażenie automatyki domowej</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Urządzenia końcowe automatyki domowej</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Rozgałęźniki sygnalizacyjne/detekcyjne</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Punkty dostępowe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Obudowy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Szafki kablowo-rozdzielcze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Szafki poliestrowe</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Szafki metalowe</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Przyłącza</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Wyposażenie szafek</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Skrzynki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zaciskowe</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wpuszczane</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wodoszczelne</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do montażu natynkowego</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VDI (do transmisji głosu, danych i obrazu)</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przyłączeniowe</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Biurka, zarządzanie ciepłem w obudowach</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Rozwiązania do trasowania kabli</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Systemy trasowania kabli i stojaki kablowe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Rury osłonowe karbowane z pilotem</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Korytka kablowe natynkowe</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Stojaki kablowe</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Systemy listew instalacyjnych i kanały kablowe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kablowe</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kablowe profilowane</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Rury i kanały kablowe sztywne</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zasilające</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podłogowe</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instalacyjne</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Listwy i listwy przypodłogowe</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Inne produkty do prowadzenia kabli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Obudowa instalacji technicznej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Kanały podłogowe</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Skrzynki rozdzielcze i kolumny montażowe pionowe</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Korytka kablowe do szafek</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Pozostałe i akcesoria</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Przyłącze / podłączenie (poza obudową)</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Bloki przyłączeniowe</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Złącza</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Gniazda przemysłowe</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Zasilacze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Transformatory</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Źródła centralne</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Mobilny sprzęt elektryczny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Lampy przenośne</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Bloki adapterów wielogniazdowych, gniazda rozdzielacza telefonicznego, pozostałe</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Silnik mechanizmu okiennic</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Silnik mechanizmu drzwi, bram itp.</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Silnik mechanizmu rolet</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Przewody i kable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Sieci elektryczne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Kable średniego napięcia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Kable niskiego napięcia &lt; 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Akcesoria do sieci elektrycznych</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Przesył energii </w:t>
            </w:r>
            <w:r>
              <w:rPr>
                <w:rFonts w:ascii="Times New Roman" w:hAnsi="Times New Roman"/>
                <w:sz w:val="24"/>
              </w:rPr>
              <w:lastRenderedPageBreak/>
              <w:t>elektrycznej i danych wewnątrz budynku</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Przewody i kable energetyczne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Kable komunikacyjne miedziane i światłowodowe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Akcesoria wewnątrz budynku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Pozostałe przewody i kable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Nieizolowane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Kable grzewcze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Bezpieczeństwo osób fizycznych i kontrola dostępu</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Wykrywanie i kontrola dostępu</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 wykrywania włamań</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Sprzęt do wykrywania włamań</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Urządzenia sterujące (klawiatura, pilot itp.)</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Jednostki sterujące alarmem</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Urządzenia sygnalizacyjne (syrena, nadajnik itp.)</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 kontroli dostępu</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Bramofony audio</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Wideodomofony</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Monitoring wideo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 monitoringu wideo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Sprzęt do przechwytywania obrazu (kamery)</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Sprzęt do zarządzania obrazem</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Połączenia</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Bezpieczeństwo budynku</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System oświetlenia bezpieczeństwa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Otoczenie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Samodzielne jednostki oświetlenia awaryjnego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Oprawa oświetleniowa do źródła centralnego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Zespoły reflektorów</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Ewakuacja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Samodzielne jednostki oświetlenia awaryjnego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Niezależne jednostki oświetlenia mieszkalnego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dwufunkcyjna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Oprawa oświetleniowa do źródła centralnego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(urządzenie oświetleniowe)</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(ulepszone urządzenie identyfikacyjne)</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Oświetlenie awaryjne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Niezależne jednostki oświetlenia mieszkalnego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dwufunkcyjna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Interwencja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Przenośne samodzielne jednostki interwencyjne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Zasilanie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Centralne źródło oświetlenia awaryjnego</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Bezpieczeństwo pożarowe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Bezpieczeństwo pożarowe i alarm techniczny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Niezależne czujniki dymu/alarmy</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Czujki i alarmy techniczne (zalanie, gaz itp.)</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Samodzielne czujniki tlenku węgla</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Alarmy techniczne i czujki</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Urządzenia inżynierii sanitarnej</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Ogrzewanie i/lub chłodzenie i/lub produkcja ciepłej wody użytkowej</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Kocioł (samodzielne ogrzewanie)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gazowy</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na olej opałowy</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hybrydowy</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na biomasę</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Kocioł mieszany (ogrzewanie i ciepła woda użytkowa)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gazowy</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Kocioł na olej opałowy</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Niezależne urządzenia wykorzystujące biomasę</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Pompa ciepła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Elektryczna sprężarkowa pompa ciepła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Hybrydowa pompa ciepła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Pompa cyrkulacyjna wody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Grzejnik</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Suszarka do ręczników</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Bezpośrednie ogrzewanie elektryczne ze stale widocznym odczytem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Konwektor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Promiennik</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Grzejnik</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Urządzenie z dodatkową funkcją suszarki do ręczników</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Produkcja ciepłej wody użytkowej</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Indywidualny magazynowy podgrzewacz wody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Elektryczny podgrzewacz wody</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Termodynamiczny podgrzewacz wody</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Gazowy podgrzewacz wody</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Indywidualny solarny podgrzewacz wody</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Końcowe urządzenia </w:t>
            </w:r>
            <w:r>
              <w:rPr>
                <w:rFonts w:ascii="Times New Roman" w:hAnsi="Times New Roman"/>
                <w:sz w:val="24"/>
              </w:rPr>
              <w:lastRenderedPageBreak/>
              <w:t>klimatyzacji komfortowej</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Klimakonwektory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Klimakonwektory</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r>
              <w:rPr>
                <w:rFonts w:ascii="Times New Roman" w:hAnsi="Times New Roman"/>
                <w:sz w:val="24"/>
                <w:vertAlign w:val="superscript"/>
              </w:rPr>
              <w:t>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Wiązki klimatyczne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Pasywne wiązki klimatyczne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Aktywne wiązki klimatyczne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Grzejniki dynamiczne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Grzejniki dynamiczne</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Przewody i akcesoria sieciowe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kanału</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Przewody elastyczne</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Przewody sztywne</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Kolanka i akcesoria</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Dyfuzja powietrza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m³/godz.</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lub</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w:t>
            </w:r>
            <w:r>
              <w:rPr>
                <w:rFonts w:ascii="Times New Roman" w:hAnsi="Times New Roman"/>
                <w:sz w:val="24"/>
                <w:vertAlign w:val="superscript"/>
              </w:rPr>
              <w:t>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Terminale pasywne</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Dyfuzory</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Wloty powietrza</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Otwory wyciągowe i dmuchawy</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Oczyszczanie powietrza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m³/godz.</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Oczyszczalnia powietrza</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o podwójnym przepływie</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Filtry powietrza</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Skrzynka wentylacyjna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m³/godz.</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Wentylacja sterowana mechanicznie z pojedynczym przepływem (VMC)</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Dwubiegowa wentylacja sterowana mechanicznie (VMC)</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Skrzynka wentylacyjna</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Chłodnictwo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Jednostka do produkcji wody lodowej</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Wieża chłodząca</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Chłodnice powietrza</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Lokalna produkcja energii elektrycznej</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Generator energii elektrycznej</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Moduły fotowoltaiczne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Krzem krystaliczny (monokrystaliczny lub polikrystaliczny)</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Cienkowarstwowe</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Turbiny wiatrowe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Poziome</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Pionowe</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Przetwarzanie i regulacja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Przetwarzanie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Falowniki synchroniczne</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Falowniki autonomiczne</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Przetwornik DC/DC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Przetwornik AC/DC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Regulacja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Regulator ładowania</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Gromadzenie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Akumulator elektrochemiczny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kwasowo-ołowiowy</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litowo-jonowy</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Inne</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Monitoring</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Monitoring</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Sprzęt monitorujący</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Sprzęt oświetleniowy</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Sprzęt do oświetlenia wewnętrznego i zasilaczy</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Oprawy wpuszczane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liniowe wpuszczane do zastosowań wewnętrznych w obiektach komercyjnych</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nieliniowe wpuszczane do zastosowań wewnętrznych w obiektach komercyjnych</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Wewnętrzne oprawy akcentowe wpuszczane (reflektory punktowe)</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Oprawy oświetleniowe montowane na powierzchni</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ścienne, sufitowe i zwieszane do oświetlenia komercyjnego i przemysłowego</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ścienne liniowe do oświetlenia funkcjonalnego</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Wewnętrzne dekoracyjne lampy sufitowe, lampy ścienne, lampy wiszące</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Bulaje wewnętrzne</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Wewnętrzne paski oświetleniowe (bez urządzeń optycznych, w przeciwieństwie do produktów liniowych)</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Reflektory wewnętrzne natynkowe, montowane na szynach lub podwieszane do oświetlenia akcentującego</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Wodoodporne oprawy oświetleniowe wewnętrzne</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Taśmy LED i taśmy elastyczne (wraz z zasilaczem)</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Okucia podwieszane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Okucia przemysłowe</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Ciągłe konstrukcje liniowe do oświetlenia przemysłowego lub komercyjnego</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Uchwyty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Szyny zasilające do naświetlaczy</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Sprzęt do oświetlenia zewnętrznego i zasilacze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Reflektory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Reflektory sportowe i na tereny otwarte</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Reflektory zewnętrzne do oświetlenia dekoracyjnego</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Oprawy oświetleniowe do oświetlenia zewnętrznego, inne niż reflektory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oświetleniowe do oświetlenia dekoracyjnego</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Oprawy oświetleniowe do oświetlenia funkcjonalnego</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Oświetlenie okresowe</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Reflektory wpuszczane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Zewnętrzne reflektory montowane w podłogach lub ścianach</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Oświetlenie wpuszczane ułatwiające orientację</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Zewnętrzne oprawy oświetleniowe montowane w podłodze lub ścianach</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Pachołki i kolumny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Ozdobne zaciski zewnętrzne</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Dekoracyjne zewnętrzne kolumny świetlne</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Wodoodporne oprawy oświetleniowe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Lampy ścienne montowane na powierzchni i wodoodporne bulaje</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Zatapialne oświetlenie wpuszczane do basenów lub fontann</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Zatapialne reflektory do basenów lub fontann</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jednostka</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Maszty i oprawy</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Maszty</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Krzyżyki</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Różne mocowania do opraw oświetleniowych na zewnątrz</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Inne</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Różne</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Załącznik III</w:t>
      </w:r>
    </w:p>
    <w:p w14:paraId="67517A54" w14:textId="77777777" w:rsidR="00C51AA3" w:rsidRPr="005D260E" w:rsidRDefault="003C68D4" w:rsidP="008837F2">
      <w:pPr>
        <w:pStyle w:val="Titre2FDES"/>
        <w:jc w:val="left"/>
      </w:pPr>
      <w:r>
        <w:t xml:space="preserve">Obliczanie zysków i kosztów związanych z odzyskiem odpadów po zakończeniu eksploatacji.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Wyświetlona wartość dodatnia odzwierciedla koszt netto, a wartość ujemna - zysk netto.</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W przypadku odzysku materiałów, w odniesieniu do danego odzyskanego strumienia odpadów (a tym samym danego materiału lambda), stosuje się następujący wzór: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gdzie: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(w kg) materiału wtórnego faktycznie odzyskanego z masy zgromadzonych zasobów (udział lambda materiału w strumieniu „materiałów przeznaczonych do odzysku”);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inwentarz produkcyjny (na kg) materiału (lub mieszaniny), który odzyskany materiał wtórny lambda zastępuje w wykorzystującym go systemie niższego szczebla (nie jest to inwentarz produkcyjny produktu niższego szczebla, lecz inwentarz produkcyjny materiału składowego tego produktu niższego szczebla);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inwentarz produkcyjny (na kg) gotowego do użycia materiału wtórnego w systemie niższego szczebla z magazynu;</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masa (w kg) materiału wtórnego wprowadzonego do produktu objętego deklaracją podczas jego wytwarzania (składnik(i) lambda materiału w strumieniu „wykorzystania materiału wtórnego”);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inwentarz produkcyjny (na kg) materiału pierwotnego użytego do wytworzenia produktu, do którego ma zastosowanie deklaracja, w przypadku braku odzysku materiału;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inwentarz produkcyjny (na kg) gotowego do użycia materiału wtórnego użytego do wytworzenia produktu, do którego ma zastosowanie deklaracja.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W przypadku odzysku energii dla danego odzyskanego strumienia odpadów stosuje się następujący wzór: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gdzie: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masa (w kg) materiału wtórnego faktycznie odzyskanego z masy zgromadzonych zapasów (udział(y) lambda materiału w strumieniu „materiałów do odzysku energii”);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inwentarz produkcyjny (na kg) energii, dla której energia odzyskana w wyniku odzysku energii materiałów wtórnych jest zastępowana w systemie niższego szczebla (tj. nie w inwentarzu produkcyjnym systemu niższego szczebla, do którego przyczyni się materiał wtórny, lecz w inwentarzu produkcyjnym energii zużytej przez system niższego szczebla, wyrażonym w dostarczonym MJ);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Isval = inwentarz (na kg) odzysku energii materiału wtórnego z zapasów, dla którego </w:t>
      </w:r>
      <w:r>
        <w:rPr>
          <w:rFonts w:ascii="Times New Roman" w:hAnsi="Times New Roman"/>
          <w:sz w:val="24"/>
        </w:rPr>
        <w:lastRenderedPageBreak/>
        <w:t>strumieniem odniesienia jest ilość odzyskanego materiału wtórnego;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odzyskanego materiału wtórnego;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sprawność energetyczna instalacji odzysku energii dla odzyskanego materiału wtórnego.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Całkowity zysk dla produktu objętego deklaracją uzyskuje się następnie poprzez zsumowanie wszystkich zysków obliczonych dla każdego materiału/strumienia.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Załącznik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Ramy ważności zbiorowych deklaracji środowiskowych dotyczących produktów</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Jednorodność</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cyklu życia (LCA) obejmuje dużą ilość danych dla wielu scenariuszy. Niektóre dane są gromadzone na miejscu, niektóre są obliczane, a niektóre szacowane. Dane zawierające ocenę cyklu życia są zatem danymi o pewnym poziomie niepewności. W związku z tym wynik oceny cyklu życia jest dość wrażliwy na zmiany danych wejściowych.</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Art. 9 zarządzenia wymaga, aby wpływ na środowisko ze strony osób rejestrujących stosujących tę samą zbiorową deklarację środowiskową był jednorodny. W związku z tym zbiorowa deklaracja środowiskowa będzie obejmować produkty jednorodne pod względem środowiskowym, jeżeli możliwe będzie zapewnienie, że wszystkie objęte nim produkty zadeklarują wpływ na środowisko poniżej wartości dopuszczalnej, jeżeli są one zgodne z ramami ważności związanymi z tą zbiorczą deklaracją środowiskową.</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Przyjmuje się, że tę jednorodność należy wykazać jedynie w odniesieniu do niektórych wskaźników kontroli.</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W przypadku wskaźników oceny cyklu życia wykazanie jednorodności przeprowadza się poprzez analizę wrażliwości niepewnych parametrów i parametrów różniących się w zależności od osoby rejestrującej. Zdecydowanie zaleca się przeprowadzenie tej analizy na wczesnym etapie procesu oceny cyklu życia oraz opracowanie zbiorczej deklaracji środowiskowej na podstawie tej analizy.</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Analiza wrażliwości</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Analiza wrażliwości oceny cyklu życia musi obejmować następujące etapy:</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Wybór wskaźników kontroli.</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Identyfikacja wrażliwych parametrów: badanie podmiotów przekazujących dane w celu zidentyfikowania parametrów wejściowych, które w największym stopniu przyczyniają się do wyjaśnienia wartości wskaźników kontroli (wyniki oceny cyklu życia).</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Określenie zakresów zmienności wrażliwych parametrów (parametry graniczne i rozkład statystyczny).</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Parametryzowane symulacje oparte na etapach b i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Analiza wrażliwości może być iteracyjna. Wynikiem analizy wrażliwości musi być:</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Wykaz czynników, które wpływają na wyniki oceny cyklu życia (parametry wrażliwe) i ich dozwolone pola zmienności (wykaz ten jest polem ważności).</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b) dla każdego wskaźnika kontrolnego, prawdopodobny przedział zmienności (95% przedział ufności) wartości wskaźnika uzyskanych w wyniku symulacji parametrów.</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Etap 1: wybór wskaźników kontroli</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Wybór wskaźników kontroli musi być rozsądny. Mogą one być wybierane indywidualnie dla każdego przypadku spośród tych, o których mowa w art. 3 rozporządzenia. Ich wybór musi być uzasadniony. Należy przeanalizować co najmniej następujące wskaźniki:</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globalne ocieplenie;</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wykorzystanie nieodnawialnej energii pierwotnej, z wyłączeniem nieodnawialnych zasobów energii pierwotnej wykorzystywanych jako surowce;</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unieszkodliwiane odpady inne niż niebezpieczne.</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 2: identyfikacja wrażliwych parametrów</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Dla każdego wskaźnika kontroli należy przeprowadzić analizę wrażliwych parametrów. W tym celu proponuje się, aby w ramach podejścia początkowego skutki zostały podzielone według procesów uwzględnionych w cyklu życia. Analiza ta powinna opierać się na scenariuszu odniesienia opisanym w analizie wrażliwości.</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Zaleca się uwzględnienie wszystkich procesów, które w scenariuszu odniesienia przyczyniły się do pojawienia się ponad 5%. Należy następnie określić parametry modelu oceny cyklu życia (wprowadzanie lub opuszczanie procesu, parametr modelowania procesów wewnętrznych itp.), które zmieniają ten wkład. Są to parametry uważane za wrażliwe.</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koniec tej analizy osoba rejestrująca uzyska wykaz procesów, które w największym stopniu przyczyniają się do wskaźników kontroli w całym cyklu życia, oraz wykaz wrażliwych parametrów.</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 3: definicja zakresów zmienności wrażliwych parametrów</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 ten polega na określeniu zakresu zmienności każdego wrażliwego parametru. Zakres ten należy następnie zaproponować jako minimum w formie odstępów czasu. Jeżeli jest znany, można przewidzieć ustawę o rozkładzie parametru w określonym powyżej przedziale czasu.</w:t>
      </w:r>
      <w:r>
        <w:rPr>
          <w:rFonts w:ascii="Times New Roman" w:hAnsi="Times New Roman"/>
          <w:sz w:val="24"/>
        </w:rPr>
        <w:br/>
        <w:t>Po tym etapie każdy parametr wrażliwy jest powiązany z szeregiem zmian.</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 4: Obliczanie zmienności wskaźników</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 podstawie etapów 2 i 3 etap ten obejmuje zastosowanie odpowiedniej metody matematycznej w celu określenia zakresów zmienności wskaźników (wartości maksymalne, wartości średnie i wartości minimalne) przy poddaniu modelu oceny cyklu życia wahaniom wrażliwych parametrów.</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Wynikiem etapu 4 jest zbiór zakresów wartości przyjmowanych przez każdy ze wskaźników objętych analizą wrażliwości.</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Obliczanie zmienności wskaźników obejmuje co najmniej wrażliwe parametry odnoszące się do elementów, o których mowa w art. 9 niniejszego zarządzenia.</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Etapy 3 i 4 można wykonać za pomocą iteracji, aby dostosować zakres wrażliwych parametrów do wymaganych warunków jednorodności.</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Sprawozdanie z analizy wrażliwości</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Sprawozdanie zawiera pozycje odpowiadające czterem etapom analizy wrażliwości i wynikowi końcowemu analizy wrażliwości, w tym zakres ważności wspólnej deklaracji środowiskowej oraz zakresy zmienności wskaźników kontroli.</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Zadeklarowana analiza wrażliwości i wartości środowiskowe</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Wyniki warunku analizy wrażliwości, wartości środowiskowe podane we wspólnej deklaracji środowiskowej, jak określono w sekcji 9 niniejszego rozporządzenia.</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Jeżeli maksymalna wartość (lub maksymalna przy 95% ufności, jeżeli stosowana jest metoda statystyczna) zakresu zmienności każdego wskaźnika kontroli oddziaływania na środowisko jest</w:t>
      </w:r>
      <w:r>
        <w:rPr>
          <w:rFonts w:ascii="Times New Roman" w:hAnsi="Times New Roman"/>
          <w:sz w:val="24"/>
        </w:rPr>
        <w:t xml:space="preserve"> mniejsza lub równa średniej wartości wskaźnika pomnożonej przez wartość dopuszczalną (określoną w art. 9 niniejszego rozporządzenia)</w:t>
      </w:r>
      <w:r>
        <w:rPr>
          <w:rFonts w:ascii="Times New Roman" w:hAnsi="Times New Roman"/>
          <w:sz w:val="24"/>
          <w:shd w:val="clear" w:color="auto" w:fill="FFFFFF"/>
        </w:rPr>
        <w:t>, wówczas wartości deklarowanych wskaźników oddziaływania na środowisko oblicza się na podstawie średnich wartości wrażliwych parametrów.</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Jeśli nie, tzn. jeśli co najmniej jeden ze wskaźników kontroli oddziaływania na środowisko ma wartość maksymalną większą niż </w:t>
      </w:r>
      <w:r>
        <w:rPr>
          <w:rFonts w:ascii="Times New Roman" w:hAnsi="Times New Roman"/>
          <w:sz w:val="24"/>
        </w:rPr>
        <w:t xml:space="preserve"> niż średnia wartość wskaźnika pomnożona przez wartość dopuszczalną (określoną w art. 9 niniejszego rozporządzenia)</w:t>
      </w:r>
      <w:r>
        <w:rPr>
          <w:rFonts w:ascii="Times New Roman" w:hAnsi="Times New Roman"/>
          <w:sz w:val="24"/>
          <w:shd w:val="clear" w:color="auto" w:fill="FFFFFF"/>
        </w:rPr>
        <w:t>, wówczas należy określić górną granicę. Ta górna granica odpowiada wartości wskaźników uzyskanych w przypadku zastosowania maksymalnych wartości (lub maksymalnych z prawdopodobieństwem 95%, jeżeli stosuje się podejście statystyczne) wrażliwych parametrów.</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Dokładna identyfikacja produktów objętych deklaracją</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Aby ustalić, czy produkt może być objęty zbiorczą deklaracją środowiskową, należy ustalić, czy produkt jest podobny do standardowego produktu objętego ochroną oraz czy osoba rejestrująca ten produkt jest upoważniona do stosowania tej wspólnej deklaracji środowiskowej.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Identyfikacja produktu standardowego</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Produkt standardowy musi być właściwie określony i opisany, aby ułatwić uzgodnienie opisu produktu z opisem produktu standardowego. Opis produktu standardowego musi zawierać co najmniej następujące elementy:</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Lista głównych komponentów lub przeważających materiałów.</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b) Informacje o funkcjonalności lub poziomie wydajności.</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Identyfikacja ta musi być wystarczająca, aby szybko i jednoznacznie ustalić, czy dany produkt może być objęty deklaracją zbiorczą.</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Identyfikacja osób rejestrujących, które mogą korzystać ze zbiorczej deklaracji środowiskowej</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Ponieważ zbiorcza deklaracja środowiskowa jest własnością danej zbiorowości, która ponosi za nią odpowiedzialność, może ona zdecydować, że tylko niektóre osoby rejestrujące mogą z niej korzystać.</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Należy przedstawić wykaz zarejestrowanych podmiotów upoważnionych do stosowania zbiorczej deklaracji środowiskowej:</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albo w formie wyczerpującej listy nazw;</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lub w formie warunku członkostwa w organizacji zbiorowej (stowarzyszenie, związek zawodowy, sygnatariusze karty dobrych praktyk itp.). W takim przypadku lista członków tej społeczności musi być publicznie dostępna.</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Treść ram ważności</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Ramy ważności zawierają co najmniej:</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Identyfikację typowego produktu (obowiązkowe);</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Produkty objęte zbiorczą deklaracją środowiskową;</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Wskazanie osób rejestrujących, które mogą korzystać ze zbiorowej deklaracji środowiskowej;</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Sprawozdanie z badania wrażliwości obejmujące zakres ważności i dowody na to, że deklarowane wartości wskaźników są jednorodne.</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Stosowanie ram ważności</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Aby osoba rejestrująca mogła stosować wspólną deklarację środowiskową w odniesieniu do swojego produktu, musi przedstawić dowody:</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Czy jego produkt jest zgodny z „typowym produktem” objętym zbiorczą deklaracją środowiskową;</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Znajduje się w wykazie zarejestrowanych podmiotów upoważnionych do składania zbiorczej deklaracji środowiskowej;</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Że jest on zgodny z zakresem ważności danej zbiorczej deklaracji środowiskowej.</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4FEE" w14:textId="77777777" w:rsidR="001D2A47" w:rsidRDefault="001D2A47" w:rsidP="00F76954">
      <w:pPr>
        <w:spacing w:after="0" w:line="240" w:lineRule="auto"/>
      </w:pPr>
      <w:r>
        <w:separator/>
      </w:r>
    </w:p>
  </w:endnote>
  <w:endnote w:type="continuationSeparator" w:id="0">
    <w:p w14:paraId="548176C6" w14:textId="77777777" w:rsidR="001D2A47" w:rsidRDefault="001D2A47"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Strona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z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1879" w14:textId="77777777" w:rsidR="001D2A47" w:rsidRDefault="001D2A47" w:rsidP="00F76954">
      <w:pPr>
        <w:spacing w:after="0" w:line="240" w:lineRule="auto"/>
      </w:pPr>
      <w:r>
        <w:separator/>
      </w:r>
    </w:p>
  </w:footnote>
  <w:footnote w:type="continuationSeparator" w:id="0">
    <w:p w14:paraId="7F0232BD" w14:textId="77777777" w:rsidR="001D2A47" w:rsidRDefault="001D2A47"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016"/>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2A47"/>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25FF"/>
    <w:rsid w:val="00403856"/>
    <w:rsid w:val="0040413F"/>
    <w:rsid w:val="004105A8"/>
    <w:rsid w:val="00410AA4"/>
    <w:rsid w:val="00411B04"/>
    <w:rsid w:val="00414132"/>
    <w:rsid w:val="004141DF"/>
    <w:rsid w:val="00414876"/>
    <w:rsid w:val="00415DFD"/>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pl-PL"/>
    </w:rPr>
  </w:style>
  <w:style w:type="character" w:styleId="FootnoteReference">
    <w:name w:val="footnote reference"/>
    <w:uiPriority w:val="99"/>
    <w:semiHidden/>
    <w:rsid w:val="003D011E"/>
    <w:rPr>
      <w:noProof/>
      <w:position w:val="6"/>
      <w:sz w:val="18"/>
      <w:vertAlign w:val="baseline"/>
      <w:lang w:val="pl-PL"/>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pl-PL"/>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pl-PL"/>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pl-PL"/>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pl-PL"/>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pl-PL"/>
    </w:rPr>
  </w:style>
  <w:style w:type="character" w:styleId="PageNumber">
    <w:name w:val="page number"/>
    <w:uiPriority w:val="99"/>
    <w:rsid w:val="003D011E"/>
    <w:rPr>
      <w:noProof/>
      <w:lang w:val="pl-PL"/>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pl-PL"/>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7458</Words>
  <Characters>42513</Characters>
  <Application>Microsoft Office Word</Application>
  <DocSecurity>0</DocSecurity>
  <Lines>354</Lines>
  <Paragraphs>99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16</cp:revision>
  <dcterms:created xsi:type="dcterms:W3CDTF">2021-04-28T07:24:00Z</dcterms:created>
  <dcterms:modified xsi:type="dcterms:W3CDTF">2021-05-12T14:46:00Z</dcterms:modified>
</cp:coreProperties>
</file>