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70"/>
        <w:gridCol w:w="805"/>
        <w:gridCol w:w="1239"/>
      </w:tblGrid>
      <w:tr w:rsidR="005C2641" w:rsidRPr="00C32FE3" w14:paraId="06BA75C1" w14:textId="77777777" w:rsidTr="00590239">
        <w:trPr>
          <w:cantSplit/>
          <w:trHeight w:val="275"/>
        </w:trPr>
        <w:tc>
          <w:tcPr>
            <w:tcW w:w="3314" w:type="dxa"/>
            <w:gridSpan w:val="3"/>
          </w:tcPr>
          <w:p w14:paraId="0380FEC5" w14:textId="77777777" w:rsidR="005C2641" w:rsidRPr="00C32FE3" w:rsidRDefault="005C2641" w:rsidP="00C13834">
            <w:pPr>
              <w:pStyle w:val="SNREPUBLIQUE"/>
            </w:pPr>
            <w:r>
              <w:t>REPUBLICA FRANCEZĂ</w:t>
            </w:r>
          </w:p>
        </w:tc>
      </w:tr>
      <w:tr w:rsidR="005C2641" w:rsidRPr="00C32FE3" w14:paraId="60AB21EC" w14:textId="77777777" w:rsidTr="00590239">
        <w:trPr>
          <w:cantSplit/>
          <w:trHeight w:hRule="exact" w:val="108"/>
        </w:trPr>
        <w:tc>
          <w:tcPr>
            <w:tcW w:w="1270" w:type="dxa"/>
          </w:tcPr>
          <w:p w14:paraId="3A442AB4" w14:textId="77777777" w:rsidR="005C2641" w:rsidRPr="00C32FE3" w:rsidRDefault="005C2641" w:rsidP="00C13834"/>
        </w:tc>
        <w:tc>
          <w:tcPr>
            <w:tcW w:w="805" w:type="dxa"/>
            <w:tcBorders>
              <w:bottom w:val="single" w:sz="1" w:space="0" w:color="000000"/>
            </w:tcBorders>
          </w:tcPr>
          <w:p w14:paraId="64272111" w14:textId="77777777" w:rsidR="005C2641" w:rsidRPr="00C32FE3" w:rsidRDefault="005C2641" w:rsidP="00C13834"/>
        </w:tc>
        <w:tc>
          <w:tcPr>
            <w:tcW w:w="1239" w:type="dxa"/>
          </w:tcPr>
          <w:p w14:paraId="4C2C75AC" w14:textId="77777777" w:rsidR="005C2641" w:rsidRPr="00C32FE3" w:rsidRDefault="005C2641" w:rsidP="00C13834"/>
        </w:tc>
      </w:tr>
      <w:tr w:rsidR="005C2641" w:rsidRPr="00C32FE3" w14:paraId="61593BD7" w14:textId="77777777" w:rsidTr="00590239">
        <w:trPr>
          <w:cantSplit/>
          <w:trHeight w:val="775"/>
        </w:trPr>
        <w:tc>
          <w:tcPr>
            <w:tcW w:w="3314" w:type="dxa"/>
            <w:gridSpan w:val="3"/>
          </w:tcPr>
          <w:p w14:paraId="20413DCB" w14:textId="77777777" w:rsidR="005C2641" w:rsidRDefault="005C2641" w:rsidP="00C13834">
            <w:pPr>
              <w:pStyle w:val="SNTimbre"/>
            </w:pPr>
            <w:r>
              <w:t>Ministerul Tranziției Ecologice</w:t>
            </w:r>
          </w:p>
          <w:p w14:paraId="01EC4D2C" w14:textId="77777777" w:rsidR="005C2641" w:rsidRPr="00C32FE3" w:rsidRDefault="005C2641" w:rsidP="00C13834">
            <w:pPr>
              <w:pStyle w:val="SNTimbre"/>
            </w:pPr>
            <w:r>
              <w:t>Locuințe</w:t>
            </w:r>
          </w:p>
        </w:tc>
      </w:tr>
      <w:tr w:rsidR="005C2641" w:rsidRPr="00C32FE3" w14:paraId="22B0EA09" w14:textId="77777777" w:rsidTr="00590239">
        <w:trPr>
          <w:cantSplit/>
          <w:trHeight w:hRule="exact" w:val="218"/>
        </w:trPr>
        <w:tc>
          <w:tcPr>
            <w:tcW w:w="1270" w:type="dxa"/>
          </w:tcPr>
          <w:p w14:paraId="3759A36A" w14:textId="77777777" w:rsidR="005C2641" w:rsidRPr="00C32FE3" w:rsidRDefault="005C2641" w:rsidP="00C13834"/>
        </w:tc>
        <w:tc>
          <w:tcPr>
            <w:tcW w:w="805" w:type="dxa"/>
            <w:tcBorders>
              <w:bottom w:val="single" w:sz="1" w:space="0" w:color="000000"/>
            </w:tcBorders>
          </w:tcPr>
          <w:p w14:paraId="04DEF11A" w14:textId="77777777" w:rsidR="005C2641" w:rsidRPr="00C32FE3" w:rsidRDefault="005C2641" w:rsidP="00C13834"/>
        </w:tc>
        <w:tc>
          <w:tcPr>
            <w:tcW w:w="1239" w:type="dxa"/>
          </w:tcPr>
          <w:p w14:paraId="77D432E1" w14:textId="77777777" w:rsidR="005C2641" w:rsidRPr="00C32FE3" w:rsidRDefault="005C2641" w:rsidP="00C13834"/>
        </w:tc>
      </w:tr>
      <w:tr w:rsidR="005C2641" w:rsidRPr="00C32FE3" w14:paraId="3B71A753" w14:textId="77777777" w:rsidTr="00590239">
        <w:trPr>
          <w:cantSplit/>
          <w:trHeight w:hRule="exact" w:val="218"/>
        </w:trPr>
        <w:tc>
          <w:tcPr>
            <w:tcW w:w="1270" w:type="dxa"/>
          </w:tcPr>
          <w:p w14:paraId="780F1E54" w14:textId="77777777" w:rsidR="005C2641" w:rsidRPr="00C32FE3" w:rsidRDefault="005C2641" w:rsidP="00C13834"/>
        </w:tc>
        <w:tc>
          <w:tcPr>
            <w:tcW w:w="805" w:type="dxa"/>
          </w:tcPr>
          <w:p w14:paraId="770B6C28" w14:textId="77777777" w:rsidR="005C2641" w:rsidRPr="00C32FE3" w:rsidRDefault="005C2641" w:rsidP="00C13834"/>
        </w:tc>
        <w:tc>
          <w:tcPr>
            <w:tcW w:w="123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Decretul din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privind declarația de mediu a produselor destinate utilizării în lucrări de construcții și a declarației de mediu a produselor utilizate pentru calculul performanței de mediu a clădirilor</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Categorii de public vizate:</w:t>
      </w:r>
      <w:r>
        <w:rPr>
          <w:rFonts w:ascii="Times New Roman" w:hAnsi="Times New Roman"/>
          <w:i/>
          <w:sz w:val="24"/>
        </w:rPr>
        <w:t xml:space="preserve"> declaranți interesați de produsele pentru construcții și decorative, precum și echipamente electrice, electronice și de inginerie climatică utilizate pentru calculul performanței de mediu a clădirilor.</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Obiect:</w:t>
      </w:r>
      <w:r>
        <w:rPr>
          <w:rFonts w:ascii="Times New Roman" w:hAnsi="Times New Roman"/>
          <w:i/>
          <w:sz w:val="24"/>
        </w:rPr>
        <w:t xml:space="preserve"> specificarea modalităților de aplicare a articolelor R. 412-49 la R. 412-57 din Codul consumatorilor și a articolelor R. 111-20-24 la R. 111-20-30 din Codul construcțiilor și locuințelor.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Intrare in vigoare:</w:t>
      </w:r>
      <w:r>
        <w:rPr>
          <w:rFonts w:ascii="Times New Roman" w:hAnsi="Times New Roman"/>
          <w:i/>
          <w:sz w:val="24"/>
        </w:rPr>
        <w:t xml:space="preserve"> textul intră in vigoare la 1 ianuarie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Notă:</w:t>
      </w:r>
      <w:r>
        <w:rPr>
          <w:rFonts w:ascii="Times New Roman" w:hAnsi="Times New Roman"/>
          <w:i/>
          <w:sz w:val="24"/>
        </w:rPr>
        <w:t xml:space="preserve"> scopul decretului este de a specifica modalitățile de aplicare a articolelor R. 412-49 la R. 412-57 din Codul consumatorilor si a articolelor R. 111-20-24 la R. 111-20-30 din Codul construcțiilor și locuințelor.</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Decretul stabilește:</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conținutul declarațiilor de mediu ale produselor pentru construcții și decorative și ale echipamentelor electrice, electronice și de inginerie climatică destinate utilizării în lucrări de construcții și al declarațiilor de mediu ale produselor pentru construcții și decorative, precum și ale echipamentelor electrice, electronice și de inginerie climatică utilizate pentru calculul performanțelor de mediu ale clădirilor;</w:t>
      </w:r>
    </w:p>
    <w:p w14:paraId="25B1EABC" w14:textId="0194D0FD" w:rsidR="00770B24" w:rsidRPr="00590239" w:rsidRDefault="00E04C22" w:rsidP="00590239">
      <w:pPr>
        <w:pStyle w:val="ListParagraph"/>
        <w:numPr>
          <w:ilvl w:val="0"/>
          <w:numId w:val="76"/>
        </w:numPr>
        <w:jc w:val="both"/>
        <w:rPr>
          <w:rFonts w:ascii="Times New Roman" w:hAnsi="Times New Roman" w:cs="Times New Roman"/>
          <w:i/>
          <w:sz w:val="24"/>
          <w:szCs w:val="24"/>
        </w:rPr>
      </w:pPr>
      <w:r w:rsidRPr="00590239">
        <w:rPr>
          <w:rFonts w:ascii="Times New Roman" w:hAnsi="Times New Roman"/>
          <w:i/>
          <w:sz w:val="24"/>
        </w:rPr>
        <w:t>metodologia de evaluare și calcul al informațiilor conținute în declarația de mediu;</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toate dovezile justificative ale informațiilor conținute în declarația de mediu care trebuie puse la dispoziția programului de declarații de mediu și a autorităților de control sau a reprezentanților acestora;</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adresa bazei (bazelor) de date în care declarațiile de mediu menționate în R. 111-20-25 din Codul construcțiilor și locuințelor sunt puse la dispoziția publicului;</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condițiile de elaborare a declarațiilor de mediu colective privind produsele pentru construcții sau decorative sau echipamentele de către mai mulți declaranți;</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condițiile de elaborare a declarațiilor parametrizabile referitoare la produsele pentru construcții sau decorative sau echipamente.</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lastRenderedPageBreak/>
        <w:t>Referințe:</w:t>
      </w:r>
      <w:r>
        <w:rPr>
          <w:rFonts w:ascii="Times New Roman" w:hAnsi="Times New Roman"/>
          <w:i/>
          <w:sz w:val="24"/>
        </w:rPr>
        <w:t xml:space="preserve"> textele create sau modificate prin prezentul decret pot fi consultate, în formularea care rezultă din această modificare, pe site-ul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Ministrul Tranziției Ecologice, Ministrul delegat de pe lângă Ministrul Tranziției Ecologice, responsabil cu locuințele,</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(text codificat), în special Notificarea nr. </w:t>
      </w:r>
      <w:r>
        <w:rPr>
          <w:rFonts w:ascii="Times New Roman" w:hAnsi="Times New Roman"/>
          <w:sz w:val="24"/>
          <w:highlight w:val="yellow"/>
          <w:shd w:val="clear" w:color="auto" w:fill="FFFFFF"/>
        </w:rPr>
        <w:t>an/XXX/F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Având în vedere Codul consumatorilor, în special articolele L. 412-1 și R. 412-49-R.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Având în vedere Codul construcțiilor și locuințelor, în special articolele L. 111-9-2 și R. 111-20-24-R.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Având în vedere observațiile formulate în timpul consultării publice realizate în </w:t>
      </w:r>
      <w:r>
        <w:rPr>
          <w:rFonts w:ascii="Times New Roman" w:hAnsi="Times New Roman"/>
          <w:sz w:val="24"/>
          <w:highlight w:val="yellow"/>
        </w:rPr>
        <w:t xml:space="preserve">[...] </w:t>
      </w:r>
      <w:r>
        <w:rPr>
          <w:rFonts w:ascii="Times New Roman" w:hAnsi="Times New Roman"/>
          <w:sz w:val="24"/>
        </w:rPr>
        <w:t xml:space="preserve">la </w:t>
      </w:r>
      <w:r>
        <w:rPr>
          <w:rFonts w:ascii="Times New Roman" w:hAnsi="Times New Roman"/>
          <w:sz w:val="24"/>
          <w:highlight w:val="yellow"/>
        </w:rPr>
        <w:t>[...]</w:t>
      </w:r>
      <w:r>
        <w:rPr>
          <w:rFonts w:ascii="Times New Roman" w:hAnsi="Times New Roman"/>
          <w:sz w:val="24"/>
        </w:rPr>
        <w:t>, în conformitate cu articolul L. 120-1 din Codul mediului;</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Având în vedere avizul Consiliului Superior al construcțiilor și eficienței energetice, din 13 aprilie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Prin prezentul, hotărăsc următoarele:</w:t>
      </w:r>
    </w:p>
    <w:p w14:paraId="36B5C6AB" w14:textId="5A8F9966" w:rsidR="008F5FB3" w:rsidRPr="005D260E" w:rsidRDefault="008F5FB3" w:rsidP="007F6637">
      <w:pPr>
        <w:pStyle w:val="Titre2FDES"/>
      </w:pPr>
      <w:r>
        <w:t>Articolul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(Definiții)</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În sensul prezentului decret, se aplică următoarele definiții: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„indicator” înseamnă o valoare cuantificabilă legată de aspectele de mediu; </w:t>
      </w:r>
    </w:p>
    <w:p w14:paraId="7CB46E4F" w14:textId="4E4C0FD1" w:rsidR="008F5FB3" w:rsidRPr="005D260E" w:rsidRDefault="00CF19F7" w:rsidP="00CD009F">
      <w:pPr>
        <w:pStyle w:val="NormalWeb"/>
        <w:jc w:val="both"/>
      </w:pPr>
      <w:r>
        <w:t xml:space="preserve">Termenul „declarant” are sensul de „responsabil pentru introducerea pe piață” conform articolului R. 412-49 din Codul consumatorilor și sensul de „declarant” conform articolului R. 111-20-24 din Codul construcțiilor și locuințelor;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„unitate funcțională” înseamnă performanța cuantificată a unui sistem de produse destinate utilizării ca unitate de referință într-o analiză a ciclului de viață;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„unitate declarată” înseamnă cantitatea de echipamente, dacă este cazul, a unui produs pentru construcții sau decorativ, destinată utilizării ca unitate de referință într-o analiză a ciclului de viață în plus față de unitatea funcțională;</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„durata de viață de referință a produsului pentru construcții sau decorativ sau a echipamentului” înseamnă durata de viață utilă care poate fi preconizată pentru un produs pentru construcții sau decorativ sau un echipament în conformitate cu un set de condiții de referință pentru utilizare și care poate fi utilizată ca bază pentru estimarea duratei de viață în alte condiții de utilizare;</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lastRenderedPageBreak/>
        <w:t>„produs suplimentar” înseamnă un termen general pentru orice produs care trebuie neapărat asociat produsului pentru construcții, produsului decorativ sau echipamentului principal în fiecare etapă de punere în aplicare și de viață în practică;</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„declarație parametrizabilă” înseamnă declarația de mediu cu norme de adaptare a informațiilor menționate în aceasta pentru a corespunde unui anumit produs și unui instrument informatic în vederea aplicării acestor norme;</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În articolele următoare, termenul „produs” înseamnă „produse pentru construcții”, „produse decorative” și „echipamente electrice, electronice și de inginerie climatică”, astfel cum sunt definite la articolul R. 111-20-24 din Codul construcțiilor și locuințelor.</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Articolul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(Domeniul de aplicare)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Prevederile prezentului decret se aplică produselor menționate la articolul R. 412-50 din Codul consumatorilor și la articolul R. 111-20-24 din Codul construcțiilor și locuințelor.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Articolul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(Conținutul declarației de mediu)</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Declarația de mediu menționată la articolul R. 412-51 din Codul consumatorilor și la articolul R. 111-20-25 din Codul construcțiilor și locuințelor conține următoarele informații: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Valorile, pentru etapa de producție, etapa procesului de construcție, etapa de utilizare, etapa de scoatere din uz și suma acestor etape, ale următorilor indicatori: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descrierea impactului asupra mediului: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încălzirea globală (emisii de gaze cu efect de seră);</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epuizarea stratului de ozon;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acidificarea solului și a apei;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eutrofizare;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formarea de ozon fotochimic;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epuizarea resurselor abiotice – elemente;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epuizarea resurselor abiotice – combustibili fosili;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descrierea utilizării resurselor: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energiei primare din surse regenerabile, cu excepția resurselor de energie primară regenerabile utilizate ca materii prime;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resurselor de energie primară regenerabile utilizate ca materii prime;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totală a resurselor de energie primară regenerabile (energie primară și resurse de energie primară utilizate ca materii prime);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energiei primare neregenerabile, cu excepția resurselor de energie primară neregenerabile utilizate ca materii prime;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resurselor de energie primară neregenerabile utilizate ca materii prime;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totală a resurselor de energie primară neregenerabile (energie primară și resurse de energie primară utilizate ca materii prime);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materiilor secundare;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combustibililor secundari regenerabili;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combustibililor secundari neregenerabili;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utilizarea netă a apei dulci;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descrierea categoriilor de deșeuri: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deșeuri periculoase eliminate;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deșeuri nepericuloase eliminate;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deșeuri radioactive eliminate;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descrierea fluxurilor de ieșire: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componente destinate reutilizării;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 destinate reciclării;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 destinate recuperării energiei;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energie furnizată în exterior;</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Începând cu 1 ianuarie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utilizarea materialelor din resurse regenerabile încorporate în produs, exprimată printr-un indicator al cantității de carbon emise de atmosfera stocată în produsul pentru construcții sau decorativ;</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valorile indicatorilor enumerați la punctul 1 pentru fiecare subetapă a etapei de utilizare, și anume următoarele subetape: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utilizarea sau aplicarea, cu excepția cerințelor energetice și de apă din etapa de exploatare a clădirii;</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lastRenderedPageBreak/>
        <w:t>întreținere;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reparare;</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înlocuire;</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reabilitare;</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utilizarea energiei în timpul utilizării;</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utilizarea apei în timpul utilizării;</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în cazul unei declarații de mediu vizate de cerințele articolului 9 din prezentul decret, intervalele de variație (valori maxime și minime) ale indicatorilor de control definiți la articolul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Pentru declarațiile de mediu verificate începând cu 1 octombrie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utilizarea materialelor din resurse regenerabile încorporate în produs, exprimată printr-un indicator al cantității de carbon emise de atmosfera stocată în echipament;</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valorile indicatorilor privind beneficiile și cheltuielile aferente valorificării la sfârșitul ciclului de viață;</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Începând cu 1 ianuarie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valorile indicatorilor privind beneficiile și cheltuielile aferente valorificării la sfârșitul ciclului de viață;</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Unitatea funcțională sau unitatea declarată a produsului;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Durata de viață de referință a produsului;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Descrierea produselor care constituie unitatea funcțională sau unitatea declarată (cantitatea de produs principal, cantitatea de ambalaj, cantitatea de produse complementare referitoare la punerea în aplicare sau la durata de viață în practică);</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Domeniul de aplicare al produsului;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Următoarele informații privind produsul care face obiectul declarației de mediu: grupa, descrierea sau denumirea (denumirile) comerciale, numele sau denumirea (denumirile) declarantului (declaranților);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Data declarației de mediu;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Certificatul de verificare și datele de contact ale auditorului care a efectuat verificarea prin terța parte independentă menționată la articolul R. 412-55 din Codul consumatorilor și la articolul R. 111-20-27 din Codul construcțiilor și locuințelor;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Detaliile declarantului;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Adresa site-ului unde aceste informații sunt disponibile gratuit.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Articolul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(Punerea la dispoziție de elemente justificative de către declarant)</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Declarantul păstrează la dispoziția programului de declarații de mediu și a autorităților administrative responsabile cu controalele sau reprezentanții acestora, toate elementele sau </w:t>
      </w:r>
      <w:r>
        <w:rPr>
          <w:rFonts w:ascii="Times New Roman" w:hAnsi="Times New Roman"/>
          <w:sz w:val="24"/>
        </w:rPr>
        <w:lastRenderedPageBreak/>
        <w:t xml:space="preserve">datele de contact ale persoanelor fizice sau juridice care dețin aceste elemente, pentru a justifica informațiile conținute în declarația de mediu, în special: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originea materiilor prime, materialelor și componentelor produsului;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identificarea intrărilor care nu sunt incluse în inventarul ciclului de viață în conformitate cu regula de separare;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masa totală a intrărilor care nu sunt incluse în inventarul ciclului de viață în conformitate cu regula de separare;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rezultatele calculelor de inventar;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dovezi justificative privind durata de viață de referință a produsului;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în cazul în care trebuie utilizate date generice care provin din baze de date publice sau private, documentația referitoare la reprezentativitatea tehnologică, geografică și temporală a datelor generice utilizate, referințele bazelor de date din care provin și referințele modulelor de date utilizate;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scenariile pe care se bazează inventarul ciclului de viață;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locul (locurile) de producție care fac(e) obiectul declarației de mediu;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producția fiecărui loc, exprimată în unitatea de cantitate definită în unitatea funcțională;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în cazul în care se utilizează o metodă de eșantionare, elementele care justifică faptul că eșantionul utilizat este reprezentativ, în special din punct de vedere geografic, temporal și tehnologic, pentru producția produsului;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elementele constitutive ale cadrului de valabilitate a declarațiilor de mediu vizate de cerințele de la articolul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elementele constitutive ale declarației parametrizabile menționate la articolul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Articolul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(Unități)</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Formatele unităților funcționale pentru fiecare categorie de produse pentru construcții sau decorative sunt definite în anexa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Formatele unităților sau unităților funcționale declarate pentru echipamente sunt definite în anexa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Articolul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(Metode de evaluare și de calcul)</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Metodele de evaluare și de calcul al informațiilor menționate la articolul 3, în special al indicatorilor, sunt supuse următoarelor condiții:</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acestea nu au ca rezultat omiterea proceselor care reprezintă un total de peste 5 % din valoarea fiecăreia dintre informațiile menționate;</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acestea nu conduc la acordarea beneficiilor aduse de alte produse produsului care face obiectul declarației de mediu, în calculul informațiilor menționate, cu excepția indicatorilor care vizează profiturile și cheltuielile asociate valorificării la sfârșitul ciclului de viață;</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respectă standardul NF EN 15804 + A1: 2014-04 sau standardul </w:t>
      </w:r>
      <w:r>
        <w:rPr>
          <w:rFonts w:ascii="Times New Roman" w:hAnsi="Times New Roman"/>
          <w:sz w:val="24"/>
          <w:shd w:val="clear" w:color="auto" w:fill="FFFFFF"/>
        </w:rPr>
        <w:t>XP C08-100-1: 2016-12 sau standardul EN 50693: 2019-08 sau orice standard echivalent;</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acestea respectă metoda de calcul a evaluării profitului și a cheltuielilor asociate valorificării la sfârșitul ciclului de viață, astfel cum este definită în anexa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În plus, pentru declarațiile de mediu verificate începând cu 1 octombrie 2022, în cazul în care declarația de mediu acoperă diferite modalități de instalare a produsului care face obiectul acesteia, metodele de evaluare și de calcul al informațiilor menționate respectă următoarele norme:</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pentru fiecare dintre aceste moduri de instalare sunt evaluați următorii indicatori de control: </w:t>
      </w:r>
      <w:r>
        <w:rPr>
          <w:rFonts w:ascii="Times New Roman" w:hAnsi="Times New Roman"/>
          <w:snapToGrid w:val="0"/>
          <w:sz w:val="24"/>
        </w:rPr>
        <w:t>încălzirea climatică totală, utilizarea energiei primare neregenerabile totale, deșeurile nepericuloase eliminate;</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pentru fiecare dintre acești indicatori de control, valoarea maximă obținută pentru suma etapelor menționate la articolul 3 se compară cu media valorilor obținute (și anume impactul mediu al diferitelor moduri de instalare). Dacă valoarea maximă pentru unul dintre acești indicatori este mai mare de 1,1 ori decât valoarea medie, atunci valoarea maximă (și anume, impactul maxim între diferitele moduri de instalare) trebuie raportată pentru fiecare dintre indicatorii enumerați în declarația de mediu. În caz contrar, valoarea medie poate fi raportată pentru fiecare indicator.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Articolul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[Înscrierea în baza (bazele) de date]</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Declarantul trebuie să prezinte declarația de mediu verificată în baza (bazele) de date indicată (indicate) în acordul semnat de ministrul responsabil cu construcțiile și persoana juridică care reprezintă programul de declarații de mediu.</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Adresa bazei de date sau adresele bazelor de date sunt disponibile pe site-ul internet al ministrului responsabil cu construcțiile.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Articolul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(Actualizarea declarației de mediu)</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Declarația de mediu se actualizează cu fiecare modificare semnificativă a produsului, atunci când acest lucru este necesar pentru a reflecta evoluțiile tehnologice sau alte circumstanțe care pot afecta conținutul sau acuratețea declarației de mediu și cel puțin o dată la cinci ani.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Articolul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(Datele de mediu colective)</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xml:space="preserve">Declarația de mediu se poate baza pe o declarație colectivă de mediu a unor produse similare provenind de la mai mulți declaranți.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Această declarație de mediu colectivă îndeplinește următoarele condiții: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referă la un „produs standard”;</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stabilește în condițiile menționate la articolele precedente;</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Trebuie asigurată omogenitatea parametrilor care influențează semnificativ valoarea fiecărui indicator; în acest scop, declarația de mediu colectivă conține un cadru de valabilitate, astfel cum este definit în anexa IV, care colectează următoarele informații:</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identificarea parametrilor influenți, precizând dacă sunt completați cu date generice sau specifice;</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perioadele de valabilitate ale acestor parametri.</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Declarantul care a depus declarația de mediu colectivă este responsabil pentru informațiile pe care le conține, inclusiv o listă a produselor în cauză și condițiile în care produsele pot fi legate de aceasta, dacă este necesar.</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Declaranții care înregistrează produsele care fac obiectul acestei declarații de mediu colective îndeplinesc următoarele condiții: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sunt responsabili pentru informațiile pe care le transmit declarantului menționat mai sus;</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respectă cadrul de valabilitate al declarației de mediu colective;</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trebuie să prezinte un certificat care să indice conformitatea cu cadrul de valabilitate al declarației de mediu colective;</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păstrează la dispoziția autorităților de control elementele justificative privind conformitatea cu cadrul de valabilitate.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Verificarea de către o terță parte independentă menționată la articolul R. 412-55 din Codul consumatorilor și la articolul R. 111-20-27 din Codul construcțiilor și locuințelor pentru produsele anexate la declarația de mediu colectivă constă în verificarea de către o terță parte independentă a declarației de mediu colective.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Indicatorii de control care trebuie luați în considerare sunt cel puțin:</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încălzirea climatică totală;</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utilizarea energiei primare neregenerabile totale;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deșeuri nepericuloase eliminate.</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Declarațiile de mediu colective trebuie să îndeplinească următoarele cerințe:</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lastRenderedPageBreak/>
        <w:t>în cazul în care valoarea maximă a fiecărui indicator de control, obținută pentru suma etapelor menționate la articolul 3 și prin calculul variabilității descrise în anexa IV este mai mică sau egală cu valoarea medie a indicatorului înmulțită cu o valoare-limită, atunci valorile indicatorilor pot fi calculate cu valorile medii ale parametrilor sensibili. În caz contrar, pragul superior trebuie declarat (valoarea maximă pe care indicatorul o poate atinge).</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Pentru declarațiile de mediu colective efectuate înainte de 1 octombrie 2022, valoarea-limită menționată mai sus este „1,4”, iar calculul variabilității menționate mai sus trebuie să acopere cel puțin parametrii sensibili referitori la:</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compoziția produsului: cantitatea și tipul materialelor;</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cantitățile de ambalaje;</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procesele de fabricație, cu excepția extracției și prelucrării materiilor prime (etapele A2 și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Pentru declarațiile de mediu colective efectuate începând de la 1 octombrie 2022, valoarea-limită menționată mai sus este „1,3”, iar calculul variabilității menționate mai sus trebuie să acopere cel puțin parametrii sensibili referitori la:</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compoziția produsului: cantitatea și tipul materialelor;</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cantitățile de ambalaje;</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procesele de fabricație, cu excepția extracției și prelucrării materiilor prime (etapele A2 și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transportul până la șantier (etapa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Articolul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(Intervalul de date privind mediul)</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Declarația de mediu se poate baza pe produse similare provenite de la același declarant. Aceste declarații de mediu trebuie să îndeplinească cerințele pentru declarațiile de mediu colective prevăzute la articolul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Articolul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(Datele de mediu parametrizabile)</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Declarația de mediu se poate baza pe o declarație parametrizabilă.</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Această declarație parametrizabilă îndeplinește următoarele condiții: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referă la un „produs standard”;</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stabilește în condițiile menționate la articolele precedente;</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acesta conține un set de norme de calcul pentru adaptarea, pe baza parametrilor modificabili, a informațiilor menționate în acesta pentru a corespunde unui produs similar cu produsul standard, însă ale cărui dimensiuni, compoziție sau anumite procese ale ciclului de viață diferă;</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valoarea parametrilor modificabili menționați mai sus trebuie să poată fi verificată la livrarea unei clădiri;</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acesta conține un cadru de validitate care definește valorile care pot fi preluate de parametrii modificabili menționați mai sus și caracteristicile care trebuie îndeplinite de produsul similar menționat mai sus.</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Orice declarație parametrizabilă verificată începând de la 1 octombrie 2022 este însoțită de un instrument de calcul informatic pentru aplicarea normelor de calcul menționate mai sus și pentru exportul informațiilor prevăzute la articolul 3, împreună cu lista parametrilor modificabili menționați mai sus și a valorilor acestora. Toate aceste informații sunt exportate sub forma unui fișier informatic în conformitate cu formatul definit pe site-ul web al ministerului responsabil cu construcțiile.</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Verificarea de către o terță parte independentă menționată la articolul R. 412-55 din Codul consumatorilor și la articolul R. 111-20-27 din Codul construcțiilor și locuințelor acoperă, de asemenea, în cazul unei declarații parametrizabile, normele de calcul menționate la prezentul articol și instrumentul de calcul informatic menționat la alineatul precedent.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Articolul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(Certificarea)</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Se presupune că certificarea caracteristicilor de mediu menționate la articolul R. 412-53 din Codul consumatorilor este conformă dacă ia în considerare toate cerințele standardului NF EN ISO 14024: 2018-03. Această certificare a produselor pentru construcții sau decorative sau a echipamentelor este emisă de o organizație acreditată în acest scop de Comitetul francez de acreditare (COFRAC) sau de un alt organism de acreditare semnatar al acordurilor multilaterale de recunoaștere reciprocă.</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Acest articol nu se aplică declarațiilor de mediu utilizate la calculul performanței de mediu a clădirilor.</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Articolul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Decretul din 23 decembrie 2013 privind declarația de mediu a produselor pentru construcții și decorative destinate utilizării în lucrări de construcție se abrogă.</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Ordinul din 31 august 2015 privind declarația de mediu a echipamentelor electrice, electronice și de inginerie climatică destinate lucrărilor de construcții se abrogă.</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lastRenderedPageBreak/>
        <w:t>Articolul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Directorul Locuințelor, Dezvoltării Urbane și Peisajelor este responsabil de punerea în aplicare a prezentului decret, care va fi publicat în </w:t>
      </w:r>
      <w:r>
        <w:rPr>
          <w:rFonts w:ascii="Times New Roman" w:hAnsi="Times New Roman"/>
          <w:i/>
          <w:iCs/>
          <w:sz w:val="24"/>
        </w:rPr>
        <w:t>Jurnalul Oficial</w:t>
      </w:r>
      <w:r>
        <w:rPr>
          <w:rFonts w:ascii="Times New Roman" w:hAnsi="Times New Roman"/>
          <w:sz w:val="24"/>
        </w:rPr>
        <w:t xml:space="preserve"> al Republicii Franceze.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Ministrul Tranziției Ecologice, Ministrul delegat de pe lângă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Ministrul Tranziției Ecologice</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Pentru și în numele ministrului: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Directorul Locuințelor, Dezvoltării Urbane și Peisajelor,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Ministrul Tranziției Ecologice,</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Pentru și în numele ministrului:</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Directorul Locuințelor, Dezvoltării Urbane și Peisajelor,</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573D8B12" w14:textId="77777777" w:rsidR="00B1777D" w:rsidRDefault="00B1777D">
      <w:pPr>
        <w:rPr>
          <w:rFonts w:ascii="Times New Roman" w:hAnsi="Times New Roman"/>
          <w:b/>
          <w:sz w:val="24"/>
        </w:rPr>
      </w:pPr>
      <w:r>
        <w:rPr>
          <w:rFonts w:ascii="Times New Roman" w:hAnsi="Times New Roman"/>
          <w:b/>
          <w:sz w:val="24"/>
        </w:rPr>
        <w:br w:type="page"/>
      </w:r>
    </w:p>
    <w:p w14:paraId="4A1A9D13" w14:textId="31F320C9"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Anexe</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Anexa I</w:t>
      </w:r>
    </w:p>
    <w:p w14:paraId="6761F1F1" w14:textId="57464D42" w:rsidR="001308A1" w:rsidRPr="005D260E" w:rsidRDefault="00C51AA3" w:rsidP="00F76954">
      <w:pPr>
        <w:pStyle w:val="Titre2FDES"/>
        <w:jc w:val="left"/>
      </w:pPr>
      <w:r>
        <w:t>Formatele unităților funcționale pentru fiecare categorie de produse pentru construcții sau decorative.</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FUNCȚIE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FORMATUL UNITĂȚII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funcțional exprimat în unități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ale sistemului internațional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Drumuri, rețele diverse (inclusiv rețele interne)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Bazine și rezervoare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 unitate de volum dat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Rețele de drenaj și canalizare (ape pluviale și ape uzate)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mediu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Rețele de alimentare cu apă (interior și exterior)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Rețelele de alimentare cu gaz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Sistemele de drenaj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Drumuri și îmbrăcăminți exterioare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îmbrăcăminte pentru o utilizare dată (terasă externă, drumuri cu trafic redus, parcare etc.)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Garduri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garduri</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Canale/canalizări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Structură, zidărie, lucrări majore, șarpantă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Tuburi de fum și coșuri de fum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conductă de secțiune interioară dată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Șape/șape flotante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pentru o grosime dată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Șarpante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de suprafață acoperită sau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Contravântuiri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contravântuire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Dale și dale prefabricate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Elemente portante orizontale (grinzi, bare, podini, plăci cu goluri interioare, grinzi orizontale)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element portant (a se specifica suprafața de susținere și secțiunea) sau m² (pentru elementul de suprafață)</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Elemente portante verticale (stâlpi/coloane/piloni)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element (a se preciza secțiunea)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Scări (interioare și exterioare)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 unitate pentru o înălțime a elevației date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Fundații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Componente mici de zidărie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 se specifica rezistența termică)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Pardoseli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pardoseală (a se preciza sarcina suportată)</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Pereți (elemente arhitecturale)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(a se specifica grosimea)</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Fațade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Acoperire prin placare (îmbrăcăminte, căptușeală, parament)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fațadă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Fațade cortină și lucarne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fațadă (a se preciza procentul de suprafață opacă)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Suprafață externă a fațadelor (inclusiv sisteme compozite de izolare termică externă)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fațadă (a se specifica rezistența termică, dacă este cazul)</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Acoperișuri/etanșeitate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Elemente mari de acoperiș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acoperiș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Elemente mici de acoperiș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acoperiș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Produse de etanșare și impermeabilizare pentru pereții îngropați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acoperiș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Produse pentru etanșarea acoperișurilor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acoperiș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Elemente de acoperișuri verzi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acoperire (a se preciza tipul de vegetație susținută și caracteristicile termice, dacă este cazul)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Tâmplărie interioară și exterioară, închideri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Ferestre, ferestre-uși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tâmplărie (suprafața deschisă înainte de montare) (a se preciza valoarea U, factorul solar, indicele apă aer vânt și transmisia luminii)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Balustrade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balustrade</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Uși (interioare, exterioare, portal etc.) </w:t>
            </w:r>
          </w:p>
          <w:p w14:paraId="49074EDD" w14:textId="1FC62C2F" w:rsidR="00F301F5" w:rsidRPr="00B1777D" w:rsidRDefault="00F301F5" w:rsidP="00F301F5">
            <w:pPr>
              <w:widowControl w:val="0"/>
              <w:autoSpaceDE w:val="0"/>
              <w:autoSpaceDN w:val="0"/>
              <w:adjustRightInd w:val="0"/>
              <w:spacing w:after="0" w:line="240" w:lineRule="auto"/>
              <w:rPr>
                <w:rFonts w:ascii="Times New Roman" w:hAnsi="Times New Roman" w:cs="Times New Roman"/>
                <w:sz w:val="24"/>
                <w:szCs w:val="24"/>
                <w:lang w:val="sv-SE"/>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(suprafața deschisă înainte de instalare)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Obloane, jaluzele, storuri, copertine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suprafață opacă/protejată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Lucarne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tâmplărie (suprafața deschisă înainte de montare) (a se preciza valoarea U, factorul solar, indicele apă aer vânt și transmisia luminii)</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Izolație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structuri chesonate, panouri de acoperiș</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Sisteme de căptușeală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Izolație suplimentară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Plăci tubulare, panouri izolante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Izolatori termici și acustici ai peretelui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și acustică)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Izolatoare termice și acustice pentru poduri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și acustică)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Izolare termică și fonică, în vrac</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și acustică)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Izolatoare termice si fonice pentru terase de acoperiș</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(specificați rezistența termică și acustică)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Izolație termică și fonică sub șapă</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 și acustică)</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Izolație distribuită neportantă</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izolație (a se specifica rezistența </w:t>
            </w:r>
            <w:r>
              <w:rPr>
                <w:rFonts w:ascii="Times New Roman" w:hAnsi="Times New Roman"/>
                <w:sz w:val="24"/>
              </w:rPr>
              <w:lastRenderedPageBreak/>
              <w:t>termică și acustică, dacă este cazul)</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Izolatoare termice și fonice pentru pereți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 și acustică)</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Izolatoare de sunet pentru pereți despărțitori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 și acustică)</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Izolare termică și fonică sub dale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 și acustică)</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Izolație sub dalaj și radier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izolație (specificați rezistența termică și acustică)</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Compartimentare, plafoane suspendate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Compartimentare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compartimentare (a se specifica o performanță acustică, dacă este cazul)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Plafoane suspendate, plafoane tapisate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plafon suspendat (a se specifica performanța acustică)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Îmbrăcăminți de pardoseală și de pereți, vopsele, produse decorative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Vopsele, coloranți și lacuri, vopsele (fără saturatori)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suprafață acoperită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Plinte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plinte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Îmbrăcăminți pentru pereți și plafoane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îmbrăcăminte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Îmbrăcăminți de pardoseli dure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îmbrăcăminte (a se preciza clasa UPEC de utilizare sau clasificarea rezistenței la uzură și perforare, comportamentul apei și rezistența la agenți chimici sau echivalent)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Îmbrăcăminți de pardoseli flexibile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îmbrăcăminte (a se preciza clasa UPEC de utilizare sau clasificarea rezistenței la uzură și perforare, comportamentul apei și rezistența la agenți chimici sau echivalent)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Produse acustice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îmbrăcăminte (a se preciza clasa UPEC de utilizare sau clasificarea rezistenței la uzură și perforare, comportamentul apei și rezistența la agenți chimici sau echivalent)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suprafață acoperită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Produse de preparare și de aplicare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Adezivi de tâmplărie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Reparații și asamblare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Sol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adeziv la sol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Mortar pentru zidărie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Gresie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gresie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Decorare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Masticuri și spume poliuretanice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(a se preciza masa liniară)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Chimia clădirilor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Produse pentru beton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 se specifica densitatea)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Rășini sintetice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 se specifica densitatea)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Echipamente sanitare si de baie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Robinete și coloane de duș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Unitate (a se preciza tipul)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Cadă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Unitate (a se specifica volumul de capacitate în litru și formă)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Lavoar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Unitate (a se preciza dimensiunile: lățime și lungime)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Chiuvetă</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Unitate (a se preciza dimensiunile: lățimea, lungimea și numărul de coșuri de gunoi)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Chiuvetă</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Unitate (a se preciza dimensiunile: lățimea, lungimea și numărul de coșuri de gunoi)</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Toaletă – Bazin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Unitate (a se preciza dimensiunile: lățime și lungime)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Altele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Anexa II</w:t>
      </w:r>
    </w:p>
    <w:p w14:paraId="1E7210AD" w14:textId="4609938E" w:rsidR="001308A1" w:rsidRPr="005D260E" w:rsidRDefault="00C51AA3" w:rsidP="007F6637">
      <w:pPr>
        <w:pStyle w:val="Titre2FDES"/>
      </w:pPr>
      <w:r>
        <w:t>Formate de unități funcționale sau de unități declarate pentru echipamente.</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Funcție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 funcțională</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 declarată</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Grupul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Soluție</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Aparatură de instalare pentru rețelele de energie electrică și de comunicații</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Aparatură de perete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Sisteme automate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Senzori de mișcare</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Termostate</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Variatoare</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Cutii de echipamente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Pentru pereți de rambleu</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Pentru zidărie</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Întrerupătoare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Comutatoare</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Butoane de comandă</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Altele: Ventilație prin conducte, storuri, etc.</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Plăci și suporturi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Subansamblul echipamentelor de perete</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Prize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Prize de curent slab</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Prize de curent tare</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prize (TV, difuzor, IT etc.)</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Semnalizare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Ieșire audio: difuzor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Ieșire audio: sonerie și clopoței</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Lumini de semnalizare</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Telecomandă, obloane, cleme</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modulare pentru incinte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generale de protecție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Conexiuni</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Întrerupătoare de circuite</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Întrerupătoare de circuite de conectare la rețea</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Comutatoare/izolatoare</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Invertoare sursă</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Relee diferențiale</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Protecție împotriva fulgerelor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Paratrăsnete</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Paratrăsnete de telecomunicații</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Protecția liniei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Disjunctoare</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Disjunctoare divizionare</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Disjunctoare motoare</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Siguranțe</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Protecție împotriva pierderilor la pământ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Blocuri diferențiale</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Întrerupătoare de circuite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Comutatoare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Gestionarea iluminatului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Comutatoare fotocelulare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Gestionare solară</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Variatoare</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Gestionarea energiei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Reductoare de sarcină</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Administratorii de energie</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Gestionarea jaluzelelor și a obloanelor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Gestionarea jaluzelelor și a obloanelor</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Gestionarea timpului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Intersectări orare</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Cronometre</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Relee de temporizare</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Gestionarea termică (încălzire, ventilație)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Termostate</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Măsurători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Contoare de energie</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Senzori de ploaie, soare etc.</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Voltmetre, ampermetre</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Dispozitive de control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Butoane de comandă</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Conectori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Comutatoare, invertoare, comutatoare, etc.</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Întrerupătoare de impuls de la distanță</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Dispozitive de semnalizare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Clopoței și tonuri de apel</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Lumini de semnalizare</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Sisteme de automatizare si comunicații pentru locuințe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Rețele multimedia și VDI (Voce-Date-Imagine)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modulare pentru automatizarea locuinței</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terminale pentru automatizarea locuinței</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Distribuitori de semnalizare/detecție</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Puncte de acces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Incinte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Dulapuri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Dulapuri din poliester</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Dulapuri metalice</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Conexiuni</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pentru dulapuri</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Cutii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Panouri pentru borne</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încastrate</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etanșe</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ieșite în relief</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de joncțiune</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Altele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Birouri, gestionarea termică a incintelor</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Soluții de rutare a cablurilor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Metru</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Sisteme de rutare a cablurilor și suporturi pentru cabluri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Căi de cablu de sârmă</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Tăvițe pentru cabluri din gresie</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Rafturi pentru cabluri</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Sisteme de canale transportatoare și de conducte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profilate</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Tuburi și conducte rigide</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de alimentare</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de pardoseală</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de instalare</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Muluri și plinte</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Alte produse punct pentru gestionarea cablurilor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Canale tehnice de adăpostire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de pardoseală</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Cutii de separare și coloane verticale de instalare</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 de cabluri pentru dulapuri</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Alte și accesorii</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Altele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Conexiune/joncțiune (în afara incintei)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Blocuri de joncțiune</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Conectori</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Prize industriale</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Alimentare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Transformatoare</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Surse centrale</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electrice mobile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Lumină de inspecție</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Blocuri multiprize, prize telefonice, altele</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 de deschidere a clapetei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Motorizarea ușilor, porților etc.</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Motorizarea obloanelor rulante</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Fire și cabluri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Rețele electrice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Cabluri de medie tensiune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Cabluri de joasă tensiune &lt; 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Accesorii de rețea electrică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Transferul de energie electrică și date în interiorul clădirii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Fire și cabluri electrice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Cabluri de comunicații din cupru și fibră optică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Accesorii în interiorul clădirii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Alte fire și cabluri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Neizolat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Cabluri de încălzire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Siguranța persoanelor fizice și controlul accesului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Detectarea și controlul accesului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de detectare a intruziunii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de detectare a intruziunii</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Echipamente de control (tastatură, telecomandă </w:t>
            </w:r>
            <w:r>
              <w:rPr>
                <w:rFonts w:ascii="Times New Roman" w:hAnsi="Times New Roman"/>
                <w:sz w:val="24"/>
              </w:rPr>
              <w:lastRenderedPageBreak/>
              <w:t>etc.)</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Console de alarmă</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de semnalizare (sirenă, transmițător etc.)</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Sistemul de control al accesului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Uși cu acces prin voce</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Uși cu acces video</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Supraveghere video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de supraveghere video****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de captare a imaginii (camere)</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de management al imaginii</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Interconexiuni</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Securitatea clădirii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de iluminat de securitate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Împrejurimi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de iluminat de urgență autonome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 de iluminat pentru sursa centrală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de iluminat în caz de inundație</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de iluminat de urgență autonome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de iluminat rezidențial independente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Unitate cu funcție dublă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 de iluminat pentru sursa centrală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(dispozitiv de iluminat)</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(dispozitiv de identificare îmbunătățit)</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iluminat de urgență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de iluminat rezidențial independente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Unitate cu funcție dublă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Intervenție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Unități autonome portabile de intervenție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Alimentare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Sursă centrală pentru montarea luminii de urgență</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Protecția împotriva </w:t>
            </w:r>
            <w:r>
              <w:rPr>
                <w:rFonts w:ascii="Times New Roman" w:hAnsi="Times New Roman"/>
                <w:sz w:val="24"/>
              </w:rPr>
              <w:lastRenderedPageBreak/>
              <w:t>incendiilor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Siguranță la incendiu și alarmă tehnică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Detectoare de fum/alarme independente</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Alarme și detectoare tehnice (inundație, gaz etc.)</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Detectoare autonome de monoxid de carbon</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Alarme și detectoare tehnice</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 HVAC</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Încălzire și/sau răcire și/sau producție internă de apă caldă</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Cazan (doar încălzire)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pe gaz</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pe păcură</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hibrid</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pe biomasă</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Cazane mixte (încălzire și apă caldă menajeră)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pe gaz</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Cazan pe păcură</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Aparate independente pe bază de biomasă</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Pompe de căldură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Pompă de căldură electrică de compresie</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Pompă de căldură hibridă</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Pompă de circulație a apei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Uscător de prosoape</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Încălzire electrică directă printr-o unitate fixă vizibilă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Convector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Radiant</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cu funcție secundară ca uscător de prosoape</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Producția internă de apă caldă menajeră</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Litru</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Instalație individuală de stocare pentru încălzirea apei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Instalație electrică pentru încălzirea apei</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Instalație termodinamică pentru încălzirea apei</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Instalație pentru încălzirea apei cu gaz</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Instalație individuală solară pentru încălzirea apei</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Unități terminale de confort</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Ventiloconvectoare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Ventiloconvectoare</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Grinzi climatice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Grinzi climatice pasive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Grinzi climatice active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Radiatoare dinamice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Radiatoare dinamice</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Conducte și accesorii de rețea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de conductă</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flexibile</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Conducte rigide</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Coturi și accesorii</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Difuzie de aer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m³/oră</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sau</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Terminale pasive</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Difuzoare</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Prize de aer</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Deschideri de extracție și de insuflare</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Tratarea aerului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m³/oră</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Stație de tratare a aerului</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Unitate cu debit dublu</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Filtre de aer</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Cutie de ventilație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m³/oră</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Ventilație controlată mecanic cu un singur flux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Ventilație controlată mecanic cu debit dublu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Cutie de ventilație</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Refrigerare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Unitate de producție a apei cu gheață</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Turn de răcire</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Răcitoare de aer</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Producția locală de energie electrică</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 de energie electrică</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Module fotovoltaice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Siliciu cristalin (monocristalin sau policristalin)</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Straturi subțiri</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Generatoare de aer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Orizontale</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Verticale</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Conversia și reglarea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Invertoare sincrone</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Invertoare autonome</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Convertizor DC/DC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Convertizor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Reglare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Controler de sarcină</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Stocare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Baterie electrochimică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Plumb – acid</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Litiu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Altele</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Monitorizare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Monitorizare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Echipamente de monitorizare</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de iluminat</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pentru iluminat interior și surse de alimentare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Iluminatul încastrat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Iluminat interior liniar pentru iluminatul de birou</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Iluminat interior încastrat neliniar pentru iluminatul de birou</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Iluminat interior încastrat de accentuare (spoturi)</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Lumini montate la suprafață</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Lumini de tavan, accesorii suspendate interne liniare pentru iluminatul de birou sau industrial</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Iluminat pe perete interior liniar funcțional montat pe </w:t>
            </w:r>
            <w:r>
              <w:rPr>
                <w:rFonts w:ascii="Times New Roman" w:hAnsi="Times New Roman"/>
                <w:sz w:val="24"/>
              </w:rPr>
              <w:lastRenderedPageBreak/>
              <w:t>suprafață</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Lumini de tavan, iluminat de perete montat la suprafață, accesorii interioare decorative suspendate</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Hublouri interne</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Benzi de iluminat interioare (fără dispozitive optice, spre deosebire de produsele liniare)</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Proiectoare interioare, montate pe perete sau pe șine sau suspendate, pentru iluminatul cu accent</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Fitinguri interne de lumină rezistente la apă</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Bare și benzi flexibile LED (inclusiv sursa de alimentare)</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Accesorii suspendate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Accesorii industriale</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Structuri online continue pentru iluminatul industrial sau comercial</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Montaje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Șine de alimentare cu reflectoare</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Echipamente pentru iluminat exterior și surse de alimentare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Reflectoare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Reflectoare pentru sport și zone extinse</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Reflectoare exterioare pentru iluminat decorativ</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Corpuri de iluminat pentru iluminat exterior, altele decât lumina reflectoarelor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Corpuri de iluminat pentru iluminat decorativ</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Corpuri de iluminat pentru iluminatul funcțional</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Iluminatul temporizat</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Reflectoare încastrate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Reflectoare exterioare care urmează să fie încastrate în podea sau pereți</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Iluminat încastrat pentru orientare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Corpuri de iluminat cu orientare exterioară care urmează să fie încastrate în podea sau pe pereți</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Stâlpi și coloane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Terminale exterioare decorative</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Coloane luminoase exterioare decorative</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Corpuri de iluminat rezistente la apă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Lumini de perete montate la suprafață și hublouri impermeabile</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Iluminat încastrat submersibil pentru piscine sau fântâni</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Reflectoare submersibile pentru piscine sau fântâni</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unitate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Stâlpi și suporturi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Stâlpi</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Croșete</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suporturi pentru corpurile de iluminat exterioare</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Altele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Anexa III</w:t>
      </w:r>
    </w:p>
    <w:p w14:paraId="67517A54" w14:textId="77777777" w:rsidR="00C51AA3" w:rsidRPr="005D260E" w:rsidRDefault="003C68D4" w:rsidP="008837F2">
      <w:pPr>
        <w:pStyle w:val="Titre2FDES"/>
        <w:jc w:val="left"/>
      </w:pPr>
      <w:r>
        <w:t xml:space="preserve">Calcularea profiturilor și a cheltuielilor legate de valorificarea la sfârșitul ciclului de viață.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Afișarea unei valori pozitive are ca rezultat o sarcină netă, iar o valoare negativă are ca rezultat un profit net.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În cazul reciclării, pentru un anumit flux de deșeuri reciclate (și, prin urmare, un anumit material lambda), se aplică următoarea formulă: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unde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(kg) de material secundar recuperat efectiv din masa stocului colectat (componenta lambda a materialului din „materialele destinate reciclării);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inventarul producției (per kg) de material (sau amestec) pentru care materialul secundar reciclat lambda este înlocuit în sistemul din aval utilizându-l (și anume, nu inventarul producției produsului din aval, ci materialul de inventar al producției care alcătuiește acest produs din aval);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inventarul (per kg) producției de material secundar gata de utilizare în sistemul din aval din stoc;</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masa (kg) de material secundar încorporat în produsul căruia se aplică declarația la fabricare (componenta lambda a materialului în fluxul de „utilizare a materialelor secundare”;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inventarul producției (per kg) de material virgin utilizat pentru producerea produsului căruia i se aplică declarația, în absența reciclării materialului;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inventarul (per kg) de producție a materialului secundar gata de utilizare utilizat pentru a produce produsul căruia i se aplică declarația.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În cazul recuperării energiei, pentru un anumit flux de deșeuri reciclate, se aplică următoarea formulă: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unde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(în kg) de material secundar recuperat efectiv din masa stocului colectat [componenta (componentele) lambda din materialul fluxului „materiale de recuperare a energiei”];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inventarul producției (per kg) al energiei la care energia recuperată prin reciclarea energiei a materialelor secundare este înlocuită în sistemul din aval (și anume, nu inventarul producției sistemului din aval la care va contribui materialul secundar, ci inventarul producției de energie consumată de sistemul din aval, exprimat în MJ livrat);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inventarul (per kg) al reciclării energetice a materialului secundar din stoc, pentru care fluxul de referință este cantitatea de material secundar reciclat;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de material secundar recuperat;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producția de energie a instalației de reciclare a energiei materialelor secundare recuperate.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Beneficiul global pentru produsul declarat este apoi obținut ca sumă a tuturor beneficiilor colective calculate pentru fiecare dintre materiale/fluxuri.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Anexa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Cadrul de valabilitate a declarațiilor colective de mediu pentru produse</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Omogenitate</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analiză a ciclului de viață (LCA) implică o cantitate mare de date pentru numeroase scenarii. Anumite date sunt colectate la fața locului, unele sunt calculate și unele sunt estimate. Prin urmare, datele care furnizează o LCA sunt date cu un anumit nivel de incertitudine. Astfel, rezultatul unei LCA este destul de sensibil la variațiile datelor de intrare.</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Articolul 9 din decret prevede ca impactul asupra mediului al înregistrărilor care utilizează aceeași declarație colectivă de mediu să fie omogen. Astfel, o declarație de mediu colectivă va acoperi produsele omogene din punct de vedere al mediului dacă este posibil să se asigure că toate produsele vizate declară impactul asupra mediului sub o valoare-limită dacă respectă cadrul de valabilitate asociat prezentei declarații de mediu colective.</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Se acceptă ca această omogenitate să fie demonstrată numai pentru anumiți indicatori de control.</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Pentru indicatorii APL, demonstrarea omogenității se realizează printr-o analiză de sensibilitate a parametrilor incerți și a parametrilor care variază de la un declarant la altul. Se recomandă cu fermitate ca această analiză să fie efectuată la începutul procesului APL și ca declarația colectivă de mediu să fie construită pe baza acestei analize.</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Analiza sensibilității</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analiză a sensibilității LCA trebuie să includă următoarele etape:</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selectarea indicatorilor de control;</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identificarea parametrilor sensibili: studiul contribuabililor pentru identificarea parametrilor de intrare care contribuie cel mai mult la explicarea valorii indicatorilor de control (rezultatele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determinarea intervalelor de variație a parametrilor sensibili (parametrii-limită și orice distribuție statistică);</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simulări parametrizate pe etape b și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Analiza sensibilității poate fi iterativă. Rezultatul analizei de sensibilitate trebuie să fie:</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o listă de factori care influențează rezultatele APL (parametri sensibili) și câmpurile lor de variație autorizate (această listă este câmpul de validitate).</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pentru fiecare indicator de control, un interval probabil de variație (interval de încredere 95 %) a valorilor indicatorului obținute prin simulările parametrilor.</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Etapa 1: selectarea indicatorilor de control</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Selectarea indicatorilor de control trebuie să fie rezonabilă. Acestea pot fi alese de la caz la caz dintre cele menționate la articolul 3 din decret. Alegerea lor trebuie să fie justificată. Următorii indicatori trebuie studiați cel puțin:</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încălzirea globală;</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utilizarea energiei primare neregenerabile, cu excepția resurselor de energie primară neregenerabile utilizate ca materii prime;</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deșeuri nepericuloase eliminate.</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2: identificarea parametrilor sensibili</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Trebuie efectuată o analiză a parametrilor sensibili pentru fiecare indicator de control. În acest scop, se propune ca, în calitate de abordare inițială, impacturile să fie împărțite în funcție de procesele incluse în ciclul de viață. Această analiză ar trebui să se bazeze pe scenariul de referință descris în analiza sensibilității.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Se recomandă luarea în considerare a tuturor proceselor cu o contribuție la apariția a peste 5 % în scenariul de referință. Parametrii modelului LCA (introducerea sau părăsirea procesului, parametrul de modelare a proceselor interne etc.) care modifică această contribuție ar trebui apoi identificați. Aceștia sunt parametrii considerați sensibili.</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 sfârșitul acestei analize, declarantul va avea o listă a proceselor care contribuie cel mai mult la indicatorii de control de-a lungul întregului ciclu de viață și o listă de parametri sensibili.</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3: definirea intervalelor de variație a parametrilor sensibili</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Această etapă constă în definirea intervalului de variație al fiecărui parametru sensibil. Acest interval ar trebui apoi propus ca un minim sub formă de intervale. Dacă se cunoaște, se poate prevedea o lege pentru distribuția parametrului în intervalul definit mai sus.</w:t>
      </w:r>
      <w:r>
        <w:rPr>
          <w:rFonts w:ascii="Times New Roman" w:hAnsi="Times New Roman"/>
          <w:sz w:val="24"/>
        </w:rPr>
        <w:br/>
        <w:t>În urma acestei etape, fiecare parametru sensibil este asociat cu o gamă de variații.</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4: Calcularea variabilității indicatorilor</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Pe baza etapelor 2 și 3, această etapă implică utilizarea unei metode matematice adecvate pentru a determina intervalele de variație a indicatorilor (valori maxime, valori medii și valori minime) la supunerea modelului LCA la variații ale parametrilor sensibili.</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Rezultatul etapei 4 este un set de intervale de valori luate de fiecare dintre indicatorii care fac obiectul analizei de sensibilitate.</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Calculul variabilității indicatorilor acoperă cel puțin parametrii sensibili referitori la elementele menționate la articolul 9 din prezentul decret.</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Etapele 3 și 4 pot fi efectuate prin iterație pentru a adapta gama de parametri sensibili la condițiile de omogenitate necesare.</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Raport de analiză a sensibilității</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Raportul conține elementele corespunzătoare celor patru etape ale analizei de sensibilitate și rezultatul final al analizei de sensibilitate, inclusiv domeniul de aplicare al declarației colective de mediu și intervalele de variație a indicatorilor de control.</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Analiza sensibilității și valorile de mediu declarate</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Rezultatele analizei de sensibilitate condiționează valorile de mediu raportate în declarația colectivă de mediu, astfel cum se specifică în secțiunea 9 din prezentul decret.</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Când valoarea maximă (sau maximă de 95 % încredere, dacă se utilizează o abordare statistică) a intervalului de variație al fiecărui indicator de control al impactului asupra mediului este</w:t>
      </w:r>
      <w:r>
        <w:rPr>
          <w:rFonts w:ascii="Times New Roman" w:hAnsi="Times New Roman"/>
          <w:sz w:val="24"/>
        </w:rPr>
        <w:t xml:space="preserve"> mai mică sau egală cu valoarea medie a indicatorului înmulțită cu o valoare-limită (specificată la articolul 9 din prezentul decret)</w:t>
      </w:r>
      <w:r>
        <w:rPr>
          <w:rFonts w:ascii="Times New Roman" w:hAnsi="Times New Roman"/>
          <w:sz w:val="24"/>
          <w:shd w:val="clear" w:color="auto" w:fill="FFFFFF"/>
        </w:rPr>
        <w:t>, atunci valorile indicatorilor de impact asupra mediului declarați se calculează cu valorile medii ale parametrilor sensibili.</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Dacă nu, adică dacă cel puțin unul dintre indicatorii de control al impactului asupra mediului are o valoare maximă mai mare decât </w:t>
      </w:r>
      <w:r>
        <w:rPr>
          <w:rFonts w:ascii="Times New Roman" w:hAnsi="Times New Roman"/>
          <w:sz w:val="24"/>
        </w:rPr>
        <w:t>valoarea medie a indicatorului înmulțită cu o valoare-limită (specificată la articolul 9 din prezentul decret)</w:t>
      </w:r>
      <w:r>
        <w:rPr>
          <w:rFonts w:ascii="Times New Roman" w:hAnsi="Times New Roman"/>
          <w:sz w:val="24"/>
          <w:shd w:val="clear" w:color="auto" w:fill="FFFFFF"/>
        </w:rPr>
        <w:t>, atunci limita superioară trebuie declarată. Această limită superioară corespunde valorii indicatorilor obținuți atunci când se utilizează valorile maxime (sau maxime cu o probabilitate de 95 %, dacă se utilizează o abordare statistică) a parametrilor sensibili.</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Identificarea exactă a produselor care fac obiectul unei declarații</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Pentru a stabili dacă un produs este susceptibil de a face obiectul unei declarații de mediu colective, trebuie să se stabilească dacă produsul este similar cu produsul standard acoperit și dacă declarantul respectiv este autorizat să utilizeze această declarație de mediu colectivă.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Identificarea produsului standard</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Produsul standard trebuie definit și descris în mod corect pentru a facilita reconcilierea dintre descrierea unui produs și cea a produsului standard. Descrierea produsului standard trebuie să includă cel puțin următoarele: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o listă a principalelor componente sau materiale predominante;</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informații privind funcționalitatea sau nivelul de performanță.</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Această identificare trebuie să fie suficientă pentru a afla rapid și fără echivoc dacă un anumit produs poate face obiectul declarației colective.</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Identificarea declaranților care pot utiliza declarația de mediu colectivă</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Întrucât declarația de mediu colectivă este proprietatea și responsabilitatea unei comunități, această comunitate poate decide că numai unii dintre declaranți pot utiliza această declarație de mediu colectivă.</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Trebuie furnizată o listă a solicitanților autorizați să utilizeze o declarație colectivă de mediu:</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fie sub forma unei liste exhaustive de denumiri;</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sau sub forma unei condiții de apartenență la o entitate colectivă (asociație, sindicat, semnatari ai unei carte de bune practici etc.). În acest caz, lista membrilor acestei comunități trebuie să fie accesibilă publicului.</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Conținutul cadrului de valabilitate</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Cadrul de valabilitate conține cel puțin:</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identificarea produsului standard (obligatoriu);</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produsele care fac obiectul declarației de mediu colective;</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identificarea declaranților care pot utiliza declarația de mediu colectivă;</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raportul studiului de sensibilitate, inclusiv intervalul de valabilitate și furnizarea de dovezi că valorile declarate ale indicatorilor sunt omogene.</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Utilizarea cadrului de valabilitate</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Pentru ca un declarant să poată utiliza o declarație de mediu colectivă pentru produsul său, acesta trebuie să prezinte dovezi potrivit cărora:</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produsul său este conform cu „produsul standard” care face obiectul declarației de mediu colective;</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acesta se află pe lista declaranților autorizați pentru această declarație de mediu colectivă;</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respectă domeniul de valabilitate al acestei declarații de mediu colective.</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F292" w14:textId="77777777" w:rsidR="00F203B7" w:rsidRDefault="00F203B7" w:rsidP="00F76954">
      <w:pPr>
        <w:spacing w:after="0" w:line="240" w:lineRule="auto"/>
      </w:pPr>
      <w:r>
        <w:separator/>
      </w:r>
    </w:p>
  </w:endnote>
  <w:endnote w:type="continuationSeparator" w:id="0">
    <w:p w14:paraId="5CA92498" w14:textId="77777777" w:rsidR="00F203B7" w:rsidRDefault="00F203B7"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Pagina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din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28F9" w14:textId="77777777" w:rsidR="00F203B7" w:rsidRDefault="00F203B7" w:rsidP="00F76954">
      <w:pPr>
        <w:spacing w:after="0" w:line="240" w:lineRule="auto"/>
      </w:pPr>
      <w:r>
        <w:separator/>
      </w:r>
    </w:p>
  </w:footnote>
  <w:footnote w:type="continuationSeparator" w:id="0">
    <w:p w14:paraId="418260C7" w14:textId="77777777" w:rsidR="00F203B7" w:rsidRDefault="00F203B7"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5214D5B"/>
    <w:multiLevelType w:val="hybridMultilevel"/>
    <w:tmpl w:val="DE505E3C"/>
    <w:lvl w:ilvl="0" w:tplc="B02871D8">
      <w:start w:val="1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7"/>
  </w:num>
  <w:num w:numId="14">
    <w:abstractNumId w:val="17"/>
  </w:num>
  <w:num w:numId="15">
    <w:abstractNumId w:val="67"/>
  </w:num>
  <w:num w:numId="16">
    <w:abstractNumId w:val="26"/>
  </w:num>
  <w:num w:numId="17">
    <w:abstractNumId w:val="48"/>
  </w:num>
  <w:num w:numId="18">
    <w:abstractNumId w:val="29"/>
  </w:num>
  <w:num w:numId="19">
    <w:abstractNumId w:val="30"/>
  </w:num>
  <w:num w:numId="20">
    <w:abstractNumId w:val="37"/>
  </w:num>
  <w:num w:numId="21">
    <w:abstractNumId w:val="12"/>
  </w:num>
  <w:num w:numId="22">
    <w:abstractNumId w:val="44"/>
  </w:num>
  <w:num w:numId="23">
    <w:abstractNumId w:val="23"/>
  </w:num>
  <w:num w:numId="24">
    <w:abstractNumId w:val="39"/>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1"/>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50"/>
  </w:num>
  <w:num w:numId="59">
    <w:abstractNumId w:val="20"/>
  </w:num>
  <w:num w:numId="60">
    <w:abstractNumId w:val="10"/>
  </w:num>
  <w:num w:numId="61">
    <w:abstractNumId w:val="42"/>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1"/>
  </w:num>
  <w:num w:numId="76">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0239"/>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2300"/>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1777D"/>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03B7"/>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ro-RO"/>
    </w:rPr>
  </w:style>
  <w:style w:type="character" w:styleId="FootnoteReference">
    <w:name w:val="footnote reference"/>
    <w:uiPriority w:val="99"/>
    <w:semiHidden/>
    <w:rsid w:val="003D011E"/>
    <w:rPr>
      <w:noProof/>
      <w:position w:val="6"/>
      <w:sz w:val="18"/>
      <w:vertAlign w:val="baseline"/>
      <w:lang w:val="ro-RO"/>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ro-RO"/>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ro-RO"/>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ro-RO"/>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ro-RO"/>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ro-RO"/>
    </w:rPr>
  </w:style>
  <w:style w:type="character" w:styleId="PageNumber">
    <w:name w:val="page number"/>
    <w:uiPriority w:val="99"/>
    <w:rsid w:val="003D011E"/>
    <w:rPr>
      <w:noProof/>
      <w:lang w:val="ro-RO"/>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ro-RO"/>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7653</Words>
  <Characters>43623</Characters>
  <Application>Microsoft Office Word</Application>
  <DocSecurity>0</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2021-05-12T14:42:00Z</dcterms:modified>
</cp:coreProperties>
</file>