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A862C" w14:textId="524DC53F" w:rsidR="00FD48A4" w:rsidRPr="00A772AF" w:rsidRDefault="00FD48A4" w:rsidP="00031EAA">
      <w:pPr>
        <w:spacing w:after="0"/>
        <w:rPr>
          <w:rFonts w:ascii="Arial" w:hAnsi="Arial"/>
          <w:b/>
        </w:rPr>
      </w:pPr>
      <w:r>
        <w:rPr>
          <w:rFonts w:ascii="Arial" w:hAnsi="Arial"/>
          <w:b/>
        </w:rPr>
        <w:t>Komise pro kontrolu budov</w:t>
      </w:r>
    </w:p>
    <w:p w14:paraId="0C94D07D" w14:textId="77777777" w:rsidR="00031EAA" w:rsidRPr="00A772AF" w:rsidRDefault="00031EAA" w:rsidP="001B6FCB">
      <w:pPr>
        <w:spacing w:after="0" w:line="240" w:lineRule="auto"/>
        <w:rPr>
          <w:rFonts w:ascii="Arial" w:hAnsi="Arial"/>
          <w:sz w:val="8"/>
          <w:szCs w:val="8"/>
        </w:rPr>
      </w:pPr>
    </w:p>
    <w:p w14:paraId="4D77DE3C" w14:textId="1DEB5BE9" w:rsidR="00FD48A4" w:rsidRPr="00A772AF" w:rsidRDefault="00FD48A4" w:rsidP="00552591">
      <w:pPr>
        <w:spacing w:after="0" w:line="240" w:lineRule="auto"/>
        <w:contextualSpacing/>
        <w:jc w:val="center"/>
        <w:rPr>
          <w:rFonts w:ascii="Arial" w:eastAsia="Times New Roman" w:hAnsi="Arial" w:cs="Arial"/>
          <w:b/>
        </w:rPr>
      </w:pPr>
      <w:r>
        <w:rPr>
          <w:rFonts w:ascii="Arial" w:hAnsi="Arial"/>
          <w:b/>
        </w:rPr>
        <w:t>Vzor</w:t>
      </w:r>
    </w:p>
    <w:p w14:paraId="30EE2174" w14:textId="34621BC4" w:rsidR="00552591" w:rsidRPr="00A772AF" w:rsidRDefault="00FD48A4" w:rsidP="00552591">
      <w:pPr>
        <w:spacing w:after="0" w:line="240" w:lineRule="auto"/>
        <w:contextualSpacing/>
        <w:jc w:val="center"/>
        <w:rPr>
          <w:rFonts w:ascii="Arial" w:eastAsia="Times New Roman" w:hAnsi="Arial" w:cs="Arial"/>
          <w:b/>
        </w:rPr>
      </w:pPr>
      <w:r>
        <w:rPr>
          <w:rFonts w:ascii="Arial" w:hAnsi="Arial"/>
          <w:b/>
        </w:rPr>
        <w:t xml:space="preserve">nařízení, kterým se řídí výstavba a provozování </w:t>
      </w:r>
    </w:p>
    <w:p w14:paraId="3A862C51" w14:textId="340512A8" w:rsidR="00716354" w:rsidRPr="00A772AF" w:rsidRDefault="00552591" w:rsidP="00552591">
      <w:pPr>
        <w:spacing w:after="0" w:line="240" w:lineRule="auto"/>
        <w:contextualSpacing/>
        <w:jc w:val="center"/>
        <w:rPr>
          <w:rFonts w:ascii="Arial" w:eastAsia="Times New Roman" w:hAnsi="Arial" w:cs="Arial"/>
          <w:b/>
        </w:rPr>
      </w:pPr>
      <w:r>
        <w:rPr>
          <w:rFonts w:ascii="Arial" w:hAnsi="Arial"/>
          <w:b/>
        </w:rPr>
        <w:t xml:space="preserve">garáží a parkovacích míst </w:t>
      </w:r>
      <w:r>
        <w:rPr>
          <w:rFonts w:ascii="Arial" w:hAnsi="Arial"/>
          <w:b/>
        </w:rPr>
        <w:tab/>
      </w:r>
    </w:p>
    <w:p w14:paraId="485EFCB6" w14:textId="046B64CB" w:rsidR="00552591" w:rsidRPr="00A772AF" w:rsidRDefault="00552591" w:rsidP="00552591">
      <w:pPr>
        <w:spacing w:after="0" w:line="240" w:lineRule="auto"/>
        <w:contextualSpacing/>
        <w:jc w:val="center"/>
        <w:rPr>
          <w:rFonts w:ascii="Arial" w:eastAsia="Times New Roman" w:hAnsi="Arial" w:cs="Arial"/>
          <w:b/>
        </w:rPr>
      </w:pPr>
      <w:r>
        <w:rPr>
          <w:rFonts w:ascii="Arial" w:hAnsi="Arial"/>
          <w:b/>
        </w:rPr>
        <w:t>(Vzor nařízení, kterým se řídí parkovací zařízení M-GarVO</w:t>
      </w:r>
      <w:r w:rsidR="001B6FCB" w:rsidRPr="00A772AF">
        <w:rPr>
          <w:rStyle w:val="FootnoteReference"/>
          <w:rFonts w:ascii="Arial" w:eastAsia="Times New Roman" w:hAnsi="Arial" w:cs="Arial"/>
          <w:b/>
          <w:lang w:eastAsia="de-DE"/>
        </w:rPr>
        <w:footnoteReference w:id="1"/>
      </w:r>
      <w:r>
        <w:rPr>
          <w:rFonts w:ascii="Arial" w:hAnsi="Arial"/>
          <w:b/>
        </w:rPr>
        <w:t>)</w:t>
      </w:r>
    </w:p>
    <w:p w14:paraId="64D07E3C" w14:textId="082D3518" w:rsidR="00552591" w:rsidRPr="00A772AF" w:rsidRDefault="00A074A4" w:rsidP="00552591">
      <w:pPr>
        <w:spacing w:after="0" w:line="240" w:lineRule="auto"/>
        <w:contextualSpacing/>
        <w:jc w:val="center"/>
        <w:rPr>
          <w:rFonts w:ascii="Arial" w:eastAsia="Times New Roman" w:hAnsi="Arial" w:cs="Arial"/>
        </w:rPr>
      </w:pPr>
      <w:r>
        <w:rPr>
          <w:rFonts w:ascii="Arial" w:hAnsi="Arial"/>
        </w:rPr>
        <w:t>Verze ze dne 19. března 2021</w:t>
      </w:r>
    </w:p>
    <w:p w14:paraId="6D0E7F1E" w14:textId="77777777" w:rsidR="00EA4225" w:rsidRPr="00A772AF" w:rsidRDefault="00EA4225" w:rsidP="00552591">
      <w:pPr>
        <w:spacing w:after="0" w:line="240" w:lineRule="auto"/>
        <w:contextualSpacing/>
        <w:jc w:val="center"/>
        <w:rPr>
          <w:rFonts w:ascii="Arial" w:eastAsia="Times New Roman" w:hAnsi="Arial" w:cs="Arial"/>
          <w:sz w:val="8"/>
          <w:szCs w:val="8"/>
          <w:lang w:eastAsia="de-DE"/>
        </w:rPr>
      </w:pPr>
    </w:p>
    <w:sdt>
      <w:sdtPr>
        <w:rPr>
          <w:rFonts w:ascii="Arial" w:eastAsiaTheme="minorHAnsi" w:hAnsi="Arial" w:cs="Arial"/>
          <w:b/>
          <w:noProof/>
          <w:color w:val="auto"/>
          <w:sz w:val="22"/>
          <w:szCs w:val="22"/>
          <w:lang w:eastAsia="en-US"/>
        </w:rPr>
        <w:id w:val="-1205402924"/>
        <w:docPartObj>
          <w:docPartGallery w:val="Table of Contents"/>
          <w:docPartUnique/>
        </w:docPartObj>
      </w:sdtPr>
      <w:sdtEndPr>
        <w:rPr>
          <w:b w:val="0"/>
          <w:bCs/>
          <w:sz w:val="16"/>
          <w:szCs w:val="16"/>
        </w:rPr>
      </w:sdtEndPr>
      <w:sdtContent>
        <w:p w14:paraId="38FB7732" w14:textId="593A3492" w:rsidR="000705AA" w:rsidRPr="00A772AF" w:rsidRDefault="000705AA" w:rsidP="001B6FCB">
          <w:pPr>
            <w:pStyle w:val="TOCHeading"/>
            <w:spacing w:before="0"/>
            <w:rPr>
              <w:rFonts w:ascii="Arial" w:hAnsi="Arial" w:cs="Arial"/>
              <w:b/>
              <w:color w:val="auto"/>
              <w:sz w:val="22"/>
              <w:szCs w:val="22"/>
            </w:rPr>
          </w:pPr>
          <w:r>
            <w:rPr>
              <w:rFonts w:ascii="Arial" w:hAnsi="Arial"/>
              <w:b/>
              <w:color w:val="auto"/>
              <w:sz w:val="22"/>
            </w:rPr>
            <w:t>Obsah</w:t>
          </w:r>
        </w:p>
        <w:p w14:paraId="56DEE068" w14:textId="77777777" w:rsidR="00BB027E" w:rsidRDefault="000705AA">
          <w:pPr>
            <w:pStyle w:val="TOC1"/>
            <w:rPr>
              <w:rFonts w:asciiTheme="minorHAnsi" w:eastAsiaTheme="minorEastAsia" w:hAnsiTheme="minorHAnsi" w:cstheme="minorBidi"/>
              <w:b w:val="0"/>
              <w:lang w:val="en-US"/>
            </w:rPr>
          </w:pPr>
          <w:r w:rsidRPr="00A772AF">
            <w:fldChar w:fldCharType="begin"/>
          </w:r>
          <w:r w:rsidRPr="00A772AF">
            <w:instrText xml:space="preserve"> TOC \o "1-3" \n \h \z \u </w:instrText>
          </w:r>
          <w:r w:rsidRPr="00A772AF">
            <w:fldChar w:fldCharType="separate"/>
          </w:r>
          <w:hyperlink w:anchor="_Toc72145616" w:history="1">
            <w:r w:rsidR="00BB027E" w:rsidRPr="00B04D28">
              <w:rPr>
                <w:rStyle w:val="Hyperlink"/>
              </w:rPr>
              <w:t>Část I</w:t>
            </w:r>
          </w:hyperlink>
        </w:p>
        <w:p w14:paraId="3F53D11F" w14:textId="77777777" w:rsidR="00BB027E" w:rsidRDefault="00BB027E">
          <w:pPr>
            <w:pStyle w:val="TOC1"/>
            <w:rPr>
              <w:rFonts w:asciiTheme="minorHAnsi" w:eastAsiaTheme="minorEastAsia" w:hAnsiTheme="minorHAnsi" w:cstheme="minorBidi"/>
              <w:b w:val="0"/>
              <w:lang w:val="en-US"/>
            </w:rPr>
          </w:pPr>
          <w:hyperlink w:anchor="_Toc72145617" w:history="1">
            <w:r w:rsidRPr="00B04D28">
              <w:rPr>
                <w:rStyle w:val="Hyperlink"/>
              </w:rPr>
              <w:t>Obecná ustanovení</w:t>
            </w:r>
          </w:hyperlink>
        </w:p>
        <w:p w14:paraId="0D8A55DA" w14:textId="77777777" w:rsidR="00BB027E" w:rsidRDefault="00BB027E">
          <w:pPr>
            <w:pStyle w:val="TOC2"/>
            <w:rPr>
              <w:rFonts w:asciiTheme="minorHAnsi" w:eastAsiaTheme="minorEastAsia" w:hAnsiTheme="minorHAnsi" w:cstheme="minorBidi"/>
              <w:lang w:val="en-US"/>
            </w:rPr>
          </w:pPr>
          <w:hyperlink w:anchor="_Toc72145618" w:history="1">
            <w:r w:rsidRPr="00B04D28">
              <w:rPr>
                <w:rStyle w:val="Hyperlink"/>
              </w:rPr>
              <w:t>§ 1 Oblast působnosti</w:t>
            </w:r>
          </w:hyperlink>
        </w:p>
        <w:p w14:paraId="0F0C3988" w14:textId="77777777" w:rsidR="00BB027E" w:rsidRDefault="00BB027E">
          <w:pPr>
            <w:pStyle w:val="TOC2"/>
            <w:rPr>
              <w:rFonts w:asciiTheme="minorHAnsi" w:eastAsiaTheme="minorEastAsia" w:hAnsiTheme="minorHAnsi" w:cstheme="minorBidi"/>
              <w:lang w:val="en-US"/>
            </w:rPr>
          </w:pPr>
          <w:hyperlink w:anchor="_Toc72145619" w:history="1">
            <w:r w:rsidRPr="00B04D28">
              <w:rPr>
                <w:rStyle w:val="Hyperlink"/>
              </w:rPr>
              <w:t>§ 2 Podmínky a obecné požadavky</w:t>
            </w:r>
          </w:hyperlink>
        </w:p>
        <w:p w14:paraId="6307C5C2" w14:textId="77777777" w:rsidR="00BB027E" w:rsidRDefault="00BB027E">
          <w:pPr>
            <w:pStyle w:val="TOC1"/>
            <w:rPr>
              <w:rFonts w:asciiTheme="minorHAnsi" w:eastAsiaTheme="minorEastAsia" w:hAnsiTheme="minorHAnsi" w:cstheme="minorBidi"/>
              <w:b w:val="0"/>
              <w:lang w:val="en-US"/>
            </w:rPr>
          </w:pPr>
          <w:hyperlink w:anchor="_Toc72145620" w:history="1">
            <w:r w:rsidRPr="00B04D28">
              <w:rPr>
                <w:rStyle w:val="Hyperlink"/>
              </w:rPr>
              <w:t>Část II</w:t>
            </w:r>
          </w:hyperlink>
        </w:p>
        <w:p w14:paraId="3C3A9BE3" w14:textId="77777777" w:rsidR="00BB027E" w:rsidRDefault="00BB027E">
          <w:pPr>
            <w:pStyle w:val="TOC1"/>
            <w:rPr>
              <w:rFonts w:asciiTheme="minorHAnsi" w:eastAsiaTheme="minorEastAsia" w:hAnsiTheme="minorHAnsi" w:cstheme="minorBidi"/>
              <w:b w:val="0"/>
              <w:lang w:val="en-US"/>
            </w:rPr>
          </w:pPr>
          <w:hyperlink w:anchor="_Toc72145621" w:history="1">
            <w:r w:rsidRPr="00B04D28">
              <w:rPr>
                <w:rStyle w:val="Hyperlink"/>
              </w:rPr>
              <w:t>Stavební předpisy</w:t>
            </w:r>
          </w:hyperlink>
        </w:p>
        <w:p w14:paraId="2F7B2956" w14:textId="77777777" w:rsidR="00BB027E" w:rsidRDefault="00BB027E">
          <w:pPr>
            <w:pStyle w:val="TOC2"/>
            <w:rPr>
              <w:rFonts w:asciiTheme="minorHAnsi" w:eastAsiaTheme="minorEastAsia" w:hAnsiTheme="minorHAnsi" w:cstheme="minorBidi"/>
              <w:lang w:val="en-US"/>
            </w:rPr>
          </w:pPr>
          <w:hyperlink w:anchor="_Toc72145622" w:history="1">
            <w:r w:rsidRPr="00B04D28">
              <w:rPr>
                <w:rStyle w:val="Hyperlink"/>
              </w:rPr>
              <w:t>§ 3 Vjezdy a výjezdy</w:t>
            </w:r>
          </w:hyperlink>
        </w:p>
        <w:p w14:paraId="22ED81DD" w14:textId="77777777" w:rsidR="00BB027E" w:rsidRDefault="00BB027E">
          <w:pPr>
            <w:pStyle w:val="TOC2"/>
            <w:rPr>
              <w:rFonts w:asciiTheme="minorHAnsi" w:eastAsiaTheme="minorEastAsia" w:hAnsiTheme="minorHAnsi" w:cstheme="minorBidi"/>
              <w:lang w:val="en-US"/>
            </w:rPr>
          </w:pPr>
          <w:hyperlink w:anchor="_Toc72145623" w:history="1">
            <w:r w:rsidRPr="00B04D28">
              <w:rPr>
                <w:rStyle w:val="Hyperlink"/>
              </w:rPr>
              <w:t>§ 4 Rampy</w:t>
            </w:r>
          </w:hyperlink>
        </w:p>
        <w:p w14:paraId="0C9BC8EA" w14:textId="77777777" w:rsidR="00BB027E" w:rsidRDefault="00BB027E">
          <w:pPr>
            <w:pStyle w:val="TOC2"/>
            <w:rPr>
              <w:rFonts w:asciiTheme="minorHAnsi" w:eastAsiaTheme="minorEastAsia" w:hAnsiTheme="minorHAnsi" w:cstheme="minorBidi"/>
              <w:lang w:val="en-US"/>
            </w:rPr>
          </w:pPr>
          <w:hyperlink w:anchor="_Toc72145624" w:history="1">
            <w:r w:rsidRPr="00B04D28">
              <w:rPr>
                <w:rStyle w:val="Hyperlink"/>
              </w:rPr>
              <w:t>§ 5 Parkovací místa a jízdní pásy</w:t>
            </w:r>
          </w:hyperlink>
        </w:p>
        <w:p w14:paraId="4F777360" w14:textId="77777777" w:rsidR="00BB027E" w:rsidRDefault="00BB027E">
          <w:pPr>
            <w:pStyle w:val="TOC2"/>
            <w:rPr>
              <w:rFonts w:asciiTheme="minorHAnsi" w:eastAsiaTheme="minorEastAsia" w:hAnsiTheme="minorHAnsi" w:cstheme="minorBidi"/>
              <w:lang w:val="en-US"/>
            </w:rPr>
          </w:pPr>
          <w:hyperlink w:anchor="_Toc72145625" w:history="1">
            <w:r w:rsidRPr="00B04D28">
              <w:rPr>
                <w:rStyle w:val="Hyperlink"/>
              </w:rPr>
              <w:t>§ 6 Světlá výška</w:t>
            </w:r>
          </w:hyperlink>
        </w:p>
        <w:p w14:paraId="349216D2" w14:textId="77777777" w:rsidR="00BB027E" w:rsidRDefault="00BB027E">
          <w:pPr>
            <w:pStyle w:val="TOC2"/>
            <w:rPr>
              <w:rFonts w:asciiTheme="minorHAnsi" w:eastAsiaTheme="minorEastAsia" w:hAnsiTheme="minorHAnsi" w:cstheme="minorBidi"/>
              <w:lang w:val="en-US"/>
            </w:rPr>
          </w:pPr>
          <w:hyperlink w:anchor="_Toc72145626" w:history="1">
            <w:r w:rsidRPr="00B04D28">
              <w:rPr>
                <w:rStyle w:val="Hyperlink"/>
              </w:rPr>
              <w:t>§ 7 Stěny, sloupy, stropy, střechy</w:t>
            </w:r>
          </w:hyperlink>
        </w:p>
        <w:p w14:paraId="6382542C" w14:textId="77777777" w:rsidR="00BB027E" w:rsidRDefault="00BB027E">
          <w:pPr>
            <w:pStyle w:val="TOC2"/>
            <w:rPr>
              <w:rFonts w:asciiTheme="minorHAnsi" w:eastAsiaTheme="minorEastAsia" w:hAnsiTheme="minorHAnsi" w:cstheme="minorBidi"/>
              <w:lang w:val="en-US"/>
            </w:rPr>
          </w:pPr>
          <w:hyperlink w:anchor="_Toc72145627" w:history="1">
            <w:r w:rsidRPr="00B04D28">
              <w:rPr>
                <w:rStyle w:val="Hyperlink"/>
              </w:rPr>
              <w:t>§ 8 Vnější stěny</w:t>
            </w:r>
          </w:hyperlink>
        </w:p>
        <w:p w14:paraId="19E40CAE" w14:textId="77777777" w:rsidR="00BB027E" w:rsidRDefault="00BB027E">
          <w:pPr>
            <w:pStyle w:val="TOC2"/>
            <w:rPr>
              <w:rFonts w:asciiTheme="minorHAnsi" w:eastAsiaTheme="minorEastAsia" w:hAnsiTheme="minorHAnsi" w:cstheme="minorBidi"/>
              <w:lang w:val="en-US"/>
            </w:rPr>
          </w:pPr>
          <w:hyperlink w:anchor="_Toc72145628" w:history="1">
            <w:r w:rsidRPr="00B04D28">
              <w:rPr>
                <w:rStyle w:val="Hyperlink"/>
              </w:rPr>
              <w:t>§ 9 Dělící stěny, ostatní vnitřní stěny a brány</w:t>
            </w:r>
          </w:hyperlink>
        </w:p>
        <w:p w14:paraId="5CC729E1" w14:textId="77777777" w:rsidR="00BB027E" w:rsidRDefault="00BB027E">
          <w:pPr>
            <w:pStyle w:val="TOC2"/>
            <w:rPr>
              <w:rFonts w:asciiTheme="minorHAnsi" w:eastAsiaTheme="minorEastAsia" w:hAnsiTheme="minorHAnsi" w:cstheme="minorBidi"/>
              <w:lang w:val="en-US"/>
            </w:rPr>
          </w:pPr>
          <w:hyperlink w:anchor="_Toc72145629" w:history="1">
            <w:r w:rsidRPr="00B04D28">
              <w:rPr>
                <w:rStyle w:val="Hyperlink"/>
              </w:rPr>
              <w:t>§ 10 Uzavírací stěny budov</w:t>
            </w:r>
          </w:hyperlink>
        </w:p>
        <w:p w14:paraId="5F9E7F31" w14:textId="77777777" w:rsidR="00BB027E" w:rsidRDefault="00BB027E">
          <w:pPr>
            <w:pStyle w:val="TOC2"/>
            <w:rPr>
              <w:rFonts w:asciiTheme="minorHAnsi" w:eastAsiaTheme="minorEastAsia" w:hAnsiTheme="minorHAnsi" w:cstheme="minorBidi"/>
              <w:lang w:val="en-US"/>
            </w:rPr>
          </w:pPr>
          <w:hyperlink w:anchor="_Toc72145630" w:history="1">
            <w:r w:rsidRPr="00B04D28">
              <w:rPr>
                <w:rStyle w:val="Hyperlink"/>
              </w:rPr>
              <w:t>§ 11 Stěny a stropy malých garáží</w:t>
            </w:r>
          </w:hyperlink>
        </w:p>
        <w:p w14:paraId="5E826E90" w14:textId="77777777" w:rsidR="00BB027E" w:rsidRDefault="00BB027E">
          <w:pPr>
            <w:pStyle w:val="TOC2"/>
            <w:rPr>
              <w:rFonts w:asciiTheme="minorHAnsi" w:eastAsiaTheme="minorEastAsia" w:hAnsiTheme="minorHAnsi" w:cstheme="minorBidi"/>
              <w:lang w:val="en-US"/>
            </w:rPr>
          </w:pPr>
          <w:hyperlink w:anchor="_Toc72145631" w:history="1">
            <w:r w:rsidRPr="00B04D28">
              <w:rPr>
                <w:rStyle w:val="Hyperlink"/>
              </w:rPr>
              <w:t>§12 Požární úseky</w:t>
            </w:r>
          </w:hyperlink>
        </w:p>
        <w:p w14:paraId="4CD87C81" w14:textId="77777777" w:rsidR="00BB027E" w:rsidRDefault="00BB027E">
          <w:pPr>
            <w:pStyle w:val="TOC2"/>
            <w:rPr>
              <w:rFonts w:asciiTheme="minorHAnsi" w:eastAsiaTheme="minorEastAsia" w:hAnsiTheme="minorHAnsi" w:cstheme="minorBidi"/>
              <w:lang w:val="en-US"/>
            </w:rPr>
          </w:pPr>
          <w:hyperlink w:anchor="_Toc72145632" w:history="1">
            <w:r w:rsidRPr="00B04D28">
              <w:rPr>
                <w:rStyle w:val="Hyperlink"/>
              </w:rPr>
              <w:t>§ 13 Napojení do garáží a mezi podlažími garáží</w:t>
            </w:r>
          </w:hyperlink>
        </w:p>
        <w:p w14:paraId="282D33D0" w14:textId="77777777" w:rsidR="00BB027E" w:rsidRDefault="00BB027E">
          <w:pPr>
            <w:pStyle w:val="TOC2"/>
            <w:rPr>
              <w:rFonts w:asciiTheme="minorHAnsi" w:eastAsiaTheme="minorEastAsia" w:hAnsiTheme="minorHAnsi" w:cstheme="minorBidi"/>
              <w:lang w:val="en-US"/>
            </w:rPr>
          </w:pPr>
          <w:hyperlink w:anchor="_Toc72145633" w:history="1">
            <w:r w:rsidRPr="00B04D28">
              <w:rPr>
                <w:rStyle w:val="Hyperlink"/>
              </w:rPr>
              <w:t>§ 14 Únikové cesty</w:t>
            </w:r>
          </w:hyperlink>
        </w:p>
        <w:p w14:paraId="692968F5" w14:textId="77777777" w:rsidR="00BB027E" w:rsidRDefault="00BB027E">
          <w:pPr>
            <w:pStyle w:val="TOC2"/>
            <w:rPr>
              <w:rFonts w:asciiTheme="minorHAnsi" w:eastAsiaTheme="minorEastAsia" w:hAnsiTheme="minorHAnsi" w:cstheme="minorBidi"/>
              <w:lang w:val="en-US"/>
            </w:rPr>
          </w:pPr>
          <w:hyperlink w:anchor="_Toc72145634" w:history="1">
            <w:r w:rsidRPr="00B04D28">
              <w:rPr>
                <w:rStyle w:val="Hyperlink"/>
              </w:rPr>
              <w:t>§ 15 Osvětlení, bezpečnostní osvětlení</w:t>
            </w:r>
          </w:hyperlink>
        </w:p>
        <w:p w14:paraId="74AC7A42" w14:textId="77777777" w:rsidR="00BB027E" w:rsidRDefault="00BB027E">
          <w:pPr>
            <w:pStyle w:val="TOC2"/>
            <w:rPr>
              <w:rFonts w:asciiTheme="minorHAnsi" w:eastAsiaTheme="minorEastAsia" w:hAnsiTheme="minorHAnsi" w:cstheme="minorBidi"/>
              <w:lang w:val="en-US"/>
            </w:rPr>
          </w:pPr>
          <w:hyperlink w:anchor="_Toc72145635" w:history="1">
            <w:r w:rsidRPr="00B04D28">
              <w:rPr>
                <w:rStyle w:val="Hyperlink"/>
              </w:rPr>
              <w:t>§ 16 Větrání</w:t>
            </w:r>
          </w:hyperlink>
        </w:p>
        <w:p w14:paraId="17DB2E77" w14:textId="77777777" w:rsidR="00BB027E" w:rsidRDefault="00BB027E">
          <w:pPr>
            <w:pStyle w:val="TOC2"/>
            <w:rPr>
              <w:rFonts w:asciiTheme="minorHAnsi" w:eastAsiaTheme="minorEastAsia" w:hAnsiTheme="minorHAnsi" w:cstheme="minorBidi"/>
              <w:lang w:val="en-US"/>
            </w:rPr>
          </w:pPr>
          <w:hyperlink w:anchor="_Toc72145636" w:history="1">
            <w:r w:rsidRPr="00B04D28">
              <w:rPr>
                <w:rStyle w:val="Hyperlink"/>
              </w:rPr>
              <w:t>§ 17 Hasicí zařízení, odvod kouře</w:t>
            </w:r>
          </w:hyperlink>
        </w:p>
        <w:p w14:paraId="4E9241B4" w14:textId="77777777" w:rsidR="00BB027E" w:rsidRDefault="00BB027E">
          <w:pPr>
            <w:pStyle w:val="TOC2"/>
            <w:rPr>
              <w:rFonts w:asciiTheme="minorHAnsi" w:eastAsiaTheme="minorEastAsia" w:hAnsiTheme="minorHAnsi" w:cstheme="minorBidi"/>
              <w:lang w:val="en-US"/>
            </w:rPr>
          </w:pPr>
          <w:hyperlink w:anchor="_Toc72145637" w:history="1">
            <w:r w:rsidRPr="00B04D28">
              <w:rPr>
                <w:rStyle w:val="Hyperlink"/>
              </w:rPr>
              <w:t>§ 18 Požární systémy, vnitřní rádiové systémy</w:t>
            </w:r>
          </w:hyperlink>
        </w:p>
        <w:p w14:paraId="5BEF7240" w14:textId="77777777" w:rsidR="00BB027E" w:rsidRDefault="00BB027E">
          <w:pPr>
            <w:pStyle w:val="TOC2"/>
            <w:rPr>
              <w:rFonts w:asciiTheme="minorHAnsi" w:eastAsiaTheme="minorEastAsia" w:hAnsiTheme="minorHAnsi" w:cstheme="minorBidi"/>
              <w:lang w:val="en-US"/>
            </w:rPr>
          </w:pPr>
          <w:hyperlink w:anchor="_Toc72145638" w:history="1">
            <w:r w:rsidRPr="00B04D28">
              <w:rPr>
                <w:rStyle w:val="Hyperlink"/>
              </w:rPr>
              <w:t>§ 19 Zálohové napájecí systémy</w:t>
            </w:r>
          </w:hyperlink>
        </w:p>
        <w:p w14:paraId="0BFEF59E" w14:textId="77777777" w:rsidR="00BB027E" w:rsidRDefault="00BB027E">
          <w:pPr>
            <w:pStyle w:val="TOC2"/>
            <w:rPr>
              <w:rFonts w:asciiTheme="minorHAnsi" w:eastAsiaTheme="minorEastAsia" w:hAnsiTheme="minorHAnsi" w:cstheme="minorBidi"/>
              <w:lang w:val="en-US"/>
            </w:rPr>
          </w:pPr>
          <w:hyperlink w:anchor="_Toc72145639" w:history="1">
            <w:r w:rsidRPr="00B04D28">
              <w:rPr>
                <w:rStyle w:val="Hyperlink"/>
              </w:rPr>
              <w:t>§ 20 Instalace a technické systémy</w:t>
            </w:r>
          </w:hyperlink>
        </w:p>
        <w:p w14:paraId="4F21653F" w14:textId="77777777" w:rsidR="00BB027E" w:rsidRDefault="00BB027E">
          <w:pPr>
            <w:pStyle w:val="TOC1"/>
            <w:rPr>
              <w:rFonts w:asciiTheme="minorHAnsi" w:eastAsiaTheme="minorEastAsia" w:hAnsiTheme="minorHAnsi" w:cstheme="minorBidi"/>
              <w:b w:val="0"/>
              <w:lang w:val="en-US"/>
            </w:rPr>
          </w:pPr>
          <w:hyperlink w:anchor="_Toc72145640" w:history="1">
            <w:r w:rsidRPr="00B04D28">
              <w:rPr>
                <w:rStyle w:val="Hyperlink"/>
              </w:rPr>
              <w:t>Část III</w:t>
            </w:r>
          </w:hyperlink>
        </w:p>
        <w:p w14:paraId="4F35FA3A" w14:textId="77777777" w:rsidR="00BB027E" w:rsidRDefault="00BB027E">
          <w:pPr>
            <w:pStyle w:val="TOC1"/>
            <w:rPr>
              <w:rFonts w:asciiTheme="minorHAnsi" w:eastAsiaTheme="minorEastAsia" w:hAnsiTheme="minorHAnsi" w:cstheme="minorBidi"/>
              <w:b w:val="0"/>
              <w:lang w:val="en-US"/>
            </w:rPr>
          </w:pPr>
          <w:hyperlink w:anchor="_Toc72145641" w:history="1">
            <w:r w:rsidRPr="00B04D28">
              <w:rPr>
                <w:rStyle w:val="Hyperlink"/>
              </w:rPr>
              <w:t>Provozní pravidla</w:t>
            </w:r>
          </w:hyperlink>
        </w:p>
        <w:p w14:paraId="64CD62D4" w14:textId="77777777" w:rsidR="00BB027E" w:rsidRDefault="00BB027E">
          <w:pPr>
            <w:pStyle w:val="TOC2"/>
            <w:rPr>
              <w:rFonts w:asciiTheme="minorHAnsi" w:eastAsiaTheme="minorEastAsia" w:hAnsiTheme="minorHAnsi" w:cstheme="minorBidi"/>
              <w:lang w:val="en-US"/>
            </w:rPr>
          </w:pPr>
          <w:hyperlink w:anchor="_Toc72145642" w:history="1">
            <w:r w:rsidRPr="00B04D28">
              <w:rPr>
                <w:rStyle w:val="Hyperlink"/>
              </w:rPr>
              <w:t>§ 21 Provozní pravidla pro garáže</w:t>
            </w:r>
          </w:hyperlink>
        </w:p>
        <w:p w14:paraId="36553E1A" w14:textId="77777777" w:rsidR="00BB027E" w:rsidRDefault="00BB027E">
          <w:pPr>
            <w:pStyle w:val="TOC1"/>
            <w:rPr>
              <w:rFonts w:asciiTheme="minorHAnsi" w:eastAsiaTheme="minorEastAsia" w:hAnsiTheme="minorHAnsi" w:cstheme="minorBidi"/>
              <w:b w:val="0"/>
              <w:lang w:val="en-US"/>
            </w:rPr>
          </w:pPr>
          <w:hyperlink w:anchor="_Toc72145643" w:history="1">
            <w:r w:rsidRPr="00B04D28">
              <w:rPr>
                <w:rStyle w:val="Hyperlink"/>
              </w:rPr>
              <w:t>Část IV</w:t>
            </w:r>
          </w:hyperlink>
        </w:p>
        <w:p w14:paraId="7F3C322D" w14:textId="77777777" w:rsidR="00BB027E" w:rsidRDefault="00BB027E">
          <w:pPr>
            <w:pStyle w:val="TOC1"/>
            <w:rPr>
              <w:rFonts w:asciiTheme="minorHAnsi" w:eastAsiaTheme="minorEastAsia" w:hAnsiTheme="minorHAnsi" w:cstheme="minorBidi"/>
              <w:b w:val="0"/>
              <w:lang w:val="en-US"/>
            </w:rPr>
          </w:pPr>
          <w:hyperlink w:anchor="_Toc72145644" w:history="1">
            <w:r w:rsidRPr="00B04D28">
              <w:rPr>
                <w:rStyle w:val="Hyperlink"/>
              </w:rPr>
              <w:t>Požadovaná stavební dokumentace</w:t>
            </w:r>
          </w:hyperlink>
        </w:p>
        <w:p w14:paraId="435DD42B" w14:textId="77777777" w:rsidR="00BB027E" w:rsidRDefault="00BB027E">
          <w:pPr>
            <w:pStyle w:val="TOC2"/>
            <w:rPr>
              <w:rFonts w:asciiTheme="minorHAnsi" w:eastAsiaTheme="minorEastAsia" w:hAnsiTheme="minorHAnsi" w:cstheme="minorBidi"/>
              <w:lang w:val="en-US"/>
            </w:rPr>
          </w:pPr>
          <w:hyperlink w:anchor="_Toc72145645" w:history="1">
            <w:r w:rsidRPr="00B04D28">
              <w:rPr>
                <w:rStyle w:val="Hyperlink"/>
              </w:rPr>
              <w:t>§ 22 Stavební dokumentace, plány protipožární ochrany</w:t>
            </w:r>
          </w:hyperlink>
        </w:p>
        <w:p w14:paraId="01A15E26" w14:textId="77777777" w:rsidR="00BB027E" w:rsidRDefault="00BB027E">
          <w:pPr>
            <w:pStyle w:val="TOC1"/>
            <w:rPr>
              <w:rFonts w:asciiTheme="minorHAnsi" w:eastAsiaTheme="minorEastAsia" w:hAnsiTheme="minorHAnsi" w:cstheme="minorBidi"/>
              <w:b w:val="0"/>
              <w:lang w:val="en-US"/>
            </w:rPr>
          </w:pPr>
          <w:hyperlink w:anchor="_Toc72145646" w:history="1">
            <w:r w:rsidRPr="00B04D28">
              <w:rPr>
                <w:rStyle w:val="Hyperlink"/>
              </w:rPr>
              <w:t>Část V</w:t>
            </w:r>
          </w:hyperlink>
        </w:p>
        <w:p w14:paraId="26A59A31" w14:textId="77777777" w:rsidR="00BB027E" w:rsidRDefault="00BB027E">
          <w:pPr>
            <w:pStyle w:val="TOC1"/>
            <w:rPr>
              <w:rFonts w:asciiTheme="minorHAnsi" w:eastAsiaTheme="minorEastAsia" w:hAnsiTheme="minorHAnsi" w:cstheme="minorBidi"/>
              <w:b w:val="0"/>
              <w:lang w:val="en-US"/>
            </w:rPr>
          </w:pPr>
          <w:hyperlink w:anchor="_Toc72145647" w:history="1">
            <w:r w:rsidRPr="00B04D28">
              <w:rPr>
                <w:rStyle w:val="Hyperlink"/>
              </w:rPr>
              <w:t>Závěrečná ustanovení</w:t>
            </w:r>
          </w:hyperlink>
        </w:p>
        <w:p w14:paraId="3A192118" w14:textId="77777777" w:rsidR="00BB027E" w:rsidRDefault="00BB027E">
          <w:pPr>
            <w:pStyle w:val="TOC2"/>
            <w:rPr>
              <w:rFonts w:asciiTheme="minorHAnsi" w:eastAsiaTheme="minorEastAsia" w:hAnsiTheme="minorHAnsi" w:cstheme="minorBidi"/>
              <w:lang w:val="en-US"/>
            </w:rPr>
          </w:pPr>
          <w:hyperlink w:anchor="_Toc72145648" w:history="1">
            <w:r w:rsidRPr="00B04D28">
              <w:rPr>
                <w:rStyle w:val="Hyperlink"/>
              </w:rPr>
              <w:t>§ 23 Další požadavky:</w:t>
            </w:r>
          </w:hyperlink>
        </w:p>
        <w:p w14:paraId="71176C25" w14:textId="77777777" w:rsidR="00BB027E" w:rsidRDefault="00BB027E">
          <w:pPr>
            <w:pStyle w:val="TOC2"/>
            <w:rPr>
              <w:rFonts w:asciiTheme="minorHAnsi" w:eastAsiaTheme="minorEastAsia" w:hAnsiTheme="minorHAnsi" w:cstheme="minorBidi"/>
              <w:lang w:val="en-US"/>
            </w:rPr>
          </w:pPr>
          <w:hyperlink w:anchor="_Toc72145649" w:history="1">
            <w:r w:rsidRPr="00B04D28">
              <w:rPr>
                <w:rStyle w:val="Hyperlink"/>
              </w:rPr>
              <w:t>§ 24 Správní delikty</w:t>
            </w:r>
          </w:hyperlink>
        </w:p>
        <w:p w14:paraId="2A9CC878" w14:textId="77777777" w:rsidR="00BB027E" w:rsidRDefault="00BB027E">
          <w:pPr>
            <w:pStyle w:val="TOC2"/>
            <w:rPr>
              <w:rFonts w:asciiTheme="minorHAnsi" w:eastAsiaTheme="minorEastAsia" w:hAnsiTheme="minorHAnsi" w:cstheme="minorBidi"/>
              <w:lang w:val="en-US"/>
            </w:rPr>
          </w:pPr>
          <w:hyperlink w:anchor="_Toc72145650" w:history="1">
            <w:r w:rsidRPr="00B04D28">
              <w:rPr>
                <w:rStyle w:val="Hyperlink"/>
              </w:rPr>
              <w:t>§ 25. Přechodná ustanovení</w:t>
            </w:r>
          </w:hyperlink>
        </w:p>
        <w:p w14:paraId="5BC37557" w14:textId="77777777" w:rsidR="00BB027E" w:rsidRDefault="00BB027E">
          <w:pPr>
            <w:pStyle w:val="TOC2"/>
            <w:rPr>
              <w:rFonts w:asciiTheme="minorHAnsi" w:eastAsiaTheme="minorEastAsia" w:hAnsiTheme="minorHAnsi" w:cstheme="minorBidi"/>
              <w:lang w:val="en-US"/>
            </w:rPr>
          </w:pPr>
          <w:hyperlink w:anchor="_Toc72145651" w:history="1">
            <w:r w:rsidRPr="00B04D28">
              <w:rPr>
                <w:rStyle w:val="Hyperlink"/>
              </w:rPr>
              <w:t>Článek 26 Vstup v platnost</w:t>
            </w:r>
          </w:hyperlink>
        </w:p>
        <w:p w14:paraId="571E4377" w14:textId="74796AF6" w:rsidR="003852B2" w:rsidRPr="00A772AF" w:rsidRDefault="000705AA" w:rsidP="00DC1BB4">
          <w:pPr>
            <w:pStyle w:val="TOC2"/>
          </w:pPr>
          <w:r w:rsidRPr="00A772AF">
            <w:lastRenderedPageBreak/>
            <w:fldChar w:fldCharType="end"/>
          </w:r>
          <w:r>
            <w:br w:type="page"/>
          </w:r>
        </w:p>
      </w:sdtContent>
    </w:sdt>
    <w:p w14:paraId="4E39E889" w14:textId="4AFBB1EB" w:rsidR="00B74371" w:rsidRPr="00A772AF" w:rsidRDefault="00552591" w:rsidP="00B74371">
      <w:pPr>
        <w:pStyle w:val="Heading1"/>
        <w:jc w:val="center"/>
        <w:rPr>
          <w:sz w:val="22"/>
          <w:szCs w:val="22"/>
        </w:rPr>
      </w:pPr>
      <w:bookmarkStart w:id="0" w:name="_Toc72145616"/>
      <w:r>
        <w:rPr>
          <w:sz w:val="22"/>
        </w:rPr>
        <w:lastRenderedPageBreak/>
        <w:t>Část I</w:t>
      </w:r>
      <w:bookmarkEnd w:id="0"/>
      <w:r>
        <w:rPr>
          <w:sz w:val="22"/>
        </w:rPr>
        <w:t xml:space="preserve"> </w:t>
      </w:r>
    </w:p>
    <w:p w14:paraId="3F0F0120" w14:textId="0155A8D0" w:rsidR="00552591" w:rsidRPr="00A772AF" w:rsidRDefault="00552591" w:rsidP="00B74371">
      <w:pPr>
        <w:pStyle w:val="Heading1"/>
        <w:jc w:val="center"/>
        <w:rPr>
          <w:sz w:val="22"/>
          <w:szCs w:val="22"/>
        </w:rPr>
      </w:pPr>
      <w:bookmarkStart w:id="1" w:name="_Toc72145617"/>
      <w:r>
        <w:rPr>
          <w:sz w:val="22"/>
        </w:rPr>
        <w:t>Obecná ustanovení</w:t>
      </w:r>
      <w:bookmarkEnd w:id="1"/>
    </w:p>
    <w:p w14:paraId="3DAAFABF" w14:textId="12D06496" w:rsidR="00552591" w:rsidRPr="00A772AF" w:rsidRDefault="00552591" w:rsidP="00552591">
      <w:pPr>
        <w:spacing w:after="0" w:line="240" w:lineRule="auto"/>
        <w:rPr>
          <w:rFonts w:ascii="Arial" w:eastAsia="Times New Roman" w:hAnsi="Arial" w:cs="Arial"/>
          <w:lang w:eastAsia="de-DE"/>
        </w:rPr>
      </w:pPr>
    </w:p>
    <w:p w14:paraId="5FAF8018" w14:textId="77777777" w:rsidR="004F065E" w:rsidRPr="00A772AF" w:rsidRDefault="004F065E" w:rsidP="00552591">
      <w:pPr>
        <w:spacing w:after="0" w:line="240" w:lineRule="auto"/>
        <w:rPr>
          <w:rFonts w:ascii="Arial" w:eastAsia="Times New Roman" w:hAnsi="Arial" w:cs="Arial"/>
          <w:lang w:eastAsia="de-DE"/>
        </w:rPr>
      </w:pPr>
    </w:p>
    <w:p w14:paraId="63624E39" w14:textId="7C05ED19" w:rsidR="00552591" w:rsidRPr="00A772AF" w:rsidRDefault="007D4D2B" w:rsidP="00F43216">
      <w:pPr>
        <w:pStyle w:val="Heading2"/>
        <w:rPr>
          <w:szCs w:val="22"/>
        </w:rPr>
      </w:pPr>
      <w:bookmarkStart w:id="2" w:name="_Toc72145618"/>
      <w:r>
        <w:t>§ 1 Oblast působnosti</w:t>
      </w:r>
      <w:bookmarkEnd w:id="2"/>
    </w:p>
    <w:p w14:paraId="4D5FBC92" w14:textId="77777777" w:rsidR="00552591" w:rsidRPr="00A772AF" w:rsidRDefault="00552591" w:rsidP="00552591">
      <w:pPr>
        <w:spacing w:after="0" w:line="240" w:lineRule="auto"/>
        <w:rPr>
          <w:rFonts w:ascii="Arial" w:eastAsia="Times New Roman" w:hAnsi="Arial" w:cs="Arial"/>
          <w:lang w:eastAsia="de-DE"/>
        </w:rPr>
      </w:pPr>
    </w:p>
    <w:p w14:paraId="6CD1FB09" w14:textId="06123EE2" w:rsidR="00552591" w:rsidRPr="00A772AF" w:rsidRDefault="00552591" w:rsidP="00500DDD">
      <w:pPr>
        <w:spacing w:after="0" w:line="240" w:lineRule="auto"/>
        <w:rPr>
          <w:rFonts w:ascii="Arial" w:eastAsia="Times New Roman" w:hAnsi="Arial" w:cs="Arial"/>
        </w:rPr>
      </w:pPr>
      <w:r>
        <w:rPr>
          <w:rFonts w:ascii="Arial" w:hAnsi="Arial"/>
        </w:rPr>
        <w:t>(1) Nařízení se vztahuje na parkovací místa a garáže ve smyslu § 2 odst. 7 a § 49 vzorového stavebního řádu.</w:t>
      </w:r>
    </w:p>
    <w:p w14:paraId="4E988BD8" w14:textId="77777777" w:rsidR="00552591" w:rsidRPr="00A772AF" w:rsidRDefault="00552591" w:rsidP="00500DDD">
      <w:pPr>
        <w:spacing w:after="0" w:line="240" w:lineRule="auto"/>
        <w:contextualSpacing/>
        <w:rPr>
          <w:rFonts w:ascii="Arial" w:eastAsia="Times New Roman" w:hAnsi="Arial" w:cs="Arial"/>
          <w:lang w:eastAsia="de-DE"/>
        </w:rPr>
      </w:pPr>
    </w:p>
    <w:p w14:paraId="3A502F7D" w14:textId="4B1CE9F1" w:rsidR="00500DDD" w:rsidRPr="00A772AF" w:rsidRDefault="00500DDD" w:rsidP="00306848">
      <w:pPr>
        <w:spacing w:after="0"/>
        <w:rPr>
          <w:rFonts w:ascii="Arial" w:eastAsia="Times New Roman" w:hAnsi="Arial" w:cs="Arial"/>
        </w:rPr>
      </w:pPr>
      <w:r>
        <w:rPr>
          <w:rFonts w:ascii="Arial" w:hAnsi="Arial"/>
        </w:rPr>
        <w:t>(2) Nařízení se nevztahuje na budovy a části budov pro uchovávání:</w:t>
      </w:r>
    </w:p>
    <w:p w14:paraId="313A8E66" w14:textId="1C440967" w:rsidR="00500DDD" w:rsidRPr="00A772AF" w:rsidRDefault="00500DDD" w:rsidP="00306848">
      <w:pPr>
        <w:spacing w:after="0"/>
        <w:ind w:left="284" w:hanging="284"/>
        <w:rPr>
          <w:rFonts w:ascii="Arial" w:eastAsia="Times New Roman" w:hAnsi="Arial" w:cs="Arial"/>
        </w:rPr>
      </w:pPr>
      <w:r>
        <w:rPr>
          <w:rFonts w:ascii="Arial" w:hAnsi="Arial"/>
        </w:rPr>
        <w:t>1.</w:t>
      </w:r>
      <w:r>
        <w:rPr>
          <w:rFonts w:ascii="Arial" w:hAnsi="Arial"/>
        </w:rPr>
        <w:tab/>
        <w:t>služebních vozidel, která se používají pro složky požární ochrany, civilní ochrany a záchranné služby a</w:t>
      </w:r>
    </w:p>
    <w:p w14:paraId="2E75BD8A" w14:textId="2DE79CD7" w:rsidR="00500DDD" w:rsidRPr="00A772AF" w:rsidRDefault="00500DDD" w:rsidP="00306848">
      <w:pPr>
        <w:spacing w:after="0"/>
        <w:ind w:left="284" w:hanging="284"/>
        <w:rPr>
          <w:rFonts w:ascii="Arial" w:eastAsia="Times New Roman" w:hAnsi="Arial" w:cs="Arial"/>
        </w:rPr>
      </w:pPr>
      <w:r>
        <w:rPr>
          <w:rFonts w:ascii="Arial" w:hAnsi="Arial"/>
        </w:rPr>
        <w:t>2.</w:t>
      </w:r>
      <w:r>
        <w:rPr>
          <w:rFonts w:ascii="Arial" w:hAnsi="Arial"/>
        </w:rPr>
        <w:tab/>
        <w:t>strojního zařízení nebo zemědělských a lesnických traktorů.</w:t>
      </w:r>
    </w:p>
    <w:p w14:paraId="2978C0A5" w14:textId="7A95057E" w:rsidR="005B087C" w:rsidRPr="00A772AF" w:rsidRDefault="005B087C" w:rsidP="00306848">
      <w:pPr>
        <w:spacing w:after="0"/>
        <w:ind w:left="284" w:hanging="284"/>
        <w:rPr>
          <w:rFonts w:ascii="Arial" w:eastAsia="Times New Roman" w:hAnsi="Arial" w:cs="Arial"/>
        </w:rPr>
      </w:pPr>
      <w:r>
        <w:rPr>
          <w:rFonts w:ascii="Arial" w:hAnsi="Arial"/>
        </w:rPr>
        <w:t>3.</w:t>
      </w:r>
      <w:r>
        <w:rPr>
          <w:rFonts w:ascii="Arial" w:hAnsi="Arial"/>
        </w:rPr>
        <w:tab/>
        <w:t>provozuschopných vozidel v dílnách a skladových prostorách řemeslných podniků, pokud je prostor skladu v rámci pracovní plochy menší ve vztahu k podlahové ploše pracovní plochy.</w:t>
      </w:r>
    </w:p>
    <w:p w14:paraId="2B684C30" w14:textId="6EB27941" w:rsidR="00500DDD" w:rsidRPr="00A772AF" w:rsidRDefault="00500DDD" w:rsidP="00500DDD">
      <w:pPr>
        <w:rPr>
          <w:rFonts w:ascii="Arial" w:eastAsia="Times New Roman" w:hAnsi="Arial" w:cs="Arial"/>
          <w:strike/>
          <w:lang w:eastAsia="de-DE"/>
        </w:rPr>
      </w:pPr>
    </w:p>
    <w:p w14:paraId="1983115B" w14:textId="21D20849" w:rsidR="00552591" w:rsidRPr="00A772AF" w:rsidRDefault="007D4D2B" w:rsidP="00F43216">
      <w:pPr>
        <w:pStyle w:val="Heading2"/>
        <w:rPr>
          <w:szCs w:val="22"/>
        </w:rPr>
      </w:pPr>
      <w:bookmarkStart w:id="3" w:name="_Toc72145619"/>
      <w:r>
        <w:t>§ 2 Podmínky a obecné požadavky</w:t>
      </w:r>
      <w:bookmarkEnd w:id="3"/>
    </w:p>
    <w:p w14:paraId="543D9C1C" w14:textId="77777777" w:rsidR="00552591" w:rsidRPr="00A772AF" w:rsidRDefault="00552591" w:rsidP="00552591">
      <w:pPr>
        <w:spacing w:after="0" w:line="240" w:lineRule="auto"/>
        <w:rPr>
          <w:rFonts w:ascii="Arial" w:eastAsia="Times New Roman" w:hAnsi="Arial" w:cs="Arial"/>
          <w:lang w:eastAsia="de-DE"/>
        </w:rPr>
      </w:pPr>
    </w:p>
    <w:p w14:paraId="7D43CFC7" w14:textId="1A90959D" w:rsidR="007925AF" w:rsidRPr="00A772AF" w:rsidRDefault="007925AF" w:rsidP="007925AF">
      <w:pPr>
        <w:spacing w:after="0" w:line="240" w:lineRule="auto"/>
        <w:rPr>
          <w:rFonts w:ascii="Arial" w:eastAsia="Times New Roman" w:hAnsi="Arial" w:cs="Arial"/>
        </w:rPr>
      </w:pPr>
      <w:r>
        <w:rPr>
          <w:rFonts w:ascii="Arial" w:hAnsi="Arial"/>
        </w:rPr>
        <w:t>(1) Otevřené středně velké a velké garáže jsou garáže s nezamykatelnými otvory o celkové velikosti nejméně jedné třetiny celkové plochy obvodových stěn, které vedou přímo do otevřeného podlaží, kde nejméně dvě protilehlé obvodové stěny nejsou vzdálené více než 70 m od otvorů vedoucích do otevřeného prostoru a kde je trvalé příčné větrání.</w:t>
      </w:r>
    </w:p>
    <w:p w14:paraId="2D86F324" w14:textId="77777777" w:rsidR="007925AF" w:rsidRPr="00A772AF" w:rsidRDefault="007925AF" w:rsidP="007925AF">
      <w:pPr>
        <w:spacing w:after="0" w:line="240" w:lineRule="auto"/>
        <w:rPr>
          <w:rFonts w:ascii="Arial" w:eastAsia="Times New Roman" w:hAnsi="Arial" w:cs="Arial"/>
          <w:lang w:eastAsia="de-DE"/>
        </w:rPr>
      </w:pPr>
    </w:p>
    <w:p w14:paraId="2D2A6AA5" w14:textId="77777777" w:rsidR="007925AF" w:rsidRPr="00A772AF" w:rsidRDefault="007925AF" w:rsidP="007925AF">
      <w:pPr>
        <w:spacing w:after="0" w:line="240" w:lineRule="auto"/>
        <w:rPr>
          <w:rFonts w:ascii="Arial" w:eastAsia="Times New Roman" w:hAnsi="Arial" w:cs="Arial"/>
        </w:rPr>
      </w:pPr>
      <w:r>
        <w:rPr>
          <w:rFonts w:ascii="Arial" w:hAnsi="Arial"/>
        </w:rPr>
        <w:t>(2) Otevřené malé garáže jsou malé garáže s nezamykatelnými otvory o celkové velikosti nejméně jedné třetiny celkové plochy obvodových stěn, které vedou přímo do otevřeného prostoru.</w:t>
      </w:r>
    </w:p>
    <w:p w14:paraId="4F4A091E" w14:textId="77777777" w:rsidR="007925AF" w:rsidRPr="00A772AF" w:rsidRDefault="007925AF" w:rsidP="007925AF">
      <w:pPr>
        <w:spacing w:after="0" w:line="240" w:lineRule="auto"/>
        <w:rPr>
          <w:rFonts w:ascii="Arial" w:eastAsia="Times New Roman" w:hAnsi="Arial" w:cs="Arial"/>
          <w:lang w:eastAsia="de-DE"/>
        </w:rPr>
      </w:pPr>
    </w:p>
    <w:p w14:paraId="664CA12F" w14:textId="77777777" w:rsidR="007925AF" w:rsidRPr="00A772AF" w:rsidRDefault="007925AF" w:rsidP="007925AF">
      <w:pPr>
        <w:spacing w:after="0" w:line="240" w:lineRule="auto"/>
        <w:rPr>
          <w:rFonts w:ascii="Arial" w:eastAsia="Times New Roman" w:hAnsi="Arial" w:cs="Arial"/>
        </w:rPr>
      </w:pPr>
      <w:r>
        <w:rPr>
          <w:rFonts w:ascii="Arial" w:hAnsi="Arial"/>
        </w:rPr>
        <w:t>(3) Uzavřené garáže jsou garáže, které nesplňují požadavky stanovené v odstavcích 1 a 2.</w:t>
      </w:r>
    </w:p>
    <w:p w14:paraId="24D06763" w14:textId="77777777" w:rsidR="007925AF" w:rsidRPr="00A772AF" w:rsidRDefault="007925AF" w:rsidP="007925AF">
      <w:pPr>
        <w:spacing w:after="0" w:line="240" w:lineRule="auto"/>
        <w:rPr>
          <w:rFonts w:ascii="Arial" w:eastAsia="Times New Roman" w:hAnsi="Arial" w:cs="Arial"/>
          <w:lang w:eastAsia="de-DE"/>
        </w:rPr>
      </w:pPr>
    </w:p>
    <w:p w14:paraId="6A1AF63D" w14:textId="77777777" w:rsidR="007925AF" w:rsidRPr="00A772AF" w:rsidRDefault="007925AF" w:rsidP="007925AF">
      <w:pPr>
        <w:spacing w:after="0" w:line="240" w:lineRule="auto"/>
        <w:rPr>
          <w:rFonts w:ascii="Arial" w:eastAsia="Times New Roman" w:hAnsi="Arial" w:cs="Arial"/>
        </w:rPr>
      </w:pPr>
      <w:r>
        <w:rPr>
          <w:rFonts w:ascii="Arial" w:hAnsi="Arial"/>
        </w:rPr>
        <w:t>(4) Nadzemní garáže jsou garáže, jejichž podlaha je v průměru nejvýše 1,50 m pod úrovní země.</w:t>
      </w:r>
    </w:p>
    <w:p w14:paraId="2765619F" w14:textId="77777777" w:rsidR="007925AF" w:rsidRPr="00A772AF" w:rsidRDefault="007925AF" w:rsidP="007925AF">
      <w:pPr>
        <w:spacing w:after="0" w:line="240" w:lineRule="auto"/>
        <w:rPr>
          <w:rFonts w:ascii="Arial" w:eastAsia="Times New Roman" w:hAnsi="Arial" w:cs="Arial"/>
          <w:lang w:eastAsia="de-DE"/>
        </w:rPr>
      </w:pPr>
    </w:p>
    <w:p w14:paraId="775ED3F8" w14:textId="77777777" w:rsidR="007925AF" w:rsidRPr="00A772AF" w:rsidRDefault="007925AF" w:rsidP="007925AF">
      <w:pPr>
        <w:spacing w:after="0" w:line="240" w:lineRule="auto"/>
        <w:rPr>
          <w:rFonts w:ascii="Arial" w:eastAsia="Times New Roman" w:hAnsi="Arial" w:cs="Arial"/>
        </w:rPr>
      </w:pPr>
      <w:r>
        <w:rPr>
          <w:rFonts w:ascii="Arial" w:hAnsi="Arial"/>
        </w:rPr>
        <w:t>(5) Automatické garáže jsou garáže bez osobního nebo automobilového provozu, v nichž jsou motorová vozidla přepravována mechanickými dopravníky od vchodu do garážových stání a jsou také přepravována zpět ke garážovému východu za účelem odebrání.</w:t>
      </w:r>
    </w:p>
    <w:p w14:paraId="0BF6CEAD" w14:textId="77777777" w:rsidR="007925AF" w:rsidRPr="00A772AF" w:rsidRDefault="007925AF" w:rsidP="007925AF">
      <w:pPr>
        <w:spacing w:after="0" w:line="240" w:lineRule="auto"/>
        <w:rPr>
          <w:rFonts w:ascii="Arial" w:eastAsia="Times New Roman" w:hAnsi="Arial" w:cs="Arial"/>
          <w:lang w:eastAsia="de-DE"/>
        </w:rPr>
      </w:pPr>
    </w:p>
    <w:p w14:paraId="166386CF" w14:textId="77777777" w:rsidR="007925AF" w:rsidRPr="00A772AF" w:rsidRDefault="007925AF" w:rsidP="007925AF">
      <w:pPr>
        <w:spacing w:after="0" w:line="240" w:lineRule="auto"/>
        <w:rPr>
          <w:rFonts w:ascii="Arial" w:eastAsia="Times New Roman" w:hAnsi="Arial" w:cs="Arial"/>
        </w:rPr>
      </w:pPr>
      <w:r>
        <w:rPr>
          <w:rFonts w:ascii="Arial" w:hAnsi="Arial"/>
        </w:rPr>
        <w:t xml:space="preserve">(6) Parkovací místo je plocha sloužící k zaparkování motorového vozidla v garáži nebo na parkovacím místě. </w:t>
      </w:r>
    </w:p>
    <w:p w14:paraId="03378360" w14:textId="77777777" w:rsidR="007925AF" w:rsidRPr="00A772AF" w:rsidRDefault="007925AF" w:rsidP="007925AF">
      <w:pPr>
        <w:spacing w:after="0" w:line="240" w:lineRule="auto"/>
        <w:rPr>
          <w:rFonts w:ascii="Arial" w:eastAsia="Times New Roman" w:hAnsi="Arial" w:cs="Arial"/>
          <w:lang w:eastAsia="de-DE"/>
        </w:rPr>
      </w:pPr>
    </w:p>
    <w:p w14:paraId="03B7BAFE" w14:textId="2B4585F6" w:rsidR="007925AF" w:rsidRPr="00A772AF" w:rsidRDefault="007925AF" w:rsidP="007925AF">
      <w:pPr>
        <w:spacing w:after="0" w:line="240" w:lineRule="auto"/>
        <w:rPr>
          <w:rFonts w:ascii="Arial" w:eastAsia="Times New Roman" w:hAnsi="Arial" w:cs="Arial"/>
        </w:rPr>
      </w:pPr>
      <w:r>
        <w:rPr>
          <w:rFonts w:ascii="Arial" w:hAnsi="Arial"/>
        </w:rPr>
        <w:t>(7) Využitelná plocha garáže je součtem všech propojených prostor garážových stání, parkovacích míst pro jízdní kola, přívěsy a malá elektrická vozidla a dopravních ploch. Využitelná plocha automatické garáže je součtem ploch všech garážových stání. Není-li stanoveno jinak, nejsou parkovací místa na střechách (střešní parkovací místa) a související dopravní plochy zahrnuty do použitelného prostoru.</w:t>
      </w:r>
    </w:p>
    <w:p w14:paraId="3A8D4FD5" w14:textId="1C08C4C3" w:rsidR="007925AF" w:rsidRPr="00A772AF" w:rsidRDefault="007925AF" w:rsidP="007925AF">
      <w:pPr>
        <w:spacing w:after="0" w:line="240" w:lineRule="auto"/>
        <w:rPr>
          <w:rFonts w:ascii="Arial" w:eastAsia="Times New Roman" w:hAnsi="Arial" w:cs="Arial"/>
          <w:lang w:eastAsia="de-DE"/>
        </w:rPr>
      </w:pPr>
    </w:p>
    <w:p w14:paraId="5A3C79A2" w14:textId="77777777" w:rsidR="007925AF" w:rsidRPr="00A772AF" w:rsidRDefault="007925AF" w:rsidP="007925AF">
      <w:pPr>
        <w:spacing w:after="0" w:line="240" w:lineRule="auto"/>
        <w:rPr>
          <w:rFonts w:ascii="Arial" w:eastAsia="Times New Roman" w:hAnsi="Arial" w:cs="Arial"/>
        </w:rPr>
      </w:pPr>
      <w:r>
        <w:rPr>
          <w:rFonts w:ascii="Arial" w:hAnsi="Arial"/>
        </w:rPr>
        <w:t>(8) K dispozici jsou garáže s užitnou plochou</w:t>
      </w:r>
    </w:p>
    <w:p w14:paraId="3F484394" w14:textId="0D9236DF" w:rsidR="007925AF" w:rsidRPr="00A772AF" w:rsidRDefault="007925AF" w:rsidP="00915A71">
      <w:pPr>
        <w:tabs>
          <w:tab w:val="left" w:pos="2550"/>
        </w:tabs>
        <w:spacing w:after="0" w:line="240" w:lineRule="auto"/>
        <w:ind w:left="284" w:hanging="284"/>
        <w:rPr>
          <w:rFonts w:ascii="Arial" w:eastAsia="Times New Roman" w:hAnsi="Arial" w:cs="Arial"/>
        </w:rPr>
      </w:pPr>
      <w:r>
        <w:rPr>
          <w:rFonts w:ascii="Arial" w:hAnsi="Arial"/>
        </w:rPr>
        <w:t xml:space="preserve">1. </w:t>
      </w:r>
      <w:r>
        <w:rPr>
          <w:rFonts w:ascii="Arial" w:hAnsi="Arial"/>
        </w:rPr>
        <w:tab/>
        <w:t>až 100 m² v případě malých garáží,</w:t>
      </w:r>
    </w:p>
    <w:p w14:paraId="525556D0" w14:textId="2F111621" w:rsidR="007925AF" w:rsidRPr="00A772AF" w:rsidRDefault="00915A71" w:rsidP="00915A71">
      <w:pPr>
        <w:tabs>
          <w:tab w:val="left" w:pos="2550"/>
        </w:tabs>
        <w:spacing w:after="0" w:line="240" w:lineRule="auto"/>
        <w:ind w:left="284" w:hanging="284"/>
        <w:rPr>
          <w:rFonts w:ascii="Arial" w:eastAsia="Times New Roman" w:hAnsi="Arial" w:cs="Arial"/>
        </w:rPr>
      </w:pPr>
      <w:r>
        <w:rPr>
          <w:rFonts w:ascii="Arial" w:hAnsi="Arial"/>
        </w:rPr>
        <w:t>2.</w:t>
      </w:r>
      <w:r>
        <w:rPr>
          <w:rFonts w:ascii="Arial" w:hAnsi="Arial"/>
        </w:rPr>
        <w:tab/>
        <w:t xml:space="preserve">přes 100 m² až do 1 000 m² v případě středně velkých garáží, </w:t>
      </w:r>
    </w:p>
    <w:p w14:paraId="1E0FAE01" w14:textId="77777777" w:rsidR="00EC28F3" w:rsidRPr="00A772AF" w:rsidRDefault="007925AF" w:rsidP="00364C43">
      <w:pPr>
        <w:tabs>
          <w:tab w:val="left" w:pos="2550"/>
        </w:tabs>
        <w:spacing w:after="0" w:line="240" w:lineRule="auto"/>
        <w:ind w:left="284" w:hanging="284"/>
        <w:rPr>
          <w:rFonts w:ascii="Arial" w:eastAsia="Times New Roman" w:hAnsi="Arial" w:cs="Arial"/>
        </w:rPr>
      </w:pPr>
      <w:r>
        <w:rPr>
          <w:rFonts w:ascii="Arial" w:hAnsi="Arial"/>
        </w:rPr>
        <w:t xml:space="preserve">3. </w:t>
      </w:r>
      <w:r>
        <w:rPr>
          <w:rFonts w:ascii="Arial" w:hAnsi="Arial"/>
        </w:rPr>
        <w:tab/>
        <w:t>přes 1 000 m² v případě velkých garáží.</w:t>
      </w:r>
    </w:p>
    <w:p w14:paraId="22430314" w14:textId="0A72D5FC" w:rsidR="00364C43" w:rsidRPr="00A772AF" w:rsidRDefault="00364C43" w:rsidP="00364C43">
      <w:pPr>
        <w:tabs>
          <w:tab w:val="left" w:pos="2550"/>
        </w:tabs>
        <w:spacing w:after="0" w:line="240" w:lineRule="auto"/>
        <w:ind w:left="284" w:hanging="284"/>
        <w:rPr>
          <w:rFonts w:ascii="Arial" w:eastAsia="Times New Roman" w:hAnsi="Arial" w:cs="Arial"/>
          <w:lang w:eastAsia="de-DE"/>
        </w:rPr>
      </w:pPr>
    </w:p>
    <w:p w14:paraId="7287D300" w14:textId="77777777" w:rsidR="004F059F" w:rsidRPr="00A772AF" w:rsidRDefault="004F059F" w:rsidP="00364C43">
      <w:pPr>
        <w:tabs>
          <w:tab w:val="left" w:pos="2550"/>
        </w:tabs>
        <w:spacing w:after="0" w:line="240" w:lineRule="auto"/>
        <w:ind w:left="284" w:hanging="284"/>
        <w:rPr>
          <w:rFonts w:ascii="Arial" w:eastAsia="Times New Roman" w:hAnsi="Arial" w:cs="Arial"/>
          <w:lang w:eastAsia="de-DE"/>
        </w:rPr>
      </w:pPr>
    </w:p>
    <w:p w14:paraId="0A81978B" w14:textId="77777777" w:rsidR="007925AF" w:rsidRPr="00A772AF" w:rsidRDefault="007925AF" w:rsidP="007925AF">
      <w:pPr>
        <w:spacing w:after="0" w:line="240" w:lineRule="auto"/>
        <w:rPr>
          <w:rFonts w:ascii="Arial" w:eastAsia="Times New Roman" w:hAnsi="Arial" w:cs="Arial"/>
        </w:rPr>
      </w:pPr>
      <w:r>
        <w:rPr>
          <w:rFonts w:ascii="Arial" w:hAnsi="Arial"/>
        </w:rPr>
        <w:t>(9) Není-li v tomto nařízení stanoveno jinak, vztahují se požadavky vzorového stavebního nařízení pro tyto součásti v budovách od třídy 5 na nosné a výztužné a prostorové prvky garáží.</w:t>
      </w:r>
    </w:p>
    <w:p w14:paraId="289F69DE" w14:textId="77777777" w:rsidR="007925AF" w:rsidRPr="00A772AF" w:rsidRDefault="007925AF" w:rsidP="007925AF">
      <w:pPr>
        <w:spacing w:after="0" w:line="240" w:lineRule="auto"/>
        <w:rPr>
          <w:rFonts w:ascii="Arial" w:eastAsia="Times New Roman" w:hAnsi="Arial" w:cs="Arial"/>
        </w:rPr>
      </w:pPr>
      <w:r>
        <w:rPr>
          <w:rFonts w:ascii="Arial" w:hAnsi="Arial"/>
        </w:rPr>
        <w:lastRenderedPageBreak/>
        <w:t>Zjednodušené postupy uvedené v § 29 odst. 6, § 30 odst. 3, věty 2, § 31 odst. 4 bodech 1 a 2, § 36 odst. 1 větě 2 bodu 2, § 39 odst. 1 větě 3 bodu 4, § 40 odst. 1 č. 1 a 3, jakož i § 41 odst. 5 bodu 1 a 3 vzorového stavebního řádu (něm. zkr. MBO) se neuplatňují.</w:t>
      </w:r>
    </w:p>
    <w:p w14:paraId="06B39E6A" w14:textId="02E5073D" w:rsidR="00B74371" w:rsidRPr="00A772AF" w:rsidRDefault="00B74371" w:rsidP="00552591">
      <w:pPr>
        <w:rPr>
          <w:rFonts w:ascii="Arial" w:eastAsia="Times New Roman" w:hAnsi="Arial" w:cs="Arial"/>
          <w:strike/>
          <w:lang w:eastAsia="de-DE"/>
        </w:rPr>
      </w:pPr>
    </w:p>
    <w:p w14:paraId="26D78DA8" w14:textId="77777777" w:rsidR="00B74371" w:rsidRPr="00A772AF" w:rsidRDefault="00552591" w:rsidP="00B74371">
      <w:pPr>
        <w:pStyle w:val="Heading1"/>
        <w:jc w:val="center"/>
        <w:rPr>
          <w:sz w:val="22"/>
          <w:szCs w:val="22"/>
        </w:rPr>
      </w:pPr>
      <w:bookmarkStart w:id="4" w:name="_Toc72145620"/>
      <w:r>
        <w:rPr>
          <w:sz w:val="22"/>
        </w:rPr>
        <w:t>Část II</w:t>
      </w:r>
      <w:bookmarkEnd w:id="4"/>
      <w:r>
        <w:rPr>
          <w:sz w:val="22"/>
        </w:rPr>
        <w:t xml:space="preserve"> </w:t>
      </w:r>
    </w:p>
    <w:p w14:paraId="0F475793" w14:textId="4C52FD98" w:rsidR="00552591" w:rsidRPr="00A772AF" w:rsidRDefault="00552591" w:rsidP="00B74371">
      <w:pPr>
        <w:pStyle w:val="Heading1"/>
        <w:jc w:val="center"/>
        <w:rPr>
          <w:bCs/>
          <w:sz w:val="22"/>
          <w:szCs w:val="22"/>
        </w:rPr>
      </w:pPr>
      <w:bookmarkStart w:id="5" w:name="_Toc72145621"/>
      <w:r>
        <w:rPr>
          <w:sz w:val="22"/>
        </w:rPr>
        <w:t>Stavební předpisy</w:t>
      </w:r>
      <w:bookmarkEnd w:id="5"/>
    </w:p>
    <w:p w14:paraId="3EF74BC3" w14:textId="77777777" w:rsidR="00C65E2E" w:rsidRPr="00A772AF" w:rsidRDefault="00C65E2E" w:rsidP="00C65E2E">
      <w:pPr>
        <w:spacing w:after="0" w:line="240" w:lineRule="auto"/>
        <w:rPr>
          <w:rFonts w:ascii="Arial" w:eastAsia="Times New Roman" w:hAnsi="Arial" w:cs="Arial"/>
          <w:lang w:eastAsia="de-DE"/>
        </w:rPr>
      </w:pPr>
    </w:p>
    <w:p w14:paraId="30225BDF" w14:textId="31EE5D21" w:rsidR="00552591" w:rsidRPr="00A772AF" w:rsidRDefault="007D4D2B" w:rsidP="00F43216">
      <w:pPr>
        <w:pStyle w:val="Heading2"/>
        <w:rPr>
          <w:szCs w:val="22"/>
        </w:rPr>
      </w:pPr>
      <w:bookmarkStart w:id="6" w:name="_Toc72145622"/>
      <w:r>
        <w:t>§ 3 Vjezdy a výjezdy</w:t>
      </w:r>
      <w:bookmarkEnd w:id="6"/>
    </w:p>
    <w:p w14:paraId="312B404C" w14:textId="77777777" w:rsidR="00552591" w:rsidRPr="00A772AF" w:rsidRDefault="00552591" w:rsidP="00552591">
      <w:pPr>
        <w:spacing w:after="0" w:line="240" w:lineRule="auto"/>
        <w:rPr>
          <w:rFonts w:ascii="Arial" w:eastAsia="Times New Roman" w:hAnsi="Arial" w:cs="Arial"/>
          <w:lang w:eastAsia="de-DE"/>
        </w:rPr>
      </w:pPr>
    </w:p>
    <w:p w14:paraId="4A46B7A9" w14:textId="79494906" w:rsidR="007925AF" w:rsidRPr="00A772AF" w:rsidRDefault="007925AF" w:rsidP="007925AF">
      <w:pPr>
        <w:spacing w:after="0" w:line="240" w:lineRule="auto"/>
        <w:rPr>
          <w:rFonts w:ascii="Arial" w:eastAsia="Times New Roman" w:hAnsi="Arial" w:cs="Arial"/>
        </w:rPr>
      </w:pPr>
      <w:r>
        <w:rPr>
          <w:rFonts w:ascii="Arial" w:hAnsi="Arial"/>
        </w:rPr>
        <w:t>(1) Mezi garážemi a veřejným dopravním prostorem musí být vjezdy a výjezdy o délce nejméně 3 m.</w:t>
      </w:r>
    </w:p>
    <w:p w14:paraId="1600A8FC" w14:textId="77777777" w:rsidR="007925AF" w:rsidRPr="00A772AF" w:rsidRDefault="007925AF" w:rsidP="007925AF">
      <w:pPr>
        <w:spacing w:after="0" w:line="240" w:lineRule="auto"/>
        <w:rPr>
          <w:rFonts w:ascii="Arial" w:eastAsia="Times New Roman" w:hAnsi="Arial" w:cs="Arial"/>
          <w:lang w:eastAsia="de-DE"/>
        </w:rPr>
      </w:pPr>
    </w:p>
    <w:p w14:paraId="325F962D" w14:textId="77777777" w:rsidR="007925AF" w:rsidRPr="00A772AF" w:rsidRDefault="007925AF" w:rsidP="007925AF">
      <w:pPr>
        <w:spacing w:after="0" w:line="240" w:lineRule="auto"/>
        <w:rPr>
          <w:rFonts w:ascii="Arial" w:eastAsia="Times New Roman" w:hAnsi="Arial" w:cs="Arial"/>
        </w:rPr>
      </w:pPr>
      <w:r>
        <w:rPr>
          <w:rFonts w:ascii="Arial" w:hAnsi="Arial"/>
        </w:rPr>
        <w:t>(2) Před zařízeními, jako jsou závory nebo brány, které dočasně brání přístupu do garáže, by měl být prostor pro stání pro čekající motorová vozidla, pokud je to nezbytné z bezpečnostních důvodů nebo pro usnadnění provozu.</w:t>
      </w:r>
    </w:p>
    <w:p w14:paraId="181112E5" w14:textId="77777777" w:rsidR="007925AF" w:rsidRPr="00A772AF" w:rsidRDefault="007925AF" w:rsidP="007925AF">
      <w:pPr>
        <w:spacing w:after="0" w:line="240" w:lineRule="auto"/>
        <w:rPr>
          <w:rFonts w:ascii="Arial" w:eastAsia="Times New Roman" w:hAnsi="Arial" w:cs="Arial"/>
          <w:lang w:eastAsia="de-DE"/>
        </w:rPr>
      </w:pPr>
    </w:p>
    <w:p w14:paraId="6256355F" w14:textId="4AD40B40" w:rsidR="007925AF" w:rsidRPr="00A772AF" w:rsidRDefault="007925AF" w:rsidP="007925AF">
      <w:pPr>
        <w:spacing w:after="0" w:line="240" w:lineRule="auto"/>
        <w:rPr>
          <w:rFonts w:ascii="Arial" w:eastAsia="Times New Roman" w:hAnsi="Arial" w:cs="Arial"/>
        </w:rPr>
      </w:pPr>
      <w:r>
        <w:rPr>
          <w:rFonts w:ascii="Arial" w:hAnsi="Arial"/>
        </w:rPr>
        <w:t>(3) Jízdní pásy ke vstupům a východům před středně velkými a velkými garážemi musí být nejméně 2,75 m široké; poloměr vnitřního okraje jízdního pásu musí být nejméně 5 m. Pro jízdní pásy v oblasti vjezdových a výjezdových zábran je dostatečná šířka 2,30 m. Širší jízdní pásy musí být zajištěny v zatáčkách s vnitřním poloměrem menším než 10 m, je-li to nezbytné z důvodu bezpečnosti provozu.</w:t>
      </w:r>
    </w:p>
    <w:p w14:paraId="2460847F" w14:textId="77777777" w:rsidR="005B087C" w:rsidRPr="00A772AF" w:rsidRDefault="005B087C" w:rsidP="007925AF">
      <w:pPr>
        <w:spacing w:after="0" w:line="240" w:lineRule="auto"/>
        <w:rPr>
          <w:rFonts w:ascii="Arial" w:eastAsia="Times New Roman" w:hAnsi="Arial" w:cs="Arial"/>
          <w:lang w:eastAsia="de-DE"/>
        </w:rPr>
      </w:pPr>
    </w:p>
    <w:p w14:paraId="204A619E" w14:textId="77777777" w:rsidR="007925AF" w:rsidRPr="00A772AF" w:rsidRDefault="007925AF" w:rsidP="007925AF">
      <w:pPr>
        <w:spacing w:after="0" w:line="240" w:lineRule="auto"/>
        <w:rPr>
          <w:rFonts w:ascii="Arial" w:eastAsia="Times New Roman" w:hAnsi="Arial" w:cs="Arial"/>
        </w:rPr>
      </w:pPr>
      <w:r>
        <w:rPr>
          <w:rFonts w:ascii="Arial" w:hAnsi="Arial"/>
        </w:rPr>
        <w:t>(4) Velké garáže musí mít oddělené jízdní pásy pro vjezd a výjezd.</w:t>
      </w:r>
    </w:p>
    <w:p w14:paraId="608FB7A6" w14:textId="77777777" w:rsidR="007925AF" w:rsidRPr="00A772AF" w:rsidRDefault="007925AF" w:rsidP="007925AF">
      <w:pPr>
        <w:spacing w:after="0" w:line="240" w:lineRule="auto"/>
        <w:rPr>
          <w:rFonts w:ascii="Arial" w:eastAsia="Times New Roman" w:hAnsi="Arial" w:cs="Arial"/>
          <w:lang w:eastAsia="de-DE"/>
        </w:rPr>
      </w:pPr>
    </w:p>
    <w:p w14:paraId="6D71E181" w14:textId="7F518B6F" w:rsidR="006C3B5B" w:rsidRPr="00A772AF" w:rsidRDefault="007925AF" w:rsidP="007925AF">
      <w:pPr>
        <w:spacing w:after="0" w:line="240" w:lineRule="auto"/>
        <w:rPr>
          <w:rFonts w:ascii="Arial" w:eastAsia="Times New Roman" w:hAnsi="Arial" w:cs="Arial"/>
        </w:rPr>
      </w:pPr>
      <w:r>
        <w:rPr>
          <w:rFonts w:ascii="Arial" w:hAnsi="Arial"/>
        </w:rPr>
        <w:t>(5) V případě velkých garáží je kromě přístupových cest a východů nutný také chodník široký nejméně 0,80 m. Chodník musí být zvýšen ve vztahu k jízdnímu pásu nebo ohraničen bezpečným způsobem.</w:t>
      </w:r>
    </w:p>
    <w:p w14:paraId="35465E18" w14:textId="77777777" w:rsidR="005B087C" w:rsidRPr="00A772AF" w:rsidRDefault="005B087C" w:rsidP="007925AF">
      <w:pPr>
        <w:spacing w:after="0" w:line="240" w:lineRule="auto"/>
        <w:rPr>
          <w:rFonts w:ascii="Arial" w:eastAsia="Times New Roman" w:hAnsi="Arial" w:cs="Arial"/>
          <w:lang w:eastAsia="de-DE"/>
        </w:rPr>
      </w:pPr>
    </w:p>
    <w:p w14:paraId="7A7E16B9" w14:textId="77777777" w:rsidR="007925AF" w:rsidRPr="00A772AF" w:rsidRDefault="007925AF" w:rsidP="007925AF">
      <w:pPr>
        <w:spacing w:after="0" w:line="240" w:lineRule="auto"/>
        <w:rPr>
          <w:rFonts w:ascii="Arial" w:eastAsia="Times New Roman" w:hAnsi="Arial" w:cs="Arial"/>
        </w:rPr>
      </w:pPr>
      <w:r>
        <w:rPr>
          <w:rFonts w:ascii="Arial" w:hAnsi="Arial"/>
        </w:rPr>
        <w:t>(6) V případech uvedených v odstavcích 3 až 5 se k užitné ploše přidají střešní parkovací místa a související dopravní plochy.</w:t>
      </w:r>
    </w:p>
    <w:p w14:paraId="523AB982" w14:textId="77777777" w:rsidR="007925AF" w:rsidRPr="00A772AF" w:rsidRDefault="007925AF" w:rsidP="007925AF">
      <w:pPr>
        <w:spacing w:after="0" w:line="240" w:lineRule="auto"/>
        <w:rPr>
          <w:rFonts w:ascii="Arial" w:eastAsia="Times New Roman" w:hAnsi="Arial" w:cs="Arial"/>
          <w:lang w:eastAsia="de-DE"/>
        </w:rPr>
      </w:pPr>
    </w:p>
    <w:p w14:paraId="31EB8545" w14:textId="77777777" w:rsidR="007925AF" w:rsidRPr="00A772AF" w:rsidRDefault="007925AF" w:rsidP="007925AF">
      <w:pPr>
        <w:spacing w:after="0" w:line="240" w:lineRule="auto"/>
        <w:rPr>
          <w:rFonts w:ascii="Arial" w:eastAsia="Times New Roman" w:hAnsi="Arial" w:cs="Arial"/>
        </w:rPr>
      </w:pPr>
      <w:r>
        <w:rPr>
          <w:rFonts w:ascii="Arial" w:hAnsi="Arial"/>
        </w:rPr>
        <w:t>(7) Odstavce 2 až 5 se obdobně použijí na vjezdy a výjezdy z parkovacích míst.</w:t>
      </w:r>
    </w:p>
    <w:p w14:paraId="6CB5EEBA" w14:textId="77777777" w:rsidR="00552591" w:rsidRPr="00A772AF" w:rsidRDefault="00552591" w:rsidP="00552591">
      <w:pPr>
        <w:rPr>
          <w:rFonts w:ascii="Arial" w:hAnsi="Arial" w:cs="Arial"/>
        </w:rPr>
      </w:pPr>
    </w:p>
    <w:p w14:paraId="1A9440B8" w14:textId="415B47B3" w:rsidR="00552591" w:rsidRPr="00A772AF" w:rsidRDefault="007D4D2B" w:rsidP="00F43216">
      <w:pPr>
        <w:pStyle w:val="Heading2"/>
        <w:rPr>
          <w:szCs w:val="22"/>
        </w:rPr>
      </w:pPr>
      <w:bookmarkStart w:id="7" w:name="_Toc72145623"/>
      <w:r>
        <w:t>§ 4 Rampy</w:t>
      </w:r>
      <w:bookmarkEnd w:id="7"/>
    </w:p>
    <w:p w14:paraId="4483A318" w14:textId="0F25035D" w:rsidR="00552591" w:rsidRPr="00A772AF" w:rsidRDefault="00552591" w:rsidP="00552591">
      <w:pPr>
        <w:spacing w:after="0" w:line="240" w:lineRule="auto"/>
        <w:rPr>
          <w:rFonts w:ascii="Arial" w:eastAsia="Times New Roman" w:hAnsi="Arial" w:cs="Arial"/>
          <w:lang w:eastAsia="de-DE"/>
        </w:rPr>
      </w:pPr>
    </w:p>
    <w:p w14:paraId="6FF58ABD" w14:textId="3FC8218A" w:rsidR="006C3B5B" w:rsidRPr="00A772AF" w:rsidRDefault="007925AF" w:rsidP="007925AF">
      <w:pPr>
        <w:spacing w:after="0" w:line="240" w:lineRule="auto"/>
        <w:rPr>
          <w:rFonts w:ascii="Arial" w:eastAsia="Times New Roman" w:hAnsi="Arial" w:cs="Arial"/>
        </w:rPr>
      </w:pPr>
      <w:r>
        <w:rPr>
          <w:rFonts w:ascii="Arial" w:hAnsi="Arial"/>
        </w:rPr>
        <w:t>(1) Rampy středně velkých a velkých garáží nesmí být nakloněny pod úhlem větším než 15 %. Šířka jízdních pásů na těchto rampách nesmí být menší než 2,75 m a nejméně 3,50 m v prostorech spirálových nájezdových ramp. Úseky spirálových nájezdových ramp musí mít příčný sklon nejméně 3 %. Poloměr vnitřního okraje jízdního pásu musí být nejméně 5,0 m.</w:t>
      </w:r>
    </w:p>
    <w:p w14:paraId="7BBB80B3" w14:textId="77777777" w:rsidR="005B087C" w:rsidRPr="00A772AF" w:rsidRDefault="005B087C" w:rsidP="007925AF">
      <w:pPr>
        <w:spacing w:after="0" w:line="240" w:lineRule="auto"/>
        <w:rPr>
          <w:rFonts w:ascii="Arial" w:eastAsia="Times New Roman" w:hAnsi="Arial" w:cs="Arial"/>
          <w:lang w:eastAsia="de-DE"/>
        </w:rPr>
      </w:pPr>
    </w:p>
    <w:p w14:paraId="0EAA3642" w14:textId="01233421" w:rsidR="007925AF" w:rsidRPr="00A772AF" w:rsidRDefault="007925AF" w:rsidP="007925AF">
      <w:pPr>
        <w:spacing w:after="0" w:line="240" w:lineRule="auto"/>
        <w:rPr>
          <w:rFonts w:ascii="Arial" w:eastAsia="Times New Roman" w:hAnsi="Arial" w:cs="Arial"/>
        </w:rPr>
      </w:pPr>
      <w:r>
        <w:rPr>
          <w:rFonts w:ascii="Arial" w:hAnsi="Arial"/>
        </w:rPr>
        <w:t>(2) Mezi prostorem pro veřejnou dopravu a nájezdovou rampou se sklonem větším než 10 % musí být méně nakloněná plocha o sklonu nejvýše 5 % a délce nejméně 3 m.</w:t>
      </w:r>
    </w:p>
    <w:p w14:paraId="32F02FD5" w14:textId="77777777" w:rsidR="007925AF" w:rsidRPr="00A772AF" w:rsidRDefault="007925AF" w:rsidP="007925AF">
      <w:pPr>
        <w:spacing w:after="0" w:line="240" w:lineRule="auto"/>
        <w:rPr>
          <w:rFonts w:ascii="Arial" w:eastAsia="Times New Roman" w:hAnsi="Arial" w:cs="Arial"/>
          <w:lang w:eastAsia="de-DE"/>
        </w:rPr>
      </w:pPr>
    </w:p>
    <w:p w14:paraId="7DA715BE" w14:textId="4EE5CFE3" w:rsidR="00364C43" w:rsidRPr="00A772AF" w:rsidRDefault="007925AF" w:rsidP="00364C43">
      <w:pPr>
        <w:spacing w:after="0" w:line="240" w:lineRule="auto"/>
        <w:rPr>
          <w:rFonts w:ascii="Arial" w:eastAsia="Times New Roman" w:hAnsi="Arial" w:cs="Arial"/>
        </w:rPr>
      </w:pPr>
      <w:r>
        <w:rPr>
          <w:rFonts w:ascii="Arial" w:hAnsi="Arial"/>
        </w:rPr>
        <w:t>(3) Ve velkých garážích musí mít rampy, které používají chodci, chodník široký nejméně 0,80 m, který je bezpečně vyvýšen nebo je ohraničen jako bezpečný pro provoz. Na rampách, které nesmějí používat chodci, musí být tento zákaz vystaven.</w:t>
      </w:r>
    </w:p>
    <w:p w14:paraId="11ED4923" w14:textId="77777777" w:rsidR="006C3B5B" w:rsidRPr="00A772AF" w:rsidRDefault="006C3B5B" w:rsidP="00364C43">
      <w:pPr>
        <w:spacing w:after="0" w:line="240" w:lineRule="auto"/>
        <w:rPr>
          <w:rFonts w:ascii="Arial" w:eastAsia="Times New Roman" w:hAnsi="Arial" w:cs="Arial"/>
          <w:lang w:eastAsia="de-DE"/>
        </w:rPr>
      </w:pPr>
    </w:p>
    <w:p w14:paraId="05E167AA" w14:textId="77777777" w:rsidR="007925AF" w:rsidRPr="00A772AF" w:rsidRDefault="007925AF" w:rsidP="007925AF">
      <w:pPr>
        <w:spacing w:after="0" w:line="240" w:lineRule="auto"/>
        <w:rPr>
          <w:rFonts w:ascii="Arial" w:eastAsia="Times New Roman" w:hAnsi="Arial" w:cs="Arial"/>
        </w:rPr>
      </w:pPr>
      <w:r>
        <w:rPr>
          <w:rFonts w:ascii="Arial" w:hAnsi="Arial"/>
        </w:rPr>
        <w:t>(4) Odstavce 1 až 3 se použijí obdobně na odbavovací rampy parkovacích míst.</w:t>
      </w:r>
    </w:p>
    <w:p w14:paraId="335285BB" w14:textId="77777777" w:rsidR="007925AF" w:rsidRPr="00A772AF" w:rsidRDefault="007925AF" w:rsidP="007925AF">
      <w:pPr>
        <w:spacing w:after="0" w:line="240" w:lineRule="auto"/>
        <w:rPr>
          <w:rFonts w:ascii="Arial" w:eastAsia="Times New Roman" w:hAnsi="Arial" w:cs="Arial"/>
          <w:lang w:eastAsia="de-DE"/>
        </w:rPr>
      </w:pPr>
    </w:p>
    <w:p w14:paraId="7FE11E67" w14:textId="77777777" w:rsidR="007925AF" w:rsidRPr="00A772AF" w:rsidRDefault="007925AF" w:rsidP="007925AF">
      <w:pPr>
        <w:spacing w:after="0" w:line="240" w:lineRule="auto"/>
        <w:rPr>
          <w:rFonts w:ascii="Arial" w:eastAsia="Times New Roman" w:hAnsi="Arial" w:cs="Arial"/>
        </w:rPr>
      </w:pPr>
      <w:r>
        <w:rPr>
          <w:rFonts w:ascii="Arial" w:hAnsi="Arial"/>
        </w:rPr>
        <w:t>(5) Elektrické nakloněné zdvihací plošiny nejsou rampami.</w:t>
      </w:r>
    </w:p>
    <w:p w14:paraId="317767A0" w14:textId="77777777" w:rsidR="00552591" w:rsidRPr="00A772AF" w:rsidRDefault="00552591" w:rsidP="00552591">
      <w:pPr>
        <w:rPr>
          <w:rFonts w:ascii="Arial" w:hAnsi="Arial" w:cs="Arial"/>
        </w:rPr>
      </w:pPr>
    </w:p>
    <w:p w14:paraId="4CCF3D64" w14:textId="315A2041" w:rsidR="00552591" w:rsidRPr="00A772AF" w:rsidRDefault="007D4D2B" w:rsidP="007B108B">
      <w:pPr>
        <w:pStyle w:val="Heading2"/>
      </w:pPr>
      <w:bookmarkStart w:id="8" w:name="_Toc72145624"/>
      <w:r>
        <w:t>§ 5 Parkovací místa a jízdní pásy</w:t>
      </w:r>
      <w:bookmarkEnd w:id="8"/>
    </w:p>
    <w:p w14:paraId="4572FE1E" w14:textId="77777777" w:rsidR="00552591" w:rsidRPr="00A772AF" w:rsidRDefault="00552591" w:rsidP="00552591">
      <w:pPr>
        <w:spacing w:after="0" w:line="240" w:lineRule="auto"/>
        <w:rPr>
          <w:rFonts w:ascii="Arial" w:eastAsia="Times New Roman" w:hAnsi="Arial" w:cs="Arial"/>
          <w:lang w:eastAsia="de-DE"/>
        </w:rPr>
      </w:pPr>
    </w:p>
    <w:p w14:paraId="5E2A4CA4" w14:textId="77777777" w:rsidR="007925AF" w:rsidRPr="00A772AF" w:rsidRDefault="007925AF" w:rsidP="007925AF">
      <w:pPr>
        <w:spacing w:after="0" w:line="240" w:lineRule="auto"/>
        <w:rPr>
          <w:rFonts w:ascii="Arial" w:eastAsia="Times New Roman" w:hAnsi="Arial" w:cs="Arial"/>
        </w:rPr>
      </w:pPr>
      <w:r>
        <w:rPr>
          <w:rFonts w:ascii="Arial" w:hAnsi="Arial"/>
        </w:rPr>
        <w:lastRenderedPageBreak/>
        <w:t>(1) Základní parkovací místo musí být alespoň 5 m dlouhé. Šířka parkovacího místa musí být alespoň:</w:t>
      </w:r>
    </w:p>
    <w:p w14:paraId="17CB17A8" w14:textId="77777777" w:rsidR="007925AF" w:rsidRPr="00A772AF" w:rsidRDefault="007925AF" w:rsidP="007925AF">
      <w:pPr>
        <w:tabs>
          <w:tab w:val="left" w:pos="319"/>
        </w:tabs>
        <w:spacing w:after="0" w:line="240" w:lineRule="auto"/>
        <w:rPr>
          <w:rFonts w:ascii="Arial" w:eastAsia="Times New Roman" w:hAnsi="Arial" w:cs="Arial"/>
        </w:rPr>
      </w:pPr>
      <w:r>
        <w:rPr>
          <w:rFonts w:ascii="Arial" w:hAnsi="Arial"/>
        </w:rPr>
        <w:t xml:space="preserve">1. </w:t>
      </w:r>
      <w:r>
        <w:rPr>
          <w:rFonts w:ascii="Arial" w:hAnsi="Arial"/>
        </w:rPr>
        <w:tab/>
        <w:t>2,30 m, pokud neexistuje podélná strana,</w:t>
      </w:r>
    </w:p>
    <w:p w14:paraId="655746F8" w14:textId="77777777" w:rsidR="007925AF" w:rsidRPr="00A772AF" w:rsidRDefault="007925AF" w:rsidP="007925AF">
      <w:pPr>
        <w:tabs>
          <w:tab w:val="left" w:pos="319"/>
        </w:tabs>
        <w:spacing w:after="0" w:line="240" w:lineRule="auto"/>
        <w:rPr>
          <w:rFonts w:ascii="Arial" w:eastAsia="Times New Roman" w:hAnsi="Arial" w:cs="Arial"/>
        </w:rPr>
      </w:pPr>
      <w:r>
        <w:rPr>
          <w:rFonts w:ascii="Arial" w:hAnsi="Arial"/>
        </w:rPr>
        <w:t xml:space="preserve">2. </w:t>
      </w:r>
      <w:r>
        <w:rPr>
          <w:rFonts w:ascii="Arial" w:hAnsi="Arial"/>
        </w:rPr>
        <w:tab/>
        <w:t xml:space="preserve">2,40 m, pokud existuje jedna podélná strana, </w:t>
      </w:r>
    </w:p>
    <w:p w14:paraId="604A881C" w14:textId="77777777" w:rsidR="007925AF" w:rsidRPr="00A772AF" w:rsidRDefault="007925AF" w:rsidP="007925AF">
      <w:pPr>
        <w:tabs>
          <w:tab w:val="left" w:pos="319"/>
        </w:tabs>
        <w:spacing w:after="0" w:line="240" w:lineRule="auto"/>
        <w:rPr>
          <w:rFonts w:ascii="Arial" w:eastAsia="Times New Roman" w:hAnsi="Arial" w:cs="Arial"/>
        </w:rPr>
      </w:pPr>
      <w:r>
        <w:rPr>
          <w:rFonts w:ascii="Arial" w:hAnsi="Arial"/>
        </w:rPr>
        <w:t xml:space="preserve">3. </w:t>
      </w:r>
      <w:r>
        <w:rPr>
          <w:rFonts w:ascii="Arial" w:hAnsi="Arial"/>
        </w:rPr>
        <w:tab/>
        <w:t xml:space="preserve">2,50 m, pokud každá podélná strana </w:t>
      </w:r>
    </w:p>
    <w:p w14:paraId="26548938" w14:textId="475E61BF" w:rsidR="007925AF" w:rsidRPr="00A772AF" w:rsidRDefault="007925AF" w:rsidP="007925AF">
      <w:pPr>
        <w:tabs>
          <w:tab w:val="left" w:pos="319"/>
        </w:tabs>
        <w:spacing w:after="0" w:line="240" w:lineRule="auto"/>
        <w:rPr>
          <w:rFonts w:ascii="Arial" w:eastAsia="Times New Roman" w:hAnsi="Arial" w:cs="Arial"/>
        </w:rPr>
      </w:pPr>
      <w:r>
        <w:rPr>
          <w:rFonts w:ascii="Arial" w:hAnsi="Arial"/>
        </w:rPr>
        <w:t>parkovacího místo ve vzdálenosti až 0,10 m je omezena stěnami, sloupy, jinými prvky nebo instalacemi.</w:t>
      </w:r>
    </w:p>
    <w:p w14:paraId="1420E42A" w14:textId="2696EC1F" w:rsidR="007925AF" w:rsidRPr="00A772AF" w:rsidRDefault="003103B6" w:rsidP="007925AF">
      <w:pPr>
        <w:tabs>
          <w:tab w:val="left" w:pos="319"/>
        </w:tabs>
        <w:spacing w:after="0" w:line="240" w:lineRule="auto"/>
        <w:rPr>
          <w:rFonts w:ascii="Arial" w:eastAsia="Times New Roman" w:hAnsi="Arial" w:cs="Arial"/>
        </w:rPr>
      </w:pPr>
      <w:r>
        <w:rPr>
          <w:rFonts w:ascii="Arial" w:hAnsi="Arial"/>
        </w:rPr>
        <w:t xml:space="preserve">4. </w:t>
      </w:r>
      <w:r>
        <w:rPr>
          <w:rFonts w:ascii="Arial" w:hAnsi="Arial"/>
        </w:rPr>
        <w:tab/>
        <w:t>3,50 m, pokud je zamýšleno jako bezbariérové parkovací místo.</w:t>
      </w:r>
    </w:p>
    <w:p w14:paraId="4CDDE949" w14:textId="77777777" w:rsidR="007925AF" w:rsidRPr="00A772AF" w:rsidRDefault="007925AF" w:rsidP="007925AF">
      <w:pPr>
        <w:spacing w:after="0" w:line="240" w:lineRule="auto"/>
        <w:rPr>
          <w:rFonts w:ascii="Arial" w:eastAsia="Times New Roman" w:hAnsi="Arial" w:cs="Arial"/>
          <w:lang w:eastAsia="de-DE"/>
        </w:rPr>
      </w:pPr>
    </w:p>
    <w:p w14:paraId="784B810A" w14:textId="6A11DAFB" w:rsidR="007925AF" w:rsidRPr="00A772AF" w:rsidRDefault="007925AF" w:rsidP="007925AF">
      <w:pPr>
        <w:spacing w:after="0" w:line="240" w:lineRule="auto"/>
        <w:rPr>
          <w:rFonts w:ascii="Arial" w:eastAsia="Times New Roman" w:hAnsi="Arial" w:cs="Arial"/>
        </w:rPr>
      </w:pPr>
      <w:r>
        <w:rPr>
          <w:rFonts w:ascii="Arial" w:hAnsi="Arial"/>
        </w:rPr>
        <w:t xml:space="preserve">V případě věty 2 bodů 1 až 3 musí být parkovací místa na elektrických zdvihacích plošinách široká pouze 2,30 m. Věty 1 a 2 se nevztahují na parkovací místa na vodorovně pohyblivých plošinách a na tyto plošiny. </w:t>
      </w:r>
    </w:p>
    <w:p w14:paraId="03A24F94" w14:textId="77777777" w:rsidR="007925AF" w:rsidRPr="00A772AF" w:rsidRDefault="007925AF" w:rsidP="007925AF">
      <w:pPr>
        <w:spacing w:after="0" w:line="240" w:lineRule="auto"/>
        <w:rPr>
          <w:rFonts w:ascii="Arial" w:eastAsia="Times New Roman" w:hAnsi="Arial" w:cs="Arial"/>
        </w:rPr>
      </w:pPr>
      <w:r>
        <w:rPr>
          <w:rFonts w:ascii="Arial" w:hAnsi="Arial"/>
        </w:rPr>
        <w:t>Parkovací místa na elektrické nakloněné zdvihací plošině nejsou povolena v obecně přístupných garážích.</w:t>
      </w:r>
    </w:p>
    <w:p w14:paraId="04D38675" w14:textId="77777777" w:rsidR="007925AF" w:rsidRPr="00A772AF" w:rsidRDefault="007925AF" w:rsidP="007925AF">
      <w:pPr>
        <w:spacing w:after="0" w:line="240" w:lineRule="auto"/>
        <w:rPr>
          <w:rFonts w:ascii="Arial" w:eastAsia="Times New Roman" w:hAnsi="Arial" w:cs="Arial"/>
          <w:lang w:eastAsia="de-DE"/>
        </w:rPr>
      </w:pPr>
    </w:p>
    <w:p w14:paraId="41D9F7FE" w14:textId="77777777" w:rsidR="007925AF" w:rsidRPr="00A772AF" w:rsidRDefault="007925AF" w:rsidP="007925AF">
      <w:pPr>
        <w:spacing w:after="0" w:line="240" w:lineRule="auto"/>
        <w:rPr>
          <w:rFonts w:ascii="Arial" w:eastAsia="Times New Roman" w:hAnsi="Arial" w:cs="Arial"/>
        </w:rPr>
      </w:pPr>
      <w:r>
        <w:rPr>
          <w:rFonts w:ascii="Arial" w:hAnsi="Arial"/>
        </w:rPr>
        <w:t xml:space="preserve">(2) Jízdní pásy musí, jsou-li používány přímo k vjezdu a výjezdu z parkovacích míst, splňovat alespoň požadavky na šířku uvedenou v následující tabulce; mezilehlé hodnoty se interpolují lineárně. </w:t>
      </w:r>
    </w:p>
    <w:p w14:paraId="620B9BAB" w14:textId="65B43DBE" w:rsidR="007925AF" w:rsidRPr="00A772AF" w:rsidRDefault="007925AF" w:rsidP="007925AF">
      <w:pPr>
        <w:spacing w:after="0" w:line="240" w:lineRule="auto"/>
        <w:rPr>
          <w:rFonts w:ascii="Arial" w:eastAsia="Times New Roman" w:hAnsi="Arial" w:cs="Arial"/>
          <w:sz w:val="20"/>
          <w:szCs w:val="20"/>
          <w:lang w:eastAsia="de-DE"/>
        </w:rPr>
      </w:pPr>
    </w:p>
    <w:p w14:paraId="4EB17C63" w14:textId="77777777" w:rsidR="004F059F" w:rsidRPr="00A772AF" w:rsidRDefault="004F059F" w:rsidP="007925AF">
      <w:pPr>
        <w:spacing w:after="0" w:line="240" w:lineRule="auto"/>
        <w:rPr>
          <w:rFonts w:ascii="Arial" w:eastAsia="Times New Roman" w:hAnsi="Arial" w:cs="Arial"/>
          <w:sz w:val="20"/>
          <w:szCs w:val="20"/>
          <w:lang w:eastAsia="de-DE"/>
        </w:rPr>
      </w:pPr>
    </w:p>
    <w:tbl>
      <w:tblPr>
        <w:tblW w:w="4748" w:type="dxa"/>
        <w:jc w:val="center"/>
        <w:tblLayout w:type="fixed"/>
        <w:tblCellMar>
          <w:left w:w="70" w:type="dxa"/>
          <w:right w:w="70" w:type="dxa"/>
        </w:tblCellMar>
        <w:tblLook w:val="04A0" w:firstRow="1" w:lastRow="0" w:firstColumn="1" w:lastColumn="0" w:noHBand="0" w:noVBand="1"/>
      </w:tblPr>
      <w:tblGrid>
        <w:gridCol w:w="1271"/>
        <w:gridCol w:w="1265"/>
        <w:gridCol w:w="1134"/>
        <w:gridCol w:w="1078"/>
      </w:tblGrid>
      <w:tr w:rsidR="00A772AF" w:rsidRPr="00A772AF" w14:paraId="2CBDA3B2" w14:textId="77777777" w:rsidTr="007925AF">
        <w:trPr>
          <w:trHeight w:val="535"/>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FEB80" w14:textId="77777777" w:rsidR="007925AF" w:rsidRPr="00A772AF" w:rsidRDefault="007925AF" w:rsidP="007925AF">
            <w:pPr>
              <w:spacing w:after="0" w:line="240" w:lineRule="auto"/>
              <w:rPr>
                <w:rFonts w:ascii="Arial" w:eastAsia="Times New Roman" w:hAnsi="Arial" w:cs="Arial"/>
                <w:sz w:val="16"/>
                <w:szCs w:val="16"/>
              </w:rPr>
            </w:pPr>
            <w:r>
              <w:rPr>
                <w:rFonts w:ascii="Arial" w:hAnsi="Arial"/>
                <w:sz w:val="16"/>
              </w:rPr>
              <w:t>Uspořádání parkovacích míst</w:t>
            </w:r>
            <w:r>
              <w:rPr>
                <w:rFonts w:ascii="Arial" w:hAnsi="Arial"/>
                <w:sz w:val="16"/>
              </w:rPr>
              <w:br/>
              <w:t>k jízdnímu pásu v úhlu</w:t>
            </w:r>
          </w:p>
        </w:tc>
        <w:tc>
          <w:tcPr>
            <w:tcW w:w="3477" w:type="dxa"/>
            <w:gridSpan w:val="3"/>
            <w:tcBorders>
              <w:top w:val="single" w:sz="4" w:space="0" w:color="auto"/>
              <w:left w:val="nil"/>
              <w:bottom w:val="single" w:sz="4" w:space="0" w:color="auto"/>
              <w:right w:val="single" w:sz="4" w:space="0" w:color="000000"/>
            </w:tcBorders>
            <w:shd w:val="clear" w:color="auto" w:fill="auto"/>
            <w:vAlign w:val="center"/>
            <w:hideMark/>
          </w:tcPr>
          <w:p w14:paraId="64DA7B6B" w14:textId="77777777" w:rsidR="007925AF" w:rsidRPr="00A772AF" w:rsidRDefault="007925AF" w:rsidP="007925AF">
            <w:pPr>
              <w:spacing w:after="0" w:line="240" w:lineRule="auto"/>
              <w:rPr>
                <w:rFonts w:ascii="Arial" w:eastAsia="Times New Roman" w:hAnsi="Arial" w:cs="Arial"/>
                <w:sz w:val="16"/>
                <w:szCs w:val="16"/>
              </w:rPr>
            </w:pPr>
            <w:r>
              <w:rPr>
                <w:rFonts w:ascii="Arial" w:hAnsi="Arial"/>
                <w:sz w:val="16"/>
              </w:rPr>
              <w:t xml:space="preserve">požadované šířky jízdního pásu (m) </w:t>
            </w:r>
            <w:r>
              <w:rPr>
                <w:rFonts w:ascii="Arial" w:hAnsi="Arial"/>
                <w:sz w:val="16"/>
              </w:rPr>
              <w:br/>
              <w:t>se šířkou parkovacího místa:</w:t>
            </w:r>
          </w:p>
        </w:tc>
      </w:tr>
      <w:tr w:rsidR="00A772AF" w:rsidRPr="00A772AF" w14:paraId="22E2B457" w14:textId="77777777" w:rsidTr="007925AF">
        <w:trPr>
          <w:trHeight w:val="268"/>
          <w:jc w:val="center"/>
        </w:trPr>
        <w:tc>
          <w:tcPr>
            <w:tcW w:w="1271" w:type="dxa"/>
            <w:tcBorders>
              <w:top w:val="nil"/>
              <w:left w:val="single" w:sz="4" w:space="0" w:color="auto"/>
              <w:bottom w:val="nil"/>
              <w:right w:val="single" w:sz="4" w:space="0" w:color="auto"/>
            </w:tcBorders>
            <w:shd w:val="clear" w:color="auto" w:fill="auto"/>
            <w:noWrap/>
            <w:vAlign w:val="bottom"/>
            <w:hideMark/>
          </w:tcPr>
          <w:p w14:paraId="023DA5C1" w14:textId="77777777" w:rsidR="007925AF" w:rsidRPr="00A772AF" w:rsidRDefault="007925AF" w:rsidP="007925AF">
            <w:pPr>
              <w:spacing w:after="0" w:line="240" w:lineRule="auto"/>
              <w:rPr>
                <w:rFonts w:ascii="Arial" w:eastAsia="Times New Roman" w:hAnsi="Arial" w:cs="Arial"/>
                <w:sz w:val="20"/>
                <w:szCs w:val="20"/>
                <w:lang w:eastAsia="de-DE"/>
              </w:rPr>
            </w:pPr>
          </w:p>
        </w:tc>
        <w:tc>
          <w:tcPr>
            <w:tcW w:w="1265" w:type="dxa"/>
            <w:tcBorders>
              <w:top w:val="nil"/>
              <w:left w:val="nil"/>
              <w:bottom w:val="single" w:sz="4" w:space="0" w:color="auto"/>
              <w:right w:val="single" w:sz="4" w:space="0" w:color="auto"/>
            </w:tcBorders>
            <w:shd w:val="clear" w:color="auto" w:fill="auto"/>
            <w:noWrap/>
            <w:vAlign w:val="bottom"/>
            <w:hideMark/>
          </w:tcPr>
          <w:p w14:paraId="120C9889"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2,30 m</w:t>
            </w:r>
          </w:p>
        </w:tc>
        <w:tc>
          <w:tcPr>
            <w:tcW w:w="1134" w:type="dxa"/>
            <w:tcBorders>
              <w:top w:val="nil"/>
              <w:left w:val="nil"/>
              <w:bottom w:val="single" w:sz="4" w:space="0" w:color="auto"/>
              <w:right w:val="single" w:sz="4" w:space="0" w:color="auto"/>
            </w:tcBorders>
            <w:shd w:val="clear" w:color="auto" w:fill="auto"/>
            <w:noWrap/>
            <w:vAlign w:val="bottom"/>
            <w:hideMark/>
          </w:tcPr>
          <w:p w14:paraId="084474D3"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2,40 m</w:t>
            </w:r>
          </w:p>
        </w:tc>
        <w:tc>
          <w:tcPr>
            <w:tcW w:w="1078" w:type="dxa"/>
            <w:tcBorders>
              <w:top w:val="nil"/>
              <w:left w:val="nil"/>
              <w:bottom w:val="single" w:sz="4" w:space="0" w:color="auto"/>
              <w:right w:val="single" w:sz="4" w:space="0" w:color="auto"/>
            </w:tcBorders>
            <w:shd w:val="clear" w:color="auto" w:fill="auto"/>
            <w:noWrap/>
            <w:vAlign w:val="bottom"/>
            <w:hideMark/>
          </w:tcPr>
          <w:p w14:paraId="45427DD8"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2,50 m</w:t>
            </w:r>
          </w:p>
        </w:tc>
      </w:tr>
      <w:tr w:rsidR="00A772AF" w:rsidRPr="00A772AF" w14:paraId="0E101B46" w14:textId="77777777" w:rsidTr="007925AF">
        <w:trPr>
          <w:trHeight w:val="268"/>
          <w:jc w:val="center"/>
        </w:trPr>
        <w:tc>
          <w:tcPr>
            <w:tcW w:w="1271" w:type="dxa"/>
            <w:tcBorders>
              <w:top w:val="nil"/>
              <w:left w:val="single" w:sz="4" w:space="0" w:color="auto"/>
              <w:bottom w:val="nil"/>
              <w:right w:val="single" w:sz="4" w:space="0" w:color="auto"/>
            </w:tcBorders>
            <w:shd w:val="clear" w:color="auto" w:fill="auto"/>
            <w:noWrap/>
            <w:vAlign w:val="bottom"/>
            <w:hideMark/>
          </w:tcPr>
          <w:p w14:paraId="6E2D4485"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90°</w:t>
            </w:r>
          </w:p>
        </w:tc>
        <w:tc>
          <w:tcPr>
            <w:tcW w:w="1265" w:type="dxa"/>
            <w:tcBorders>
              <w:top w:val="nil"/>
              <w:left w:val="nil"/>
              <w:bottom w:val="nil"/>
              <w:right w:val="single" w:sz="4" w:space="0" w:color="auto"/>
            </w:tcBorders>
            <w:shd w:val="clear" w:color="auto" w:fill="auto"/>
            <w:noWrap/>
            <w:vAlign w:val="bottom"/>
            <w:hideMark/>
          </w:tcPr>
          <w:p w14:paraId="59AA9721"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6,50</w:t>
            </w:r>
          </w:p>
        </w:tc>
        <w:tc>
          <w:tcPr>
            <w:tcW w:w="1134" w:type="dxa"/>
            <w:tcBorders>
              <w:top w:val="nil"/>
              <w:left w:val="nil"/>
              <w:bottom w:val="nil"/>
              <w:right w:val="single" w:sz="4" w:space="0" w:color="auto"/>
            </w:tcBorders>
            <w:shd w:val="clear" w:color="auto" w:fill="auto"/>
            <w:noWrap/>
            <w:vAlign w:val="bottom"/>
            <w:hideMark/>
          </w:tcPr>
          <w:p w14:paraId="0074ADBA"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6,00</w:t>
            </w:r>
          </w:p>
        </w:tc>
        <w:tc>
          <w:tcPr>
            <w:tcW w:w="1078" w:type="dxa"/>
            <w:tcBorders>
              <w:top w:val="nil"/>
              <w:left w:val="nil"/>
              <w:bottom w:val="nil"/>
              <w:right w:val="single" w:sz="4" w:space="0" w:color="auto"/>
            </w:tcBorders>
            <w:shd w:val="clear" w:color="auto" w:fill="auto"/>
            <w:noWrap/>
            <w:vAlign w:val="bottom"/>
            <w:hideMark/>
          </w:tcPr>
          <w:p w14:paraId="173958CB"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5,50</w:t>
            </w:r>
          </w:p>
        </w:tc>
      </w:tr>
      <w:tr w:rsidR="007925AF" w:rsidRPr="00A772AF" w14:paraId="341200CD" w14:textId="77777777" w:rsidTr="003103B6">
        <w:trPr>
          <w:trHeight w:val="268"/>
          <w:jc w:val="center"/>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1AF2FBE6" w14:textId="538E88BB" w:rsidR="003103B6" w:rsidRPr="00A772AF" w:rsidRDefault="007925AF" w:rsidP="003103B6">
            <w:pPr>
              <w:spacing w:after="60" w:line="240" w:lineRule="auto"/>
              <w:jc w:val="center"/>
              <w:rPr>
                <w:rFonts w:ascii="Arial" w:eastAsia="Times New Roman" w:hAnsi="Arial" w:cs="Arial"/>
                <w:sz w:val="20"/>
                <w:szCs w:val="20"/>
              </w:rPr>
            </w:pPr>
            <w:r>
              <w:rPr>
                <w:rFonts w:ascii="Arial" w:hAnsi="Arial"/>
                <w:sz w:val="20"/>
              </w:rPr>
              <w:t>45°</w:t>
            </w:r>
          </w:p>
        </w:tc>
        <w:tc>
          <w:tcPr>
            <w:tcW w:w="1265" w:type="dxa"/>
            <w:tcBorders>
              <w:top w:val="nil"/>
              <w:left w:val="nil"/>
              <w:bottom w:val="single" w:sz="4" w:space="0" w:color="auto"/>
              <w:right w:val="single" w:sz="4" w:space="0" w:color="auto"/>
            </w:tcBorders>
            <w:shd w:val="clear" w:color="auto" w:fill="auto"/>
            <w:noWrap/>
            <w:vAlign w:val="bottom"/>
            <w:hideMark/>
          </w:tcPr>
          <w:p w14:paraId="76B66FDE" w14:textId="13E49F1C" w:rsidR="003103B6" w:rsidRPr="00A772AF" w:rsidRDefault="007925AF" w:rsidP="003103B6">
            <w:pPr>
              <w:spacing w:after="60" w:line="240" w:lineRule="auto"/>
              <w:jc w:val="center"/>
              <w:rPr>
                <w:rFonts w:ascii="Arial" w:eastAsia="Times New Roman" w:hAnsi="Arial" w:cs="Arial"/>
                <w:sz w:val="20"/>
                <w:szCs w:val="20"/>
              </w:rPr>
            </w:pPr>
            <w:r>
              <w:rPr>
                <w:rFonts w:ascii="Arial" w:hAnsi="Arial"/>
                <w:sz w:val="20"/>
              </w:rPr>
              <w:t>3,50</w:t>
            </w:r>
          </w:p>
        </w:tc>
        <w:tc>
          <w:tcPr>
            <w:tcW w:w="1134" w:type="dxa"/>
            <w:tcBorders>
              <w:top w:val="nil"/>
              <w:left w:val="nil"/>
              <w:bottom w:val="single" w:sz="4" w:space="0" w:color="auto"/>
              <w:right w:val="single" w:sz="4" w:space="0" w:color="auto"/>
            </w:tcBorders>
            <w:shd w:val="clear" w:color="auto" w:fill="auto"/>
            <w:noWrap/>
            <w:vAlign w:val="bottom"/>
            <w:hideMark/>
          </w:tcPr>
          <w:p w14:paraId="4FEEA0E1" w14:textId="490C27ED" w:rsidR="003103B6" w:rsidRPr="00A772AF" w:rsidRDefault="007925AF" w:rsidP="003103B6">
            <w:pPr>
              <w:spacing w:after="60" w:line="240" w:lineRule="auto"/>
              <w:jc w:val="center"/>
              <w:rPr>
                <w:rFonts w:ascii="Arial" w:eastAsia="Times New Roman" w:hAnsi="Arial" w:cs="Arial"/>
                <w:sz w:val="20"/>
                <w:szCs w:val="20"/>
              </w:rPr>
            </w:pPr>
            <w:r>
              <w:rPr>
                <w:rFonts w:ascii="Arial" w:hAnsi="Arial"/>
                <w:sz w:val="20"/>
              </w:rPr>
              <w:t>3,25</w:t>
            </w:r>
          </w:p>
        </w:tc>
        <w:tc>
          <w:tcPr>
            <w:tcW w:w="1078" w:type="dxa"/>
            <w:tcBorders>
              <w:top w:val="nil"/>
              <w:left w:val="nil"/>
              <w:bottom w:val="single" w:sz="4" w:space="0" w:color="auto"/>
              <w:right w:val="single" w:sz="4" w:space="0" w:color="auto"/>
            </w:tcBorders>
            <w:shd w:val="clear" w:color="auto" w:fill="auto"/>
            <w:noWrap/>
            <w:vAlign w:val="bottom"/>
            <w:hideMark/>
          </w:tcPr>
          <w:p w14:paraId="109EB853" w14:textId="798910EC" w:rsidR="003103B6" w:rsidRPr="00A772AF" w:rsidRDefault="007925AF" w:rsidP="003103B6">
            <w:pPr>
              <w:spacing w:after="60" w:line="240" w:lineRule="auto"/>
              <w:jc w:val="center"/>
              <w:rPr>
                <w:rFonts w:ascii="Arial" w:eastAsia="Times New Roman" w:hAnsi="Arial" w:cs="Arial"/>
                <w:sz w:val="20"/>
                <w:szCs w:val="20"/>
              </w:rPr>
            </w:pPr>
            <w:r>
              <w:rPr>
                <w:rFonts w:ascii="Arial" w:hAnsi="Arial"/>
                <w:sz w:val="20"/>
              </w:rPr>
              <w:t>3,00</w:t>
            </w:r>
          </w:p>
        </w:tc>
      </w:tr>
    </w:tbl>
    <w:p w14:paraId="31B5783D" w14:textId="04E4B935" w:rsidR="007925AF" w:rsidRPr="00A772AF" w:rsidRDefault="007925AF" w:rsidP="007925AF">
      <w:pPr>
        <w:spacing w:after="0" w:line="240" w:lineRule="auto"/>
        <w:rPr>
          <w:rFonts w:ascii="Arial" w:eastAsia="Times New Roman" w:hAnsi="Arial" w:cs="Arial"/>
          <w:lang w:eastAsia="de-DE"/>
        </w:rPr>
      </w:pPr>
    </w:p>
    <w:p w14:paraId="55A1DCCD" w14:textId="77777777" w:rsidR="004F059F" w:rsidRPr="00A772AF" w:rsidRDefault="004F059F" w:rsidP="007925AF">
      <w:pPr>
        <w:spacing w:after="0" w:line="240" w:lineRule="auto"/>
        <w:rPr>
          <w:rFonts w:ascii="Arial" w:eastAsia="Times New Roman" w:hAnsi="Arial" w:cs="Arial"/>
          <w:lang w:eastAsia="de-DE"/>
        </w:rPr>
      </w:pPr>
    </w:p>
    <w:p w14:paraId="19D285BE" w14:textId="77777777" w:rsidR="007925AF" w:rsidRPr="00A772AF" w:rsidRDefault="007925AF" w:rsidP="007925AF">
      <w:pPr>
        <w:spacing w:after="0" w:line="240" w:lineRule="auto"/>
        <w:rPr>
          <w:rFonts w:ascii="Arial" w:eastAsia="Times New Roman" w:hAnsi="Arial" w:cs="Arial"/>
        </w:rPr>
      </w:pPr>
      <w:r>
        <w:rPr>
          <w:rFonts w:ascii="Arial" w:hAnsi="Arial"/>
        </w:rPr>
        <w:t>Před elektrickými zdvihacími plošinami musí být jízdní pásy široké nejméně 8 m, mají-li zdvihací plošiny jízdní pásy nebo při spouštění přečnívají do jízdního pásu.</w:t>
      </w:r>
    </w:p>
    <w:p w14:paraId="3C618BBC" w14:textId="77777777" w:rsidR="007925AF" w:rsidRPr="00A772AF" w:rsidRDefault="007925AF" w:rsidP="007925AF">
      <w:pPr>
        <w:spacing w:after="0" w:line="240" w:lineRule="auto"/>
        <w:rPr>
          <w:rFonts w:ascii="Arial" w:eastAsia="Times New Roman" w:hAnsi="Arial" w:cs="Arial"/>
          <w:lang w:eastAsia="de-DE"/>
        </w:rPr>
      </w:pPr>
    </w:p>
    <w:p w14:paraId="053A909B" w14:textId="77777777" w:rsidR="007925AF" w:rsidRPr="00A772AF" w:rsidRDefault="007925AF" w:rsidP="007925AF">
      <w:pPr>
        <w:spacing w:after="0" w:line="240" w:lineRule="auto"/>
        <w:rPr>
          <w:rFonts w:ascii="Arial" w:eastAsia="Times New Roman" w:hAnsi="Arial" w:cs="Arial"/>
        </w:rPr>
      </w:pPr>
      <w:r>
        <w:rPr>
          <w:rFonts w:ascii="Arial" w:hAnsi="Arial"/>
        </w:rPr>
        <w:t xml:space="preserve">(3) Nejsou-li přímo používány pouze ke vjezdu na parkovací místa nebo k výjezdu z nich, musí být jízdní pásy široké nejméně 2,75 m. Jízdní pásy s obousměrným provozem musí být ve středně velkých a velkých garážích široké nejméně 5 m. </w:t>
      </w:r>
    </w:p>
    <w:p w14:paraId="32CA2D9A" w14:textId="77777777" w:rsidR="007925AF" w:rsidRPr="00A772AF" w:rsidRDefault="007925AF" w:rsidP="007925AF">
      <w:pPr>
        <w:spacing w:after="0" w:line="240" w:lineRule="auto"/>
        <w:rPr>
          <w:rFonts w:ascii="Arial" w:eastAsia="Times New Roman" w:hAnsi="Arial" w:cs="Arial"/>
          <w:lang w:eastAsia="de-DE"/>
        </w:rPr>
      </w:pPr>
    </w:p>
    <w:p w14:paraId="114435A1" w14:textId="77777777" w:rsidR="007925AF" w:rsidRPr="00A772AF" w:rsidRDefault="007925AF" w:rsidP="007925AF">
      <w:pPr>
        <w:spacing w:after="0" w:line="240" w:lineRule="auto"/>
        <w:rPr>
          <w:rFonts w:ascii="Arial" w:eastAsia="Times New Roman" w:hAnsi="Arial" w:cs="Arial"/>
        </w:rPr>
      </w:pPr>
      <w:r>
        <w:rPr>
          <w:rFonts w:ascii="Arial" w:hAnsi="Arial"/>
        </w:rPr>
        <w:t>(4) Parkovací místa na vodorovně pohyblivých plošinách jsou povolena v jízdních pásech, pokud:</w:t>
      </w:r>
    </w:p>
    <w:p w14:paraId="00CA1C50" w14:textId="77777777" w:rsidR="007925AF" w:rsidRPr="00A772AF" w:rsidRDefault="007925AF" w:rsidP="007925AF">
      <w:pPr>
        <w:numPr>
          <w:ilvl w:val="0"/>
          <w:numId w:val="6"/>
        </w:numPr>
        <w:spacing w:after="0" w:line="240" w:lineRule="auto"/>
        <w:ind w:left="274" w:hanging="283"/>
        <w:contextualSpacing/>
        <w:rPr>
          <w:rFonts w:ascii="Arial" w:eastAsia="Times New Roman" w:hAnsi="Arial" w:cs="Arial"/>
        </w:rPr>
      </w:pPr>
      <w:r>
        <w:rPr>
          <w:rFonts w:ascii="Arial" w:hAnsi="Arial"/>
        </w:rPr>
        <w:t>je pro jízdní pásy ponechána šířka nejméně 2,75 m;</w:t>
      </w:r>
    </w:p>
    <w:p w14:paraId="64ACCCBA" w14:textId="77777777" w:rsidR="007925AF" w:rsidRPr="00A772AF" w:rsidRDefault="007925AF" w:rsidP="007925AF">
      <w:pPr>
        <w:numPr>
          <w:ilvl w:val="0"/>
          <w:numId w:val="6"/>
        </w:numPr>
        <w:spacing w:after="0" w:line="240" w:lineRule="auto"/>
        <w:ind w:left="274" w:hanging="283"/>
        <w:contextualSpacing/>
        <w:rPr>
          <w:rFonts w:ascii="Arial" w:eastAsia="Times New Roman" w:hAnsi="Arial" w:cs="Arial"/>
        </w:rPr>
      </w:pPr>
      <w:r>
        <w:rPr>
          <w:rFonts w:ascii="Arial" w:hAnsi="Arial"/>
        </w:rPr>
        <w:t>plošiny nejsou umístěny před elektronickými zdvihacími plošinami; a</w:t>
      </w:r>
    </w:p>
    <w:p w14:paraId="5436E718" w14:textId="77777777" w:rsidR="007925AF" w:rsidRPr="00A772AF" w:rsidRDefault="007925AF" w:rsidP="007925AF">
      <w:pPr>
        <w:numPr>
          <w:ilvl w:val="0"/>
          <w:numId w:val="6"/>
        </w:numPr>
        <w:spacing w:after="0" w:line="240" w:lineRule="auto"/>
        <w:ind w:left="274" w:hanging="283"/>
        <w:contextualSpacing/>
        <w:rPr>
          <w:rFonts w:ascii="Arial" w:eastAsia="Times New Roman" w:hAnsi="Arial" w:cs="Arial"/>
        </w:rPr>
      </w:pPr>
      <w:r>
        <w:rPr>
          <w:rFonts w:ascii="Arial" w:hAnsi="Arial"/>
        </w:rPr>
        <w:t>v jízdní pásech s protijedoucím provozem není možný průjezd.</w:t>
      </w:r>
    </w:p>
    <w:p w14:paraId="594C5BC2" w14:textId="77777777" w:rsidR="007925AF" w:rsidRPr="00A772AF" w:rsidRDefault="007925AF" w:rsidP="007925AF">
      <w:pPr>
        <w:spacing w:after="0" w:line="240" w:lineRule="auto"/>
        <w:ind w:left="274"/>
        <w:contextualSpacing/>
        <w:rPr>
          <w:rFonts w:ascii="Arial" w:eastAsia="Times New Roman" w:hAnsi="Arial" w:cs="Arial"/>
          <w:lang w:eastAsia="de-DE"/>
        </w:rPr>
      </w:pPr>
    </w:p>
    <w:p w14:paraId="61690BB9" w14:textId="77777777" w:rsidR="007925AF" w:rsidRPr="00A772AF" w:rsidRDefault="007925AF" w:rsidP="007925AF">
      <w:pPr>
        <w:spacing w:after="0" w:line="240" w:lineRule="auto"/>
        <w:rPr>
          <w:rFonts w:ascii="Arial" w:eastAsia="Times New Roman" w:hAnsi="Arial" w:cs="Arial"/>
        </w:rPr>
      </w:pPr>
      <w:r>
        <w:rPr>
          <w:rFonts w:ascii="Arial" w:hAnsi="Arial"/>
        </w:rPr>
        <w:t>(5) Jednotlivá parkovací místa a jízdní pásy musí být snadno rozpoznatelné a trvale odlišitelné pomocí označení na zemi. Toto neplatí pro:</w:t>
      </w:r>
    </w:p>
    <w:p w14:paraId="15F3A7C7" w14:textId="77777777" w:rsidR="007925AF" w:rsidRPr="00A772AF" w:rsidRDefault="007925AF" w:rsidP="007925AF">
      <w:pPr>
        <w:numPr>
          <w:ilvl w:val="0"/>
          <w:numId w:val="7"/>
        </w:numPr>
        <w:spacing w:after="0" w:line="240" w:lineRule="auto"/>
        <w:ind w:left="274" w:hanging="283"/>
        <w:contextualSpacing/>
        <w:rPr>
          <w:rFonts w:ascii="Arial" w:eastAsia="Times New Roman" w:hAnsi="Arial" w:cs="Arial"/>
        </w:rPr>
      </w:pPr>
      <w:r>
        <w:rPr>
          <w:rFonts w:ascii="Arial" w:hAnsi="Arial"/>
        </w:rPr>
        <w:t>malé garáže bez jízdních pruhů,</w:t>
      </w:r>
    </w:p>
    <w:p w14:paraId="3F784287" w14:textId="77777777" w:rsidR="007925AF" w:rsidRPr="00A772AF" w:rsidRDefault="007925AF" w:rsidP="007925AF">
      <w:pPr>
        <w:numPr>
          <w:ilvl w:val="0"/>
          <w:numId w:val="7"/>
        </w:numPr>
        <w:spacing w:after="0" w:line="240" w:lineRule="auto"/>
        <w:ind w:left="274" w:hanging="283"/>
        <w:contextualSpacing/>
        <w:rPr>
          <w:rFonts w:ascii="Arial" w:eastAsia="Times New Roman" w:hAnsi="Arial" w:cs="Arial"/>
        </w:rPr>
      </w:pPr>
      <w:r>
        <w:rPr>
          <w:rFonts w:ascii="Arial" w:hAnsi="Arial"/>
        </w:rPr>
        <w:t>parkovací místa na elektrické zdvihací plošině,</w:t>
      </w:r>
    </w:p>
    <w:p w14:paraId="039D0898" w14:textId="77777777" w:rsidR="007925AF" w:rsidRPr="00A772AF" w:rsidRDefault="007925AF" w:rsidP="007925AF">
      <w:pPr>
        <w:numPr>
          <w:ilvl w:val="0"/>
          <w:numId w:val="7"/>
        </w:numPr>
        <w:spacing w:after="0" w:line="240" w:lineRule="auto"/>
        <w:ind w:left="274" w:hanging="283"/>
        <w:contextualSpacing/>
        <w:rPr>
          <w:rFonts w:ascii="Arial" w:eastAsia="Times New Roman" w:hAnsi="Arial" w:cs="Arial"/>
        </w:rPr>
      </w:pPr>
      <w:r>
        <w:rPr>
          <w:rFonts w:ascii="Arial" w:hAnsi="Arial"/>
        </w:rPr>
        <w:t>parkovací místa na vodorovně pohyblivých plošinách.</w:t>
      </w:r>
    </w:p>
    <w:p w14:paraId="3A5F50A3" w14:textId="77777777" w:rsidR="007925AF" w:rsidRPr="00A772AF" w:rsidRDefault="007925AF" w:rsidP="007925AF">
      <w:pPr>
        <w:spacing w:after="0" w:line="240" w:lineRule="auto"/>
        <w:rPr>
          <w:rFonts w:ascii="Arial" w:eastAsia="Times New Roman" w:hAnsi="Arial" w:cs="Arial"/>
        </w:rPr>
      </w:pPr>
      <w:r>
        <w:rPr>
          <w:rFonts w:ascii="Arial" w:hAnsi="Arial"/>
        </w:rPr>
        <w:t>Středně velké a velké garáže musí mít snadno rozpoznatelné a trvalé ukazatele směru a výjezdů v každém patře.</w:t>
      </w:r>
    </w:p>
    <w:p w14:paraId="75A55780" w14:textId="77777777" w:rsidR="007925AF" w:rsidRPr="00A772AF" w:rsidRDefault="007925AF" w:rsidP="007925AF">
      <w:pPr>
        <w:spacing w:after="0" w:line="240" w:lineRule="auto"/>
        <w:rPr>
          <w:rFonts w:ascii="Arial" w:eastAsia="Times New Roman" w:hAnsi="Arial" w:cs="Arial"/>
          <w:lang w:eastAsia="de-DE"/>
        </w:rPr>
      </w:pPr>
    </w:p>
    <w:p w14:paraId="631AC4FB" w14:textId="19C22005" w:rsidR="007925AF" w:rsidRPr="00A772AF" w:rsidRDefault="007925AF" w:rsidP="007925AF">
      <w:pPr>
        <w:spacing w:after="0" w:line="240" w:lineRule="auto"/>
        <w:rPr>
          <w:rFonts w:ascii="Arial" w:eastAsia="Times New Roman" w:hAnsi="Arial" w:cs="Arial"/>
        </w:rPr>
      </w:pPr>
      <w:r>
        <w:rPr>
          <w:rFonts w:ascii="Arial" w:hAnsi="Arial"/>
        </w:rPr>
        <w:t>(6) Odstavce 1 až 5 se nevztahují na automatické garáže.</w:t>
      </w:r>
    </w:p>
    <w:p w14:paraId="0E17159F" w14:textId="25D8267F" w:rsidR="004F059F" w:rsidRPr="00A772AF" w:rsidRDefault="004F059F" w:rsidP="006C3B5B">
      <w:pPr>
        <w:rPr>
          <w:rFonts w:ascii="Arial" w:hAnsi="Arial" w:cs="Arial"/>
        </w:rPr>
      </w:pPr>
    </w:p>
    <w:p w14:paraId="182AE217" w14:textId="285A7694" w:rsidR="00552591" w:rsidRPr="00A772AF" w:rsidRDefault="007D4D2B" w:rsidP="00F43216">
      <w:pPr>
        <w:pStyle w:val="Heading2"/>
        <w:rPr>
          <w:szCs w:val="22"/>
        </w:rPr>
      </w:pPr>
      <w:bookmarkStart w:id="9" w:name="_Toc72145625"/>
      <w:r>
        <w:t>§ 6 Světlá výška</w:t>
      </w:r>
      <w:bookmarkEnd w:id="9"/>
    </w:p>
    <w:p w14:paraId="40304287" w14:textId="77777777" w:rsidR="00552591" w:rsidRPr="00A772AF" w:rsidRDefault="00552591" w:rsidP="00552591">
      <w:pPr>
        <w:spacing w:after="0" w:line="240" w:lineRule="auto"/>
        <w:jc w:val="both"/>
        <w:rPr>
          <w:rFonts w:ascii="Arial" w:eastAsia="Times New Roman" w:hAnsi="Arial" w:cs="Arial"/>
          <w:lang w:eastAsia="de-DE"/>
        </w:rPr>
      </w:pPr>
    </w:p>
    <w:p w14:paraId="16751B66" w14:textId="77777777" w:rsidR="00552591" w:rsidRPr="00A772AF" w:rsidRDefault="00552591" w:rsidP="00552591">
      <w:pPr>
        <w:spacing w:after="0" w:line="240" w:lineRule="auto"/>
        <w:rPr>
          <w:rFonts w:ascii="Arial" w:eastAsia="Times New Roman" w:hAnsi="Arial" w:cs="Arial"/>
        </w:rPr>
      </w:pPr>
      <w:r>
        <w:rPr>
          <w:rFonts w:ascii="Arial" w:hAnsi="Arial"/>
        </w:rPr>
        <w:lastRenderedPageBreak/>
        <w:t>Středně velké a velké garáže musí mít výšku nejméně 2 m v prostorách určených pro vjezd a to včetně prostoru pod nosníky, ventilačním potrubím a dalšími součástmi. To neplatí pro elektrické zdvihací plošiny.</w:t>
      </w:r>
    </w:p>
    <w:p w14:paraId="25A8D02E" w14:textId="77777777" w:rsidR="00552591" w:rsidRPr="00A772AF" w:rsidRDefault="00552591" w:rsidP="00552591">
      <w:pPr>
        <w:rPr>
          <w:rFonts w:ascii="Arial" w:hAnsi="Arial" w:cs="Arial"/>
        </w:rPr>
      </w:pPr>
    </w:p>
    <w:p w14:paraId="58472A0F" w14:textId="48A4AB45" w:rsidR="00552591" w:rsidRPr="00A772AF" w:rsidRDefault="007D4D2B" w:rsidP="00F43216">
      <w:pPr>
        <w:pStyle w:val="Heading2"/>
        <w:rPr>
          <w:szCs w:val="22"/>
        </w:rPr>
      </w:pPr>
      <w:bookmarkStart w:id="10" w:name="_Toc72145626"/>
      <w:r>
        <w:t>§ 7 Stěny, sloupy, stropy, střechy</w:t>
      </w:r>
      <w:bookmarkEnd w:id="10"/>
    </w:p>
    <w:p w14:paraId="3D2567E0" w14:textId="77777777" w:rsidR="00552591" w:rsidRPr="00A772AF" w:rsidRDefault="00552591" w:rsidP="00552591">
      <w:pPr>
        <w:autoSpaceDE w:val="0"/>
        <w:autoSpaceDN w:val="0"/>
        <w:adjustRightInd w:val="0"/>
        <w:spacing w:after="0" w:line="240" w:lineRule="auto"/>
        <w:rPr>
          <w:rFonts w:ascii="Arial" w:hAnsi="Arial" w:cs="Arial"/>
        </w:rPr>
      </w:pPr>
    </w:p>
    <w:p w14:paraId="6998FC51" w14:textId="77777777" w:rsidR="006C3B5B" w:rsidRPr="00A772AF" w:rsidRDefault="006C3B5B" w:rsidP="006C3B5B">
      <w:pPr>
        <w:spacing w:after="0" w:line="240" w:lineRule="auto"/>
        <w:rPr>
          <w:rFonts w:ascii="Arial" w:eastAsia="Times New Roman" w:hAnsi="Arial" w:cs="Arial"/>
        </w:rPr>
      </w:pPr>
      <w:r>
        <w:rPr>
          <w:rFonts w:ascii="Arial" w:hAnsi="Arial"/>
        </w:rPr>
        <w:t>(1) Opěrné a výztužné stěny a sloupy musí být ohnivzdorné.</w:t>
      </w:r>
    </w:p>
    <w:p w14:paraId="0A49EBB4" w14:textId="77777777" w:rsidR="006C3B5B" w:rsidRPr="00A772AF" w:rsidRDefault="006C3B5B" w:rsidP="006C3B5B">
      <w:pPr>
        <w:spacing w:after="0" w:line="240" w:lineRule="auto"/>
        <w:rPr>
          <w:rFonts w:ascii="Arial" w:eastAsia="Times New Roman" w:hAnsi="Arial" w:cs="Times New Roman"/>
          <w:lang w:eastAsia="de-DE"/>
        </w:rPr>
      </w:pPr>
    </w:p>
    <w:p w14:paraId="50E40BDE" w14:textId="104173B6" w:rsidR="006C3B5B" w:rsidRPr="00A772AF" w:rsidRDefault="006C3B5B" w:rsidP="006C3B5B">
      <w:pPr>
        <w:spacing w:after="0" w:line="240" w:lineRule="auto"/>
        <w:rPr>
          <w:rFonts w:ascii="Arial" w:eastAsia="Times New Roman" w:hAnsi="Arial" w:cs="Arial"/>
        </w:rPr>
      </w:pPr>
      <w:r>
        <w:rPr>
          <w:rFonts w:ascii="Arial" w:hAnsi="Arial"/>
        </w:rPr>
        <w:t>(2) Stropy musí být ohnivzdorné jako součásti, které poskytují podpěru a uzavírají plochy nad, pod a mezi patry. Otvory ve stropech pro rampy jsou přípustné, nevyplývají-li další požadavky z § 12.</w:t>
      </w:r>
    </w:p>
    <w:p w14:paraId="57A81552" w14:textId="77777777" w:rsidR="006C3B5B" w:rsidRPr="00A772AF" w:rsidRDefault="006C3B5B" w:rsidP="006C3B5B">
      <w:pPr>
        <w:spacing w:after="0" w:line="240" w:lineRule="auto"/>
        <w:rPr>
          <w:rFonts w:ascii="Arial" w:eastAsia="Times New Roman" w:hAnsi="Arial" w:cs="Times New Roman"/>
          <w:lang w:eastAsia="de-DE"/>
        </w:rPr>
      </w:pPr>
    </w:p>
    <w:p w14:paraId="6646C42D" w14:textId="328A92EA" w:rsidR="006C3B5B" w:rsidRPr="00A772AF" w:rsidRDefault="006C3B5B" w:rsidP="006C3B5B">
      <w:pPr>
        <w:autoSpaceDE w:val="0"/>
        <w:autoSpaceDN w:val="0"/>
        <w:adjustRightInd w:val="0"/>
        <w:spacing w:after="0" w:line="240" w:lineRule="auto"/>
        <w:rPr>
          <w:rFonts w:ascii="Arial" w:eastAsia="Times New Roman" w:hAnsi="Arial" w:cs="Times New Roman"/>
        </w:rPr>
      </w:pPr>
      <w:r>
        <w:rPr>
          <w:rFonts w:ascii="Arial" w:hAnsi="Arial"/>
        </w:rPr>
        <w:t>(3) Nejsou-li parkovací místa ve větší výšce než 22 m nad úrovní země, musí být stěny, sloupy a stropy podle odstavců 1 a 2 pouze odolné proti požáru a vyrobeny z nehořlavých stavebních materiálů v případě nadzemních středně velkých a velkých garáží za předpokladu, že podle § 27 a § 31 MBO neexistují žádné další požadavky.</w:t>
      </w:r>
    </w:p>
    <w:p w14:paraId="260850F1" w14:textId="77777777" w:rsidR="006C3B5B" w:rsidRPr="00A772AF" w:rsidRDefault="006C3B5B" w:rsidP="006C3B5B">
      <w:pPr>
        <w:spacing w:after="0" w:line="240" w:lineRule="auto"/>
        <w:rPr>
          <w:rFonts w:ascii="Arial" w:eastAsia="Times New Roman" w:hAnsi="Arial" w:cs="Times New Roman"/>
          <w:lang w:eastAsia="de-DE"/>
        </w:rPr>
      </w:pPr>
    </w:p>
    <w:p w14:paraId="2815F988" w14:textId="3B7AA128" w:rsidR="006C3B5B" w:rsidRPr="00A772AF" w:rsidRDefault="006C3B5B" w:rsidP="006C3B5B">
      <w:pPr>
        <w:autoSpaceDE w:val="0"/>
        <w:autoSpaceDN w:val="0"/>
        <w:adjustRightInd w:val="0"/>
        <w:spacing w:after="0" w:line="240" w:lineRule="auto"/>
        <w:rPr>
          <w:rFonts w:ascii="Arial" w:hAnsi="Arial" w:cs="Arial"/>
        </w:rPr>
      </w:pPr>
      <w:r>
        <w:rPr>
          <w:rFonts w:ascii="Arial" w:hAnsi="Arial"/>
        </w:rPr>
        <w:t>(4) Stěny, sloupy a stropy uvedené v odstavcích 1 a 2 musí být pouze odolné proti požáru nebo musí být tvořeny nehořlavými stavebními materiály v případě jednopodlažních středně velkých a velkých garáží, a to i se střešními parkovacími místy, je-li budova používána výhradně jako garáž.</w:t>
      </w:r>
    </w:p>
    <w:p w14:paraId="6E1290EC" w14:textId="77777777" w:rsidR="006C3B5B" w:rsidRPr="00A772AF" w:rsidRDefault="006C3B5B" w:rsidP="006C3B5B">
      <w:pPr>
        <w:autoSpaceDE w:val="0"/>
        <w:autoSpaceDN w:val="0"/>
        <w:adjustRightInd w:val="0"/>
        <w:spacing w:after="0" w:line="240" w:lineRule="auto"/>
        <w:rPr>
          <w:rFonts w:ascii="Arial" w:hAnsi="Arial" w:cs="Arial"/>
        </w:rPr>
      </w:pPr>
    </w:p>
    <w:p w14:paraId="594EA89E" w14:textId="36A82F91" w:rsidR="006C3B5B" w:rsidRPr="00A772AF" w:rsidRDefault="006C3B5B" w:rsidP="006C3B5B">
      <w:pPr>
        <w:autoSpaceDE w:val="0"/>
        <w:autoSpaceDN w:val="0"/>
        <w:adjustRightInd w:val="0"/>
        <w:spacing w:after="0" w:line="240" w:lineRule="auto"/>
        <w:rPr>
          <w:rFonts w:ascii="Arial" w:hAnsi="Arial" w:cs="Arial"/>
        </w:rPr>
      </w:pPr>
      <w:r>
        <w:rPr>
          <w:rFonts w:ascii="Arial" w:hAnsi="Arial"/>
        </w:rPr>
        <w:t>(5) V případě automatických garáží, stěn, sloupů a stropů uvedených v odstavcích 1 a 2 musí být vyrobeny z nehořlavých stavebních materiálů pouze tehdy, je-li budova používána jako samostatná automatická garáž.</w:t>
      </w:r>
    </w:p>
    <w:p w14:paraId="26A1B5EA" w14:textId="77777777" w:rsidR="006C3B5B" w:rsidRPr="00A772AF" w:rsidRDefault="006C3B5B" w:rsidP="00552591">
      <w:pPr>
        <w:spacing w:after="0" w:line="240" w:lineRule="auto"/>
        <w:rPr>
          <w:rFonts w:ascii="Arial" w:hAnsi="Arial" w:cs="Arial"/>
        </w:rPr>
      </w:pPr>
    </w:p>
    <w:p w14:paraId="2414A816" w14:textId="45211910" w:rsidR="00552591" w:rsidRPr="00A772AF" w:rsidRDefault="00552591" w:rsidP="00552591">
      <w:pPr>
        <w:autoSpaceDE w:val="0"/>
        <w:autoSpaceDN w:val="0"/>
        <w:adjustRightInd w:val="0"/>
        <w:spacing w:after="0" w:line="240" w:lineRule="auto"/>
        <w:rPr>
          <w:rFonts w:ascii="Arial" w:hAnsi="Arial" w:cs="Arial"/>
        </w:rPr>
      </w:pPr>
      <w:r>
        <w:rPr>
          <w:rFonts w:ascii="Arial" w:hAnsi="Arial"/>
        </w:rPr>
        <w:t>(6) Požadavky na stropy se vztahují na střechy garáží, které jsou přístupné pro vozidla.</w:t>
      </w:r>
    </w:p>
    <w:p w14:paraId="478111F5" w14:textId="77777777" w:rsidR="00552591" w:rsidRPr="00A772AF" w:rsidRDefault="00552591" w:rsidP="00552591">
      <w:pPr>
        <w:spacing w:after="0" w:line="240" w:lineRule="auto"/>
        <w:rPr>
          <w:rFonts w:ascii="Arial" w:eastAsia="Times New Roman" w:hAnsi="Arial" w:cs="Arial"/>
          <w:lang w:eastAsia="de-DE"/>
        </w:rPr>
      </w:pPr>
    </w:p>
    <w:p w14:paraId="3D9AC629" w14:textId="560D9CF2" w:rsidR="00552591" w:rsidRPr="00A772AF" w:rsidRDefault="00552591" w:rsidP="00552591">
      <w:pPr>
        <w:spacing w:after="0" w:line="240" w:lineRule="auto"/>
        <w:rPr>
          <w:rFonts w:ascii="Arial" w:eastAsia="Times New Roman" w:hAnsi="Arial" w:cs="Arial"/>
        </w:rPr>
      </w:pPr>
      <w:r>
        <w:rPr>
          <w:rFonts w:ascii="Arial" w:hAnsi="Arial"/>
        </w:rPr>
        <w:t>(7) Obkladové a izolační vrstvy na stěnách, sloupech a pod stropech a střechách musí:</w:t>
      </w:r>
    </w:p>
    <w:p w14:paraId="75B0EAC8" w14:textId="77777777" w:rsidR="00552591" w:rsidRPr="00A772AF" w:rsidRDefault="00552591" w:rsidP="00552591">
      <w:pPr>
        <w:numPr>
          <w:ilvl w:val="0"/>
          <w:numId w:val="13"/>
        </w:numPr>
        <w:spacing w:after="0" w:line="240" w:lineRule="auto"/>
        <w:ind w:left="274" w:hanging="274"/>
        <w:contextualSpacing/>
        <w:rPr>
          <w:rFonts w:ascii="Arial" w:eastAsia="Times New Roman" w:hAnsi="Arial" w:cs="Arial"/>
        </w:rPr>
      </w:pPr>
      <w:r>
        <w:rPr>
          <w:rFonts w:ascii="Arial" w:hAnsi="Arial"/>
        </w:rPr>
        <w:t xml:space="preserve">v případě velkých garáží musí být vyrobeny z nehořlavých stavebních materiálů, </w:t>
      </w:r>
    </w:p>
    <w:p w14:paraId="1F2BFD55" w14:textId="77777777" w:rsidR="00552591" w:rsidRPr="00A772AF" w:rsidRDefault="00552591" w:rsidP="00552591">
      <w:pPr>
        <w:numPr>
          <w:ilvl w:val="0"/>
          <w:numId w:val="13"/>
        </w:numPr>
        <w:tabs>
          <w:tab w:val="left" w:pos="2415"/>
        </w:tabs>
        <w:autoSpaceDE w:val="0"/>
        <w:autoSpaceDN w:val="0"/>
        <w:adjustRightInd w:val="0"/>
        <w:spacing w:after="0" w:line="240" w:lineRule="auto"/>
        <w:ind w:left="274" w:hanging="274"/>
        <w:contextualSpacing/>
        <w:rPr>
          <w:rFonts w:ascii="Arial" w:hAnsi="Arial" w:cs="Arial"/>
        </w:rPr>
      </w:pPr>
      <w:r>
        <w:rPr>
          <w:rFonts w:ascii="Arial" w:hAnsi="Arial"/>
        </w:rPr>
        <w:t>v případě středně velkých garáží se skládají alespoň ze stavebních materiálů vysoce odolných proti plamenům.</w:t>
      </w:r>
    </w:p>
    <w:p w14:paraId="4E2F58BD" w14:textId="77777777" w:rsidR="00552591" w:rsidRPr="00A772AF" w:rsidRDefault="00552591" w:rsidP="00552591">
      <w:pPr>
        <w:rPr>
          <w:rFonts w:ascii="Arial" w:hAnsi="Arial" w:cs="Arial"/>
        </w:rPr>
      </w:pPr>
    </w:p>
    <w:p w14:paraId="096C234E" w14:textId="28A5B376" w:rsidR="00552591" w:rsidRPr="00A772AF" w:rsidRDefault="007D4D2B" w:rsidP="00F43216">
      <w:pPr>
        <w:pStyle w:val="Heading2"/>
        <w:rPr>
          <w:szCs w:val="22"/>
        </w:rPr>
      </w:pPr>
      <w:bookmarkStart w:id="11" w:name="_Toc72145627"/>
      <w:r>
        <w:t>§ 8 Vnější stěny</w:t>
      </w:r>
      <w:bookmarkEnd w:id="11"/>
    </w:p>
    <w:p w14:paraId="1493163E" w14:textId="06369B10" w:rsidR="00552591" w:rsidRPr="00A772AF" w:rsidRDefault="00552591" w:rsidP="00552591">
      <w:pPr>
        <w:spacing w:after="0" w:line="240" w:lineRule="auto"/>
        <w:rPr>
          <w:rFonts w:ascii="Arial" w:eastAsia="Times New Roman" w:hAnsi="Arial" w:cs="Arial"/>
          <w:lang w:eastAsia="de-DE"/>
        </w:rPr>
      </w:pPr>
    </w:p>
    <w:p w14:paraId="7B6C1414" w14:textId="7A165923" w:rsidR="006C3B5B" w:rsidRPr="00A772AF" w:rsidRDefault="006C3B5B" w:rsidP="006C3B5B">
      <w:pPr>
        <w:spacing w:after="0" w:line="240" w:lineRule="auto"/>
        <w:contextualSpacing/>
        <w:rPr>
          <w:rFonts w:ascii="Arial" w:eastAsia="Times New Roman" w:hAnsi="Arial" w:cs="Arial"/>
        </w:rPr>
      </w:pPr>
      <w:r>
        <w:rPr>
          <w:rFonts w:ascii="Arial" w:hAnsi="Arial"/>
        </w:rPr>
        <w:t>(1) Vnější stěny a vnější stěny garáží musí splňovat požadavky § 28 MBO. Ustanovení § 28 odst. 5 se obdobně vztahuje na budovy, které se používají výhradně jako garáže a jejichž podlaha v horním patře s parkovacími stáními je v průměru nejvýše 7 m nad povrchem země.</w:t>
      </w:r>
    </w:p>
    <w:p w14:paraId="321DA735" w14:textId="77777777" w:rsidR="006C3B5B" w:rsidRPr="00A772AF" w:rsidRDefault="006C3B5B" w:rsidP="006C3B5B">
      <w:pPr>
        <w:spacing w:after="0" w:line="240" w:lineRule="auto"/>
        <w:contextualSpacing/>
        <w:rPr>
          <w:rFonts w:ascii="Arial" w:eastAsia="Times New Roman" w:hAnsi="Arial" w:cs="Arial"/>
          <w:strike/>
          <w:lang w:eastAsia="de-DE"/>
        </w:rPr>
      </w:pPr>
    </w:p>
    <w:p w14:paraId="36A47964" w14:textId="77777777" w:rsidR="006C3B5B" w:rsidRPr="00A772AF" w:rsidRDefault="006C3B5B" w:rsidP="006C3B5B">
      <w:pPr>
        <w:spacing w:after="0" w:line="240" w:lineRule="auto"/>
        <w:contextualSpacing/>
        <w:rPr>
          <w:rFonts w:ascii="Arial" w:eastAsia="Times New Roman" w:hAnsi="Arial" w:cs="Arial"/>
        </w:rPr>
      </w:pPr>
      <w:r>
        <w:rPr>
          <w:rFonts w:ascii="Arial" w:hAnsi="Arial"/>
        </w:rPr>
        <w:t>(2) Jsou-li podlahy v garáži s parkovacími místy více než 22 m nad povrchem země, musí být povrchy vnějších stěn i vnějšího opláštění stěn včetně izolačních materiálů a spodních konstrukcí nehořlavé.</w:t>
      </w:r>
    </w:p>
    <w:p w14:paraId="49E39100" w14:textId="77777777" w:rsidR="00552591" w:rsidRPr="00A772AF" w:rsidRDefault="00552591" w:rsidP="00552591">
      <w:pPr>
        <w:rPr>
          <w:rFonts w:ascii="Arial" w:hAnsi="Arial" w:cs="Arial"/>
        </w:rPr>
      </w:pPr>
    </w:p>
    <w:p w14:paraId="3A3E9646" w14:textId="55E8E2D4" w:rsidR="00552591" w:rsidRPr="00A772AF" w:rsidRDefault="007D4D2B" w:rsidP="00F43216">
      <w:pPr>
        <w:pStyle w:val="Heading2"/>
        <w:rPr>
          <w:szCs w:val="22"/>
        </w:rPr>
      </w:pPr>
      <w:bookmarkStart w:id="12" w:name="_Toc72145628"/>
      <w:r>
        <w:t>§ 9 Dělící stěny, ostatní vnitřní stěny a brány</w:t>
      </w:r>
      <w:bookmarkEnd w:id="12"/>
    </w:p>
    <w:p w14:paraId="0E17DD24" w14:textId="77777777" w:rsidR="00552591" w:rsidRPr="00A772AF" w:rsidRDefault="00552591" w:rsidP="00552591">
      <w:pPr>
        <w:spacing w:after="0" w:line="240" w:lineRule="auto"/>
        <w:rPr>
          <w:rFonts w:ascii="Arial" w:eastAsia="Times New Roman" w:hAnsi="Arial" w:cs="Arial"/>
          <w:lang w:eastAsia="de-DE"/>
        </w:rPr>
      </w:pPr>
    </w:p>
    <w:p w14:paraId="0E4D461B" w14:textId="47BE9ACD" w:rsidR="002F3718" w:rsidRPr="00A772AF" w:rsidRDefault="002F3718" w:rsidP="002F3718">
      <w:pPr>
        <w:spacing w:after="0" w:line="240" w:lineRule="auto"/>
        <w:rPr>
          <w:rFonts w:ascii="Arial" w:eastAsia="Times New Roman" w:hAnsi="Arial" w:cs="Times New Roman"/>
          <w:strike/>
        </w:rPr>
      </w:pPr>
      <w:r>
        <w:rPr>
          <w:rFonts w:ascii="Arial" w:hAnsi="Arial"/>
        </w:rPr>
        <w:t xml:space="preserve">(1) Mezi garážemi, jakož i mezi garážemi a ostatními používanými prostorami a budovami musí být k dispozici dělící stěny jako prvky pro uzavírání prostor. Dělící stěny podle věty 1 ve středně velkých a velkých garážích musí mít požární odolnost nosných a vyztužovacích prvků podlaží, ale musí být alespoň nehořlavé a vyrobené z nehořlavých stavebních materiálů. </w:t>
      </w:r>
    </w:p>
    <w:p w14:paraId="4587305B" w14:textId="77777777" w:rsidR="002F3718" w:rsidRPr="00A772AF" w:rsidRDefault="002F3718" w:rsidP="002F3718">
      <w:pPr>
        <w:spacing w:after="0" w:line="240" w:lineRule="auto"/>
        <w:rPr>
          <w:rFonts w:ascii="Arial" w:eastAsia="Times New Roman" w:hAnsi="Arial" w:cs="Times New Roman"/>
          <w:lang w:eastAsia="de-DE"/>
        </w:rPr>
      </w:pPr>
    </w:p>
    <w:p w14:paraId="6E56F5E3" w14:textId="42E75EA1" w:rsidR="002F3718" w:rsidRPr="00A772AF" w:rsidRDefault="002F3718" w:rsidP="002F3718">
      <w:pPr>
        <w:spacing w:after="0" w:line="240" w:lineRule="auto"/>
        <w:rPr>
          <w:rFonts w:ascii="Arial" w:eastAsia="Times New Roman" w:hAnsi="Arial" w:cs="Times New Roman"/>
        </w:rPr>
      </w:pPr>
      <w:r>
        <w:rPr>
          <w:rFonts w:ascii="Arial" w:hAnsi="Arial"/>
        </w:rPr>
        <w:t xml:space="preserve">(2) Ve středně velkých a velkých garážích se ostatní vnitřní stěny, dělící stěny a brány pro prostorové vymezení parkovacích míst a parkovacích míst ve smyslu § 2 odst. 7 věty 1 musí skládat z nehořlavých stavebních materiálů. </w:t>
      </w:r>
    </w:p>
    <w:p w14:paraId="78C3B40F" w14:textId="706409F9" w:rsidR="00E273E9" w:rsidRPr="00A772AF" w:rsidRDefault="002F3718" w:rsidP="00E273E9">
      <w:pPr>
        <w:spacing w:after="0" w:line="240" w:lineRule="auto"/>
        <w:rPr>
          <w:rFonts w:ascii="Arial" w:eastAsia="Times New Roman" w:hAnsi="Arial" w:cs="Times New Roman"/>
        </w:rPr>
      </w:pPr>
      <w:r>
        <w:rPr>
          <w:rFonts w:ascii="Arial" w:hAnsi="Arial"/>
        </w:rPr>
        <w:lastRenderedPageBreak/>
        <w:t>Ty nesmějí zasahovat do účinnosti hasičských prací, větrání podle § 16 a odvodu kouře podle § 17.</w:t>
      </w:r>
    </w:p>
    <w:p w14:paraId="75601C66" w14:textId="77777777" w:rsidR="00ED1FD9" w:rsidRPr="00A772AF" w:rsidRDefault="00ED1FD9" w:rsidP="00552591">
      <w:pPr>
        <w:rPr>
          <w:rFonts w:ascii="Arial" w:hAnsi="Arial" w:cs="Arial"/>
        </w:rPr>
      </w:pPr>
    </w:p>
    <w:p w14:paraId="65115D97" w14:textId="6372ECE3" w:rsidR="00552591" w:rsidRPr="00A772AF" w:rsidRDefault="007D4D2B" w:rsidP="00F43216">
      <w:pPr>
        <w:pStyle w:val="Heading2"/>
        <w:rPr>
          <w:szCs w:val="22"/>
        </w:rPr>
      </w:pPr>
      <w:bookmarkStart w:id="13" w:name="_Toc72145629"/>
      <w:r>
        <w:t>§ 10 Uzavírací stěny budov</w:t>
      </w:r>
      <w:bookmarkEnd w:id="13"/>
      <w:r>
        <w:t xml:space="preserve"> </w:t>
      </w:r>
    </w:p>
    <w:p w14:paraId="66404D49" w14:textId="77777777" w:rsidR="00552591" w:rsidRPr="00A772AF" w:rsidRDefault="00552591" w:rsidP="00552591">
      <w:pPr>
        <w:spacing w:after="0" w:line="240" w:lineRule="auto"/>
        <w:rPr>
          <w:rFonts w:ascii="Arial" w:eastAsia="Times New Roman" w:hAnsi="Arial" w:cs="Arial"/>
          <w:lang w:eastAsia="de-DE"/>
        </w:rPr>
      </w:pPr>
    </w:p>
    <w:p w14:paraId="3AC185FC" w14:textId="55C8FBEC" w:rsidR="002F3718" w:rsidRPr="00A772AF" w:rsidRDefault="00216E0F" w:rsidP="002F3718">
      <w:pPr>
        <w:spacing w:after="0" w:line="240" w:lineRule="auto"/>
        <w:rPr>
          <w:rFonts w:ascii="Arial" w:hAnsi="Arial" w:cs="Arial"/>
          <w:szCs w:val="20"/>
        </w:rPr>
      </w:pPr>
      <w:r>
        <w:rPr>
          <w:rFonts w:ascii="Arial" w:hAnsi="Arial"/>
        </w:rPr>
        <w:t>Koncové stěny budovy ve smyslu § 30 odst. 2 MBO musí být konstruovány jako protipožární zdi ve středně velkých a velkých garážích. V případě jednopodlažních nadzemních středně velkých a velkých garážích postačuje, a to i při dodatečném mechanickém namáhání, aby stěny byly alespoň vysoce ohnivzdorné, pokud je budova používána výhradně jako garáž.</w:t>
      </w:r>
    </w:p>
    <w:p w14:paraId="2F470FA3" w14:textId="77777777" w:rsidR="00552591" w:rsidRPr="00A772AF" w:rsidRDefault="00552591" w:rsidP="00552591">
      <w:pPr>
        <w:rPr>
          <w:rFonts w:ascii="Arial" w:hAnsi="Arial" w:cs="Arial"/>
          <w:sz w:val="24"/>
        </w:rPr>
      </w:pPr>
    </w:p>
    <w:p w14:paraId="542FB808" w14:textId="6DE59047" w:rsidR="00552591" w:rsidRPr="00A772AF" w:rsidRDefault="007D4D2B" w:rsidP="00F43216">
      <w:pPr>
        <w:pStyle w:val="Heading2"/>
        <w:rPr>
          <w:szCs w:val="22"/>
        </w:rPr>
      </w:pPr>
      <w:bookmarkStart w:id="14" w:name="_Toc72145630"/>
      <w:r>
        <w:t>§ 11 Stěny a stropy malých garáží</w:t>
      </w:r>
      <w:bookmarkEnd w:id="14"/>
    </w:p>
    <w:p w14:paraId="45B3E040" w14:textId="77777777" w:rsidR="00552591" w:rsidRPr="00A772AF" w:rsidRDefault="00552591" w:rsidP="00552591">
      <w:pPr>
        <w:autoSpaceDE w:val="0"/>
        <w:autoSpaceDN w:val="0"/>
        <w:adjustRightInd w:val="0"/>
        <w:spacing w:after="0" w:line="240" w:lineRule="auto"/>
        <w:rPr>
          <w:rFonts w:ascii="Arial" w:hAnsi="Arial" w:cs="Arial"/>
          <w:bCs/>
        </w:rPr>
      </w:pPr>
    </w:p>
    <w:p w14:paraId="068F8CDA" w14:textId="77777777" w:rsidR="002F3718" w:rsidRPr="00A772AF" w:rsidRDefault="002F3718" w:rsidP="002F3718">
      <w:pPr>
        <w:autoSpaceDE w:val="0"/>
        <w:autoSpaceDN w:val="0"/>
        <w:adjustRightInd w:val="0"/>
        <w:spacing w:after="0" w:line="240" w:lineRule="auto"/>
        <w:rPr>
          <w:rFonts w:ascii="Helvetica" w:hAnsi="Helvetica" w:cs="Helvetica"/>
        </w:rPr>
      </w:pPr>
      <w:r>
        <w:rPr>
          <w:rFonts w:ascii="Helvetica" w:hAnsi="Helvetica"/>
        </w:rPr>
        <w:t>(1) Pro malé garáže jsou povoleny podpěrné stěny a stropy bez požární odolnosti. U malých garáží v budovách používaných k jiným účelům se na tyto budovy vztahují požadavky § 27 a § 31 MBO.</w:t>
      </w:r>
    </w:p>
    <w:p w14:paraId="4C1B28FD" w14:textId="77777777" w:rsidR="002F3718" w:rsidRPr="00A772AF" w:rsidRDefault="002F3718" w:rsidP="002F3718">
      <w:pPr>
        <w:autoSpaceDE w:val="0"/>
        <w:autoSpaceDN w:val="0"/>
        <w:adjustRightInd w:val="0"/>
        <w:spacing w:after="0" w:line="240" w:lineRule="auto"/>
        <w:rPr>
          <w:rFonts w:ascii="Helvetica" w:hAnsi="Helvetica" w:cs="Helvetica"/>
        </w:rPr>
      </w:pPr>
    </w:p>
    <w:p w14:paraId="490048AD" w14:textId="77777777" w:rsidR="002F3718" w:rsidRPr="00A772AF" w:rsidRDefault="002F3718" w:rsidP="002F3718">
      <w:pPr>
        <w:autoSpaceDE w:val="0"/>
        <w:autoSpaceDN w:val="0"/>
        <w:adjustRightInd w:val="0"/>
        <w:spacing w:after="0" w:line="240" w:lineRule="auto"/>
        <w:rPr>
          <w:rFonts w:ascii="Helvetica" w:hAnsi="Helvetica" w:cs="Helvetica"/>
        </w:rPr>
      </w:pPr>
      <w:r>
        <w:rPr>
          <w:rFonts w:ascii="Helvetica" w:hAnsi="Helvetica"/>
        </w:rPr>
        <w:t xml:space="preserve">(2) Příčky a stropy mezi malými garážemi a jinými místnostmi nebo budovami musí být protipožární, protože jsou jako součásti používané k uzavírání ploch, pokud neexistují žádné další požadavky vyplývající z § 29 odst. 3 MBO a rovněž § 31 odst. 1 a (2). </w:t>
      </w:r>
    </w:p>
    <w:p w14:paraId="2AF0FBBA" w14:textId="77777777"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Věta 1 se nevztahuje na dělící stěny mezi</w:t>
      </w:r>
    </w:p>
    <w:p w14:paraId="79F5D11A" w14:textId="5DB43FDC" w:rsidR="002F3718" w:rsidRPr="00A772AF" w:rsidRDefault="00915A71" w:rsidP="00915A71">
      <w:pPr>
        <w:autoSpaceDE w:val="0"/>
        <w:autoSpaceDN w:val="0"/>
        <w:adjustRightInd w:val="0"/>
        <w:spacing w:after="0" w:line="240" w:lineRule="auto"/>
        <w:ind w:left="284" w:hanging="284"/>
        <w:rPr>
          <w:rFonts w:ascii="Arial" w:eastAsia="Times New Roman" w:hAnsi="Arial" w:cs="Arial"/>
        </w:rPr>
      </w:pPr>
      <w:r>
        <w:rPr>
          <w:rFonts w:ascii="Arial" w:hAnsi="Arial"/>
        </w:rPr>
        <w:t>1.</w:t>
      </w:r>
      <w:r>
        <w:rPr>
          <w:rFonts w:ascii="Arial" w:hAnsi="Arial"/>
        </w:rPr>
        <w:tab/>
      </w:r>
      <w:r>
        <w:t>otevřenými malými garážemi a prostory a budovami, které se používají pro jiné účely;</w:t>
      </w:r>
      <w:r>
        <w:rPr>
          <w:rFonts w:ascii="Arial" w:hAnsi="Arial"/>
        </w:rPr>
        <w:t xml:space="preserve"> </w:t>
      </w:r>
    </w:p>
    <w:p w14:paraId="2049E865" w14:textId="3BE1DDF6" w:rsidR="002F3718" w:rsidRPr="00A772AF" w:rsidRDefault="00915A71" w:rsidP="001F5516">
      <w:pPr>
        <w:autoSpaceDE w:val="0"/>
        <w:autoSpaceDN w:val="0"/>
        <w:adjustRightInd w:val="0"/>
        <w:spacing w:after="0" w:line="240" w:lineRule="auto"/>
        <w:ind w:left="284" w:hanging="284"/>
        <w:rPr>
          <w:rFonts w:ascii="Arial" w:eastAsia="Times New Roman" w:hAnsi="Arial" w:cs="Arial"/>
        </w:rPr>
      </w:pPr>
      <w:r>
        <w:rPr>
          <w:rFonts w:ascii="Arial" w:hAnsi="Arial"/>
        </w:rPr>
        <w:t>2.</w:t>
      </w:r>
      <w:r>
        <w:rPr>
          <w:rFonts w:ascii="Arial" w:hAnsi="Arial"/>
        </w:rPr>
        <w:tab/>
        <w:t>malými garážemi a prostory nebo budovami, které se používají výhradně pro parkovací účely a nemají více než 20 m² podlahové plochy.</w:t>
      </w:r>
    </w:p>
    <w:p w14:paraId="630CE8D4" w14:textId="77777777" w:rsidR="001F5516" w:rsidRPr="00A772AF" w:rsidRDefault="001F5516" w:rsidP="001F5516">
      <w:pPr>
        <w:autoSpaceDE w:val="0"/>
        <w:autoSpaceDN w:val="0"/>
        <w:adjustRightInd w:val="0"/>
        <w:spacing w:after="0" w:line="240" w:lineRule="auto"/>
        <w:ind w:left="284" w:hanging="284"/>
        <w:rPr>
          <w:rFonts w:ascii="Helvetica" w:hAnsi="Helvetica" w:cs="Helvetica"/>
        </w:rPr>
      </w:pPr>
    </w:p>
    <w:p w14:paraId="4E653E76" w14:textId="77777777" w:rsidR="002F3718" w:rsidRPr="00A772AF" w:rsidRDefault="002F3718" w:rsidP="002F3718">
      <w:pPr>
        <w:spacing w:after="0" w:line="240" w:lineRule="auto"/>
        <w:rPr>
          <w:rFonts w:ascii="Arial" w:eastAsia="Times New Roman" w:hAnsi="Arial" w:cs="Times New Roman"/>
        </w:rPr>
      </w:pPr>
      <w:r>
        <w:t>(3) Namísto uzavíracích stěn budov, jak je uvedeno v § 30 odst. 2 odst. 1 MBO, postačují stěny bez otvorů, které zpomalují šíření požáru nebo jsou vyrobeny z nehořlavých stavebních materiálů.</w:t>
      </w:r>
      <w:r>
        <w:rPr>
          <w:rFonts w:ascii="Arial" w:hAnsi="Arial"/>
        </w:rPr>
        <w:t xml:space="preserve"> U otevřených malých garáží se nevyžaduje uzavírací stěna budovy uvedená v § 30 odst. 2 odst. 1 MBO; to odpovídajícím způsobem platí pro přilehlé parkovací plochy s nejvýše 20 m² podlahové plochy.</w:t>
      </w:r>
    </w:p>
    <w:p w14:paraId="1D1A118E" w14:textId="77777777" w:rsidR="002F3718" w:rsidRPr="00A772AF" w:rsidRDefault="002F3718" w:rsidP="002F3718">
      <w:pPr>
        <w:autoSpaceDE w:val="0"/>
        <w:autoSpaceDN w:val="0"/>
        <w:adjustRightInd w:val="0"/>
        <w:spacing w:after="0" w:line="240" w:lineRule="auto"/>
        <w:rPr>
          <w:rFonts w:ascii="Helvetica" w:hAnsi="Helvetica" w:cs="Helvetica"/>
        </w:rPr>
      </w:pPr>
    </w:p>
    <w:p w14:paraId="0C204284" w14:textId="13F9E7B5" w:rsidR="002F3718" w:rsidRPr="00A772AF" w:rsidRDefault="002F3718" w:rsidP="002F3718">
      <w:pPr>
        <w:spacing w:after="0" w:line="240" w:lineRule="auto"/>
        <w:rPr>
          <w:rFonts w:ascii="Arial" w:eastAsia="Times New Roman" w:hAnsi="Arial" w:cs="Times New Roman"/>
        </w:rPr>
      </w:pPr>
      <w:r>
        <w:rPr>
          <w:rFonts w:ascii="Arial" w:hAnsi="Arial"/>
        </w:rPr>
        <w:t xml:space="preserve">(4) Uzavřené malé garáže mohou být propojeny s ostatními malými garážemi a místnostmi, které nepatří do garáže, a s jinými budovami přímo pouze otvory s alespoň protipožárními, utěsňovacími a samozavíracími uzávěry. </w:t>
      </w:r>
    </w:p>
    <w:p w14:paraId="00A21655" w14:textId="77777777" w:rsidR="00552591" w:rsidRPr="00A772AF" w:rsidRDefault="00552591" w:rsidP="00552591">
      <w:pPr>
        <w:rPr>
          <w:rFonts w:ascii="Arial" w:hAnsi="Arial" w:cs="Arial"/>
        </w:rPr>
      </w:pPr>
    </w:p>
    <w:p w14:paraId="653F6117" w14:textId="473EB0A9" w:rsidR="00552591" w:rsidRPr="00A772AF" w:rsidRDefault="00280D54" w:rsidP="00F43216">
      <w:pPr>
        <w:pStyle w:val="Heading2"/>
        <w:rPr>
          <w:szCs w:val="22"/>
        </w:rPr>
      </w:pPr>
      <w:bookmarkStart w:id="15" w:name="_Toc72145631"/>
      <w:r>
        <w:t>§12 Požární úseky</w:t>
      </w:r>
      <w:bookmarkEnd w:id="15"/>
    </w:p>
    <w:p w14:paraId="4B7CA19F" w14:textId="77777777" w:rsidR="00552591" w:rsidRPr="00A772AF" w:rsidRDefault="00552591" w:rsidP="00552591">
      <w:pPr>
        <w:spacing w:after="0" w:line="240" w:lineRule="auto"/>
        <w:rPr>
          <w:rFonts w:ascii="Arial" w:eastAsia="Times New Roman" w:hAnsi="Arial" w:cs="Arial"/>
          <w:lang w:eastAsia="de-DE"/>
        </w:rPr>
      </w:pPr>
    </w:p>
    <w:p w14:paraId="03DB95EE" w14:textId="77777777" w:rsidR="002F3718" w:rsidRPr="00A772AF" w:rsidRDefault="002F3718" w:rsidP="002F3718">
      <w:pPr>
        <w:spacing w:after="0" w:line="240" w:lineRule="auto"/>
        <w:rPr>
          <w:rFonts w:ascii="Arial" w:eastAsia="Times New Roman" w:hAnsi="Arial" w:cs="Times New Roman"/>
        </w:rPr>
      </w:pPr>
      <w:r>
        <w:rPr>
          <w:rFonts w:ascii="Arial" w:hAnsi="Arial"/>
        </w:rPr>
        <w:t xml:space="preserve">(1) Uzavřené garáže, kromě automatických garáží, musí být odděleny protipožárními stěnami podle § 30 odst. 3 věty 1 MBO na požární úseky s užitnými plochami </w:t>
      </w:r>
    </w:p>
    <w:p w14:paraId="1A1376C6" w14:textId="3B6B824F" w:rsidR="002F3718" w:rsidRPr="00A772AF" w:rsidRDefault="002F3718" w:rsidP="00915A71">
      <w:pPr>
        <w:spacing w:after="0" w:line="240" w:lineRule="auto"/>
        <w:ind w:left="284" w:hanging="284"/>
        <w:rPr>
          <w:rFonts w:ascii="Arial" w:eastAsia="Times New Roman" w:hAnsi="Arial" w:cs="Times New Roman"/>
        </w:rPr>
      </w:pPr>
      <w:r>
        <w:rPr>
          <w:rFonts w:ascii="Arial" w:hAnsi="Arial"/>
        </w:rPr>
        <w:t>1.</w:t>
      </w:r>
      <w:r>
        <w:rPr>
          <w:rFonts w:ascii="Arial" w:hAnsi="Arial"/>
        </w:rPr>
        <w:tab/>
        <w:t>v nadzemních uzavřených garážích do max. 5 000 m²,</w:t>
      </w:r>
    </w:p>
    <w:p w14:paraId="77C03CF4" w14:textId="6B301042" w:rsidR="002F3718" w:rsidRPr="00A772AF" w:rsidRDefault="00915A71" w:rsidP="00915A71">
      <w:pPr>
        <w:spacing w:after="0" w:line="240" w:lineRule="auto"/>
        <w:ind w:left="284" w:hanging="284"/>
        <w:rPr>
          <w:rFonts w:ascii="Arial" w:eastAsia="Times New Roman" w:hAnsi="Arial" w:cs="Times New Roman"/>
        </w:rPr>
      </w:pPr>
      <w:r>
        <w:rPr>
          <w:rFonts w:ascii="Arial" w:hAnsi="Arial"/>
        </w:rPr>
        <w:t>2.</w:t>
      </w:r>
      <w:r>
        <w:rPr>
          <w:rFonts w:ascii="Arial" w:hAnsi="Arial"/>
        </w:rPr>
        <w:tab/>
        <w:t xml:space="preserve">v ostatních uzavřených garážích do max. 2 500 m² </w:t>
      </w:r>
    </w:p>
    <w:p w14:paraId="24EF513B" w14:textId="77777777" w:rsidR="002F3718" w:rsidRPr="00A772AF" w:rsidRDefault="002F3718" w:rsidP="002F3718">
      <w:pPr>
        <w:spacing w:after="0" w:line="240" w:lineRule="auto"/>
        <w:rPr>
          <w:rFonts w:ascii="Arial" w:eastAsia="Times New Roman" w:hAnsi="Arial" w:cs="Times New Roman"/>
        </w:rPr>
      </w:pPr>
      <w:r>
        <w:rPr>
          <w:rFonts w:ascii="Arial" w:hAnsi="Arial"/>
        </w:rPr>
        <w:t xml:space="preserve">. </w:t>
      </w:r>
    </w:p>
    <w:p w14:paraId="0C0C1031" w14:textId="1FEE05CB" w:rsidR="002F3718" w:rsidRPr="00A772AF" w:rsidRDefault="002F3718" w:rsidP="002F3718">
      <w:pPr>
        <w:spacing w:after="0" w:line="240" w:lineRule="auto"/>
        <w:rPr>
          <w:rFonts w:ascii="Arial" w:eastAsia="Times New Roman" w:hAnsi="Arial" w:cs="Times New Roman"/>
        </w:rPr>
      </w:pPr>
      <w:r>
        <w:rPr>
          <w:rFonts w:ascii="Arial" w:hAnsi="Arial"/>
        </w:rPr>
        <w:t>Užitná plocha může být větší než dvojnásobek, pokud mají garáže automatické hasicí systémy.</w:t>
      </w:r>
    </w:p>
    <w:p w14:paraId="45D5CD6A" w14:textId="77777777" w:rsidR="002F3718" w:rsidRPr="00A772AF" w:rsidRDefault="002F3718" w:rsidP="002F3718">
      <w:pPr>
        <w:spacing w:after="0" w:line="240" w:lineRule="auto"/>
        <w:rPr>
          <w:rFonts w:ascii="Arial" w:eastAsia="Times New Roman" w:hAnsi="Arial" w:cs="Times New Roman"/>
          <w:lang w:eastAsia="de-DE"/>
        </w:rPr>
      </w:pPr>
    </w:p>
    <w:p w14:paraId="36363C64" w14:textId="77777777" w:rsidR="002F3718" w:rsidRPr="00A772AF" w:rsidRDefault="002F3718" w:rsidP="002F3718">
      <w:pPr>
        <w:spacing w:after="0" w:line="240" w:lineRule="auto"/>
        <w:rPr>
          <w:rFonts w:ascii="Arial" w:eastAsia="Times New Roman" w:hAnsi="Arial" w:cs="Times New Roman"/>
        </w:rPr>
      </w:pPr>
      <w:r>
        <w:rPr>
          <w:rFonts w:ascii="Arial" w:hAnsi="Arial"/>
        </w:rPr>
        <w:t>(2) Automatické garáže musí být rozděleny do požárních úseků s hrubou prostorností nejvýše 6 000 m³ pomocí protipožárních stěn podle § 30 odst. 3 větou 1 MBO.</w:t>
      </w:r>
    </w:p>
    <w:p w14:paraId="59B79CD9" w14:textId="77777777" w:rsidR="002F3718" w:rsidRPr="00A772AF" w:rsidRDefault="002F3718" w:rsidP="002F3718">
      <w:pPr>
        <w:spacing w:after="0" w:line="240" w:lineRule="auto"/>
        <w:rPr>
          <w:rFonts w:ascii="Arial" w:eastAsia="Times New Roman" w:hAnsi="Arial" w:cs="Times New Roman"/>
          <w:lang w:eastAsia="de-DE"/>
        </w:rPr>
      </w:pPr>
    </w:p>
    <w:p w14:paraId="0FF277F4" w14:textId="77777777" w:rsidR="001F5516" w:rsidRPr="00A772AF" w:rsidRDefault="002F3718" w:rsidP="00364C43">
      <w:pPr>
        <w:spacing w:after="0" w:line="240" w:lineRule="auto"/>
        <w:rPr>
          <w:rFonts w:ascii="Arial" w:eastAsia="Times New Roman" w:hAnsi="Arial" w:cs="Times New Roman"/>
        </w:rPr>
      </w:pPr>
      <w:r>
        <w:rPr>
          <w:rFonts w:ascii="Arial" w:hAnsi="Arial"/>
        </w:rPr>
        <w:t xml:space="preserve">(3) Otvory ve stěnách uvedených v odstavci 1 musí být vybaveny ohnivzdornými, těsnými a uzavřenými uzávěry. Protipožární, těsné a samozavírací uzávěry jsou povoleny, pokud mají garáže automatické hasicí systémy. Uzávěry otvorů v oblasti jízdních pásů musí mít blokovací systémy, které se v případě kouře mohou automaticky uzavřít; musí být také možné je ručně uzavřít. </w:t>
      </w:r>
    </w:p>
    <w:p w14:paraId="116BCC11" w14:textId="2BA06A3B" w:rsidR="00364C43" w:rsidRPr="00A772AF" w:rsidRDefault="00364C43" w:rsidP="00364C43">
      <w:pPr>
        <w:spacing w:after="0" w:line="240" w:lineRule="auto"/>
        <w:rPr>
          <w:rFonts w:ascii="Arial" w:eastAsia="Times New Roman" w:hAnsi="Arial" w:cs="Times New Roman"/>
          <w:lang w:eastAsia="de-DE"/>
        </w:rPr>
      </w:pPr>
    </w:p>
    <w:p w14:paraId="5A133477" w14:textId="4F476D52" w:rsidR="00552591" w:rsidRPr="00A772AF" w:rsidRDefault="002F3718" w:rsidP="002F3718">
      <w:pPr>
        <w:spacing w:after="0"/>
        <w:rPr>
          <w:rFonts w:ascii="Arial" w:eastAsia="Times New Roman" w:hAnsi="Arial" w:cs="Times New Roman"/>
        </w:rPr>
      </w:pPr>
      <w:r>
        <w:rPr>
          <w:rFonts w:ascii="Arial" w:hAnsi="Arial"/>
        </w:rPr>
        <w:t>(4) § 30 odst. 2 pododstavec 2 MBO se nevztahuje na garáže.</w:t>
      </w:r>
    </w:p>
    <w:p w14:paraId="33FEB23A" w14:textId="77777777" w:rsidR="00ED1FD9" w:rsidRPr="00A772AF" w:rsidRDefault="00ED1FD9" w:rsidP="002F3718">
      <w:pPr>
        <w:rPr>
          <w:rFonts w:ascii="Arial" w:hAnsi="Arial" w:cs="Arial"/>
        </w:rPr>
      </w:pPr>
    </w:p>
    <w:p w14:paraId="2DD0B04B" w14:textId="1F89585D" w:rsidR="00552591" w:rsidRPr="00A772AF" w:rsidRDefault="007D4D2B" w:rsidP="00F43216">
      <w:pPr>
        <w:pStyle w:val="Heading2"/>
        <w:rPr>
          <w:szCs w:val="22"/>
        </w:rPr>
      </w:pPr>
      <w:bookmarkStart w:id="16" w:name="_Toc72145632"/>
      <w:r>
        <w:lastRenderedPageBreak/>
        <w:t>§ 13 Napojení do garáží a mezi podlažími garáží</w:t>
      </w:r>
      <w:bookmarkEnd w:id="16"/>
    </w:p>
    <w:p w14:paraId="3A07F8C6" w14:textId="77777777" w:rsidR="00552591" w:rsidRPr="00A772AF" w:rsidRDefault="00552591" w:rsidP="00552591">
      <w:pPr>
        <w:spacing w:after="0" w:line="240" w:lineRule="auto"/>
        <w:rPr>
          <w:rFonts w:ascii="Arial" w:eastAsia="Times New Roman" w:hAnsi="Arial" w:cs="Arial"/>
          <w:lang w:eastAsia="de-DE"/>
        </w:rPr>
      </w:pPr>
    </w:p>
    <w:p w14:paraId="379FA77D" w14:textId="22E8A28D" w:rsidR="002F3718" w:rsidRPr="00A772AF" w:rsidRDefault="002F3718" w:rsidP="002F3718">
      <w:pPr>
        <w:spacing w:after="0" w:line="240" w:lineRule="auto"/>
        <w:rPr>
          <w:rFonts w:ascii="Arial" w:eastAsia="Times New Roman" w:hAnsi="Arial" w:cs="Times New Roman"/>
        </w:rPr>
      </w:pPr>
      <w:r>
        <w:rPr>
          <w:rFonts w:ascii="Arial" w:hAnsi="Arial"/>
        </w:rPr>
        <w:t xml:space="preserve">(1) Chodby, nezbytná schodiště a výtahové předsíně nejen pro uživatele garáží mohou </w:t>
      </w:r>
    </w:p>
    <w:p w14:paraId="5F200E61" w14:textId="7B043970" w:rsidR="001F5516" w:rsidRPr="00A772AF" w:rsidRDefault="002F3718" w:rsidP="001F5516">
      <w:pPr>
        <w:spacing w:after="0" w:line="240" w:lineRule="auto"/>
        <w:ind w:left="284" w:hanging="284"/>
        <w:rPr>
          <w:rFonts w:ascii="Arial" w:eastAsia="Times New Roman" w:hAnsi="Arial" w:cs="Times New Roman"/>
        </w:rPr>
      </w:pPr>
      <w:r>
        <w:rPr>
          <w:rFonts w:ascii="Arial" w:hAnsi="Arial"/>
        </w:rPr>
        <w:t xml:space="preserve">1. </w:t>
      </w:r>
      <w:r>
        <w:rPr>
          <w:rFonts w:ascii="Arial" w:hAnsi="Arial"/>
        </w:rPr>
        <w:tab/>
        <w:t>být k uzavřeným středně velkým a velkým garážím připojeny pouze prostory s ohnivzdornými stěnami a stropy (bezpečnostní zámky);</w:t>
      </w:r>
    </w:p>
    <w:p w14:paraId="6BD48151" w14:textId="77777777" w:rsidR="001F5516" w:rsidRPr="00A772AF" w:rsidRDefault="001F5516" w:rsidP="001F5516">
      <w:pPr>
        <w:spacing w:after="0" w:line="240" w:lineRule="auto"/>
        <w:ind w:left="284"/>
        <w:rPr>
          <w:rFonts w:ascii="Arial" w:eastAsia="Times New Roman" w:hAnsi="Arial" w:cs="Times New Roman"/>
        </w:rPr>
      </w:pPr>
      <w:r>
        <w:rPr>
          <w:rFonts w:ascii="Arial" w:hAnsi="Arial"/>
        </w:rPr>
        <w:t>Uzávěry otvorů ve stěnách musí být:</w:t>
      </w:r>
    </w:p>
    <w:p w14:paraId="5271F7B6" w14:textId="2DA944F9" w:rsidR="001F5516" w:rsidRPr="00A772AF" w:rsidRDefault="001F5516" w:rsidP="001F5516">
      <w:pPr>
        <w:spacing w:after="0" w:line="240" w:lineRule="auto"/>
        <w:ind w:left="567" w:hanging="283"/>
        <w:rPr>
          <w:rFonts w:ascii="Arial" w:eastAsia="Times New Roman" w:hAnsi="Arial" w:cs="Times New Roman"/>
        </w:rPr>
      </w:pPr>
      <w:r>
        <w:rPr>
          <w:rFonts w:ascii="Arial" w:hAnsi="Arial"/>
        </w:rPr>
        <w:t>a.</w:t>
      </w:r>
      <w:r>
        <w:rPr>
          <w:rFonts w:ascii="Arial" w:hAnsi="Arial"/>
        </w:rPr>
        <w:tab/>
        <w:t>protipožární, těsné a samozavírací mezi bezpečnostními zámky a garáží,</w:t>
      </w:r>
    </w:p>
    <w:p w14:paraId="7938E18C" w14:textId="283AC6D7" w:rsidR="001F5516" w:rsidRPr="00A772AF" w:rsidRDefault="001F5516" w:rsidP="001F5516">
      <w:pPr>
        <w:spacing w:after="0" w:line="240" w:lineRule="auto"/>
        <w:ind w:left="567" w:hanging="283"/>
        <w:rPr>
          <w:rFonts w:ascii="Arial" w:eastAsia="Times New Roman" w:hAnsi="Arial" w:cs="Times New Roman"/>
        </w:rPr>
      </w:pPr>
      <w:r>
        <w:rPr>
          <w:rFonts w:ascii="Arial" w:hAnsi="Arial"/>
        </w:rPr>
        <w:t>b.</w:t>
      </w:r>
      <w:r>
        <w:rPr>
          <w:rFonts w:ascii="Arial" w:hAnsi="Arial"/>
        </w:rPr>
        <w:tab/>
        <w:t>kouřotěsné a samozavírací mezi bezpečnostními zámky a chodbami nebo nezbytnými schodišti a</w:t>
      </w:r>
    </w:p>
    <w:p w14:paraId="7B1C7642" w14:textId="44191A6D" w:rsidR="001F5516" w:rsidRPr="00A772AF" w:rsidRDefault="001F5516" w:rsidP="000674FC">
      <w:pPr>
        <w:spacing w:after="0" w:line="240" w:lineRule="auto"/>
        <w:ind w:left="567" w:hanging="283"/>
        <w:rPr>
          <w:rFonts w:ascii="Arial" w:eastAsia="Times New Roman" w:hAnsi="Arial" w:cs="Times New Roman"/>
        </w:rPr>
      </w:pPr>
      <w:r>
        <w:rPr>
          <w:rFonts w:ascii="Arial" w:hAnsi="Arial"/>
        </w:rPr>
        <w:t>c.</w:t>
      </w:r>
      <w:r>
        <w:rPr>
          <w:rFonts w:ascii="Arial" w:hAnsi="Arial"/>
        </w:rPr>
        <w:tab/>
        <w:t>protipožární, kouřotěsné a samozavírací mezi bezpečnostními zámky a ostatními prostory.</w:t>
      </w:r>
    </w:p>
    <w:p w14:paraId="4A4CBDAC" w14:textId="307FF40E" w:rsidR="002F3718" w:rsidRPr="00A772AF" w:rsidRDefault="002F3718" w:rsidP="002F3718">
      <w:pPr>
        <w:spacing w:after="0" w:line="240" w:lineRule="auto"/>
        <w:ind w:left="284" w:hanging="284"/>
        <w:rPr>
          <w:rFonts w:ascii="Arial" w:eastAsia="Times New Roman" w:hAnsi="Arial" w:cs="Times New Roman"/>
        </w:rPr>
      </w:pPr>
      <w:r>
        <w:rPr>
          <w:rFonts w:ascii="Arial" w:hAnsi="Arial"/>
        </w:rPr>
        <w:t xml:space="preserve">2. </w:t>
      </w:r>
      <w:r>
        <w:rPr>
          <w:rFonts w:ascii="Arial" w:hAnsi="Arial"/>
        </w:rPr>
        <w:tab/>
        <w:t>přímo spojeny s jinými garážemi pouze otvory s alespoň protipožárními a samozavíracími uzávěry.</w:t>
      </w:r>
    </w:p>
    <w:p w14:paraId="37C29C8C" w14:textId="467AD277" w:rsidR="004C5249" w:rsidRPr="00A772AF" w:rsidRDefault="004C5249" w:rsidP="004C5249">
      <w:pPr>
        <w:spacing w:after="0" w:line="240" w:lineRule="auto"/>
        <w:rPr>
          <w:rFonts w:ascii="Arial" w:eastAsia="Times New Roman" w:hAnsi="Arial" w:cs="Times New Roman"/>
        </w:rPr>
      </w:pPr>
      <w:r>
        <w:rPr>
          <w:rFonts w:ascii="Arial" w:hAnsi="Arial"/>
        </w:rPr>
        <w:t>Bez ohledu na bod 1 mohou být bezpečnostní zámky přímo spojeny s výtahem, pokud je výtah ve své vlastní ohnivzdorné šachtě nebo vede přímo do venkovních prostor. Vzdálenost v bezpečnostním zámku od dveří do garáže ke dveřím do chodby nebo k nezbytnému schodišti musí být nejméně 3 m.</w:t>
      </w:r>
    </w:p>
    <w:p w14:paraId="7D153B9C" w14:textId="77777777" w:rsidR="002F3718" w:rsidRPr="00A772AF" w:rsidRDefault="002F3718" w:rsidP="002F3718">
      <w:pPr>
        <w:spacing w:after="0" w:line="240" w:lineRule="auto"/>
        <w:rPr>
          <w:rFonts w:ascii="Arial" w:eastAsia="Times New Roman" w:hAnsi="Arial" w:cs="Times New Roman"/>
          <w:lang w:eastAsia="de-DE"/>
        </w:rPr>
      </w:pPr>
    </w:p>
    <w:p w14:paraId="329CD57F" w14:textId="387A443C" w:rsidR="002F3718" w:rsidRPr="00A772AF" w:rsidRDefault="002F3718" w:rsidP="002F3718">
      <w:pPr>
        <w:spacing w:after="0" w:line="240" w:lineRule="auto"/>
        <w:rPr>
          <w:rFonts w:ascii="Arial" w:eastAsia="Times New Roman" w:hAnsi="Arial" w:cs="Times New Roman"/>
        </w:rPr>
      </w:pPr>
      <w:r>
        <w:rPr>
          <w:rFonts w:ascii="Arial" w:hAnsi="Arial"/>
        </w:rPr>
        <w:t>(2) Středně velké a velké garáže mohou být propojeny přímo s ostatními místnostmi, které nepatří do garáže a s jinými budovami, pouze otvory s alespoň protipožárními, proti kouřotěsnými a samozavíracími uzávěry. Automatické garáže nesmí být propojeny s prostory, které nepatří ke garáži nebo k jiným budovám.</w:t>
      </w:r>
    </w:p>
    <w:p w14:paraId="45B72C7F" w14:textId="77777777" w:rsidR="002F3718" w:rsidRPr="00A772AF" w:rsidRDefault="002F3718" w:rsidP="002F3718">
      <w:pPr>
        <w:spacing w:after="0" w:line="240" w:lineRule="auto"/>
        <w:rPr>
          <w:rFonts w:ascii="Arial" w:eastAsia="Times New Roman" w:hAnsi="Arial" w:cs="Times New Roman"/>
          <w:lang w:eastAsia="de-DE"/>
        </w:rPr>
      </w:pPr>
    </w:p>
    <w:p w14:paraId="1E8B96E0" w14:textId="0A8A50D0" w:rsidR="002F3718" w:rsidRPr="00A772AF" w:rsidRDefault="002F3718" w:rsidP="002F3718">
      <w:pPr>
        <w:spacing w:after="0" w:line="240" w:lineRule="auto"/>
        <w:rPr>
          <w:rFonts w:ascii="Arial" w:eastAsia="Times New Roman" w:hAnsi="Arial" w:cs="Times New Roman"/>
        </w:rPr>
      </w:pPr>
      <w:r>
        <w:rPr>
          <w:rFonts w:ascii="Arial" w:hAnsi="Arial"/>
        </w:rPr>
        <w:t xml:space="preserve">(3) Otvory do šachet nezbytných schodišť propojujících podlaží garáže musí mít alespoň protipožární, kouřotěsné a samozavírací uzávěry. </w:t>
      </w:r>
    </w:p>
    <w:p w14:paraId="266855E0" w14:textId="77777777" w:rsidR="00552591" w:rsidRPr="00A772AF" w:rsidRDefault="00552591" w:rsidP="00552591">
      <w:pPr>
        <w:rPr>
          <w:rFonts w:ascii="Arial" w:hAnsi="Arial" w:cs="Arial"/>
        </w:rPr>
      </w:pPr>
    </w:p>
    <w:p w14:paraId="0BB34B9E" w14:textId="764573F9" w:rsidR="00552591" w:rsidRPr="00A772AF" w:rsidRDefault="007D4D2B" w:rsidP="00F43216">
      <w:pPr>
        <w:pStyle w:val="Heading2"/>
        <w:rPr>
          <w:szCs w:val="22"/>
        </w:rPr>
      </w:pPr>
      <w:bookmarkStart w:id="17" w:name="_Toc72145633"/>
      <w:r>
        <w:t>§ 14 Únikové cesty</w:t>
      </w:r>
      <w:bookmarkEnd w:id="17"/>
    </w:p>
    <w:p w14:paraId="7868ACAF" w14:textId="77777777" w:rsidR="00552591" w:rsidRPr="00A772AF" w:rsidRDefault="00552591" w:rsidP="00552591">
      <w:pPr>
        <w:spacing w:after="0" w:line="240" w:lineRule="auto"/>
        <w:rPr>
          <w:rFonts w:ascii="Arial" w:eastAsia="Times New Roman" w:hAnsi="Arial" w:cs="Arial"/>
          <w:lang w:eastAsia="de-DE"/>
        </w:rPr>
      </w:pPr>
    </w:p>
    <w:p w14:paraId="0FE70359" w14:textId="5284720E" w:rsidR="002F3718" w:rsidRPr="00A772AF" w:rsidRDefault="002F3718" w:rsidP="002F3718">
      <w:pPr>
        <w:spacing w:after="0" w:line="240" w:lineRule="auto"/>
        <w:rPr>
          <w:rFonts w:ascii="Arial" w:eastAsia="Times New Roman" w:hAnsi="Arial" w:cs="Times New Roman"/>
        </w:rPr>
      </w:pPr>
      <w:r>
        <w:rPr>
          <w:rFonts w:ascii="Arial" w:hAnsi="Arial"/>
        </w:rPr>
        <w:t>(1) Každá středně velká a velká garáž musí mít alespoň dvě stavební únikové cesty v každém patře nezávislé na sobě, které vedou přímo nebo přes nezbytné schodiště do otevřeného prostoru.</w:t>
      </w:r>
    </w:p>
    <w:p w14:paraId="2C7823A8" w14:textId="77777777" w:rsidR="002F3718" w:rsidRPr="00A772AF" w:rsidRDefault="002F3718" w:rsidP="002F3718">
      <w:pPr>
        <w:spacing w:after="0" w:line="240" w:lineRule="auto"/>
        <w:rPr>
          <w:rFonts w:ascii="Arial" w:eastAsia="Times New Roman" w:hAnsi="Arial" w:cs="Times New Roman"/>
        </w:rPr>
      </w:pPr>
      <w:r>
        <w:rPr>
          <w:rFonts w:ascii="Arial" w:hAnsi="Arial"/>
        </w:rPr>
        <w:t xml:space="preserve">V nadzemních středně velkých a velkých garážích je úniková cesta dostatečná, pokud je možné dosáhnout výstupu do otevřeného prostoru v maximální vzdálenosti 10 m. </w:t>
      </w:r>
    </w:p>
    <w:p w14:paraId="17FCB1F6" w14:textId="401BCA95" w:rsidR="002F3718" w:rsidRPr="00A772AF" w:rsidRDefault="00B5189B" w:rsidP="002F3718">
      <w:pPr>
        <w:spacing w:after="0" w:line="240" w:lineRule="auto"/>
        <w:rPr>
          <w:rFonts w:ascii="Arial" w:eastAsia="Times New Roman" w:hAnsi="Arial" w:cs="Times New Roman"/>
        </w:rPr>
      </w:pPr>
      <w:r>
        <w:rPr>
          <w:rFonts w:ascii="Arial" w:hAnsi="Arial"/>
        </w:rPr>
        <w:t>Jedna z únikových cest může procházet přes rampy. V případě nadzemních středně velkých a velkých garáží, jejichž parkovací místa nejsou větší než 3 m nad zemí, je nezbytné schodiště dostatečné jako úniková cesta podle věty 1.</w:t>
      </w:r>
    </w:p>
    <w:p w14:paraId="5443DA3F" w14:textId="77777777" w:rsidR="002F3718" w:rsidRPr="00A772AF" w:rsidRDefault="002F3718" w:rsidP="002F3718">
      <w:pPr>
        <w:spacing w:after="0" w:line="240" w:lineRule="auto"/>
        <w:rPr>
          <w:rFonts w:ascii="Arial" w:eastAsia="Times New Roman" w:hAnsi="Arial" w:cs="Times New Roman"/>
          <w:lang w:eastAsia="de-DE"/>
        </w:rPr>
      </w:pPr>
    </w:p>
    <w:p w14:paraId="4A187F59" w14:textId="109B0AFA" w:rsidR="002F3718" w:rsidRPr="00A772AF" w:rsidRDefault="002F3718" w:rsidP="002F3718">
      <w:pPr>
        <w:spacing w:after="0" w:line="240" w:lineRule="auto"/>
        <w:rPr>
          <w:rFonts w:ascii="Arial" w:eastAsia="Times New Roman" w:hAnsi="Arial" w:cs="Times New Roman"/>
        </w:rPr>
      </w:pPr>
      <w:r>
        <w:rPr>
          <w:rFonts w:ascii="Arial" w:hAnsi="Arial"/>
        </w:rPr>
        <w:t>(2) Ze všech míst ve středně velkých a velkých garážích, alespoň jeden východ do venkovního prostoru, na nezbytné schodiště nebo, není-li vyžadováno schodiště, musí být nezbytné schodiště alespoň ve stejném podlaží:</w:t>
      </w:r>
    </w:p>
    <w:p w14:paraId="28DA58B8" w14:textId="2CEB2DB4" w:rsidR="002F3718" w:rsidRPr="00A772AF" w:rsidRDefault="00915A71" w:rsidP="00915A71">
      <w:pPr>
        <w:spacing w:after="0" w:line="240" w:lineRule="auto"/>
        <w:ind w:left="284" w:hanging="284"/>
        <w:rPr>
          <w:rFonts w:ascii="Arial" w:eastAsia="Times New Roman" w:hAnsi="Arial" w:cs="Times New Roman"/>
        </w:rPr>
      </w:pPr>
      <w:r>
        <w:rPr>
          <w:rFonts w:ascii="Arial" w:hAnsi="Arial"/>
        </w:rPr>
        <w:t>1.</w:t>
      </w:r>
      <w:r>
        <w:rPr>
          <w:rFonts w:ascii="Arial" w:hAnsi="Arial"/>
        </w:rPr>
        <w:tab/>
        <w:t>v případě otevřených středně velkých a velkých garáží ve vzdálenosti nepřesahující 50 m;</w:t>
      </w:r>
    </w:p>
    <w:p w14:paraId="5B8A4716" w14:textId="608E5F57" w:rsidR="002F3718" w:rsidRPr="00A772AF" w:rsidRDefault="00915A71" w:rsidP="00915A71">
      <w:pPr>
        <w:spacing w:after="0" w:line="240" w:lineRule="auto"/>
        <w:ind w:left="284" w:hanging="284"/>
        <w:rPr>
          <w:rFonts w:ascii="Arial" w:eastAsia="Times New Roman" w:hAnsi="Arial" w:cs="Times New Roman"/>
        </w:rPr>
      </w:pPr>
      <w:r>
        <w:rPr>
          <w:rFonts w:ascii="Arial" w:hAnsi="Arial"/>
        </w:rPr>
        <w:t>2.</w:t>
      </w:r>
      <w:r>
        <w:rPr>
          <w:rFonts w:ascii="Arial" w:hAnsi="Arial"/>
        </w:rPr>
        <w:tab/>
        <w:t xml:space="preserve">v případě uzavřených středně velkých a velkých garáží ve vzdálenosti nepřesahující 35 m. </w:t>
      </w:r>
    </w:p>
    <w:p w14:paraId="62D5F254" w14:textId="1413B8BC" w:rsidR="002F3718" w:rsidRPr="00A772AF" w:rsidRDefault="002F3718" w:rsidP="00915A71">
      <w:pPr>
        <w:spacing w:after="0" w:line="240" w:lineRule="auto"/>
        <w:ind w:left="284" w:hanging="284"/>
        <w:rPr>
          <w:rFonts w:ascii="Arial" w:eastAsia="Times New Roman" w:hAnsi="Arial" w:cs="Times New Roman"/>
        </w:rPr>
      </w:pPr>
    </w:p>
    <w:p w14:paraId="53A2C136" w14:textId="3E1A3B6C" w:rsidR="00B5189B" w:rsidRPr="00A772AF" w:rsidRDefault="00B5189B" w:rsidP="00B5189B">
      <w:pPr>
        <w:spacing w:after="0" w:line="240" w:lineRule="auto"/>
        <w:rPr>
          <w:rFonts w:ascii="Arial" w:eastAsia="Times New Roman" w:hAnsi="Arial" w:cs="Times New Roman"/>
        </w:rPr>
      </w:pPr>
      <w:r>
        <w:rPr>
          <w:rFonts w:ascii="Arial" w:hAnsi="Arial"/>
        </w:rPr>
        <w:t>V uzavřených středně velkých a velkých garážích se používá vzdálenost k bezpečnostnímu zámku uvedená v bodě 1.</w:t>
      </w:r>
    </w:p>
    <w:p w14:paraId="44BE6A77" w14:textId="77777777" w:rsidR="002F3718" w:rsidRPr="00A772AF" w:rsidRDefault="002F3718" w:rsidP="002F3718">
      <w:pPr>
        <w:spacing w:after="0" w:line="240" w:lineRule="auto"/>
        <w:rPr>
          <w:rFonts w:ascii="Arial" w:eastAsia="Times New Roman" w:hAnsi="Arial" w:cs="Times New Roman"/>
        </w:rPr>
      </w:pPr>
      <w:r>
        <w:rPr>
          <w:rFonts w:ascii="Arial" w:hAnsi="Arial"/>
        </w:rPr>
        <w:t>Vzdálenost se měří jako pěší trasa, která však nepřechází přes parkovací místa.</w:t>
      </w:r>
    </w:p>
    <w:p w14:paraId="58072AED" w14:textId="77777777" w:rsidR="002F3718" w:rsidRPr="00A772AF" w:rsidRDefault="002F3718" w:rsidP="002F3718">
      <w:pPr>
        <w:spacing w:after="0" w:line="240" w:lineRule="auto"/>
        <w:rPr>
          <w:rFonts w:ascii="Arial" w:eastAsia="Times New Roman" w:hAnsi="Arial" w:cs="Times New Roman"/>
          <w:lang w:eastAsia="de-DE"/>
        </w:rPr>
      </w:pPr>
    </w:p>
    <w:p w14:paraId="7BC0D9BE" w14:textId="77777777" w:rsidR="004C531D" w:rsidRPr="00A772AF" w:rsidRDefault="002F3718" w:rsidP="004C531D">
      <w:pPr>
        <w:spacing w:after="0" w:line="240" w:lineRule="auto"/>
        <w:rPr>
          <w:rFonts w:ascii="Arial" w:eastAsia="Times New Roman" w:hAnsi="Arial" w:cs="Times New Roman"/>
        </w:rPr>
      </w:pPr>
      <w:r>
        <w:rPr>
          <w:rFonts w:ascii="Arial" w:hAnsi="Arial"/>
        </w:rPr>
        <w:t xml:space="preserve">(3) Ve středně velkých a velkých garážích musí být výjezdy signalizovány pomocí odolného a snadno rozpoznatelného fotoluminiscenčního bezpečnostního značení. </w:t>
      </w:r>
    </w:p>
    <w:p w14:paraId="418A523A" w14:textId="49C73ECB" w:rsidR="004C531D" w:rsidRPr="00A772AF" w:rsidRDefault="004C531D" w:rsidP="004C531D">
      <w:pPr>
        <w:spacing w:after="0" w:line="240" w:lineRule="auto"/>
        <w:rPr>
          <w:rFonts w:ascii="Arial" w:eastAsia="Times New Roman" w:hAnsi="Arial" w:cs="Times New Roman"/>
        </w:rPr>
      </w:pPr>
      <w:r>
        <w:rPr>
          <w:rFonts w:ascii="Arial" w:hAnsi="Arial"/>
        </w:rPr>
        <w:t xml:space="preserve">Ve velkých garážích musí být únikové cesty označeny na podlaze trvalými a snadno rozpoznatelnými značeními a na stěnách fotoluminiscenčními bezpečnostními značkami. </w:t>
      </w:r>
    </w:p>
    <w:p w14:paraId="497E65EA" w14:textId="77777777" w:rsidR="004C531D" w:rsidRPr="00A772AF" w:rsidRDefault="004C531D" w:rsidP="004C531D">
      <w:pPr>
        <w:spacing w:after="0" w:line="240" w:lineRule="auto"/>
        <w:rPr>
          <w:rFonts w:ascii="Arial" w:eastAsia="Times New Roman" w:hAnsi="Arial" w:cs="Times New Roman"/>
          <w:lang w:eastAsia="de-DE"/>
        </w:rPr>
      </w:pPr>
    </w:p>
    <w:p w14:paraId="680B9053" w14:textId="77777777" w:rsidR="002F3718" w:rsidRPr="00A772AF" w:rsidRDefault="002F3718" w:rsidP="002F3718">
      <w:pPr>
        <w:spacing w:after="0" w:line="240" w:lineRule="auto"/>
        <w:rPr>
          <w:rFonts w:ascii="Arial" w:eastAsia="Times New Roman" w:hAnsi="Arial" w:cs="Times New Roman"/>
        </w:rPr>
      </w:pPr>
      <w:r>
        <w:rPr>
          <w:rFonts w:ascii="Arial" w:hAnsi="Arial"/>
        </w:rPr>
        <w:t>(4) Odstavce 1 až 3 se použijí obdobně na střešní parkovací místa.</w:t>
      </w:r>
    </w:p>
    <w:p w14:paraId="1EACA023" w14:textId="77777777" w:rsidR="002F3718" w:rsidRPr="00A772AF" w:rsidRDefault="002F3718" w:rsidP="002F3718">
      <w:pPr>
        <w:spacing w:after="0" w:line="240" w:lineRule="auto"/>
        <w:rPr>
          <w:rFonts w:ascii="Arial" w:eastAsia="Times New Roman" w:hAnsi="Arial" w:cs="Times New Roman"/>
          <w:lang w:eastAsia="de-DE"/>
        </w:rPr>
      </w:pPr>
    </w:p>
    <w:p w14:paraId="7DE098CE" w14:textId="77777777" w:rsidR="004C531D" w:rsidRPr="00A772AF" w:rsidRDefault="002F3718" w:rsidP="00364C43">
      <w:pPr>
        <w:spacing w:after="0" w:line="240" w:lineRule="auto"/>
        <w:rPr>
          <w:rFonts w:ascii="Arial" w:eastAsia="Times New Roman" w:hAnsi="Arial" w:cs="Times New Roman"/>
        </w:rPr>
      </w:pPr>
      <w:r>
        <w:rPr>
          <w:rFonts w:ascii="Arial" w:hAnsi="Arial"/>
        </w:rPr>
        <w:t xml:space="preserve">(5) Odstavce 1 až 3 se nevztahují na automatické garáže. </w:t>
      </w:r>
    </w:p>
    <w:p w14:paraId="6719AAF9" w14:textId="77777777" w:rsidR="004C531D" w:rsidRPr="00A772AF" w:rsidRDefault="004C531D" w:rsidP="004C531D">
      <w:pPr>
        <w:rPr>
          <w:rFonts w:ascii="Arial" w:hAnsi="Arial" w:cs="Arial"/>
        </w:rPr>
      </w:pPr>
    </w:p>
    <w:p w14:paraId="22F5B255" w14:textId="47964975" w:rsidR="00552591" w:rsidRPr="00A772AF" w:rsidRDefault="007D4D2B" w:rsidP="00F43216">
      <w:pPr>
        <w:pStyle w:val="Heading2"/>
        <w:rPr>
          <w:szCs w:val="22"/>
        </w:rPr>
      </w:pPr>
      <w:bookmarkStart w:id="18" w:name="_Toc72145634"/>
      <w:r>
        <w:lastRenderedPageBreak/>
        <w:t>§ 15 Osvětlení, bezpečnostní osvětlení</w:t>
      </w:r>
      <w:bookmarkEnd w:id="18"/>
    </w:p>
    <w:p w14:paraId="46C72538" w14:textId="77777777" w:rsidR="00552591" w:rsidRPr="00A772AF" w:rsidRDefault="00552591" w:rsidP="00552591">
      <w:pPr>
        <w:spacing w:after="0" w:line="240" w:lineRule="auto"/>
        <w:rPr>
          <w:rFonts w:ascii="Arial" w:eastAsia="Times New Roman" w:hAnsi="Arial" w:cs="Arial"/>
          <w:lang w:eastAsia="de-DE"/>
        </w:rPr>
      </w:pPr>
    </w:p>
    <w:p w14:paraId="6FEA838C" w14:textId="77777777" w:rsidR="002F3718" w:rsidRPr="00A772AF" w:rsidRDefault="002F3718" w:rsidP="002F3718">
      <w:pPr>
        <w:spacing w:after="0" w:line="240" w:lineRule="auto"/>
        <w:rPr>
          <w:rFonts w:ascii="Arial" w:eastAsia="Times New Roman" w:hAnsi="Arial" w:cs="Arial"/>
        </w:rPr>
      </w:pPr>
      <w:r>
        <w:rPr>
          <w:rFonts w:ascii="Arial" w:hAnsi="Arial"/>
        </w:rPr>
        <w:t>(1) Obecné elektrické osvětlení musí být k dispozici ve středně velkých a velkých garážích. Musí být spínací tak, aby osvětlení během provozní doby bylo nejméně 20 luxů a navíc alespoň 1 luxů za všech okolností.</w:t>
      </w:r>
    </w:p>
    <w:p w14:paraId="12C58F98" w14:textId="2D0AAB4A" w:rsidR="002F3718" w:rsidRPr="00A772AF" w:rsidRDefault="002F3718" w:rsidP="002F3718">
      <w:pPr>
        <w:spacing w:after="0" w:line="240" w:lineRule="auto"/>
        <w:rPr>
          <w:rFonts w:ascii="Arial" w:eastAsia="Times New Roman" w:hAnsi="Arial" w:cs="Arial"/>
        </w:rPr>
      </w:pPr>
      <w:r>
        <w:rPr>
          <w:rFonts w:ascii="Arial" w:hAnsi="Arial"/>
        </w:rPr>
        <w:t>Ve středně velkých a velkých garážích se skupinou uživatelů, odchylně od věty 2, postačí osvětlení s osvětlením nejméně 20 luxů, které jsou řízeny detektory pohybu nebo přítomnosti; základní osvětlení 1 Lux lze vynechat.</w:t>
      </w:r>
    </w:p>
    <w:p w14:paraId="402265E7" w14:textId="77777777" w:rsidR="002F3718" w:rsidRPr="00A772AF" w:rsidRDefault="002F3718" w:rsidP="002F3718">
      <w:pPr>
        <w:spacing w:after="0" w:line="240" w:lineRule="auto"/>
        <w:rPr>
          <w:rFonts w:ascii="Arial" w:eastAsia="Times New Roman" w:hAnsi="Arial" w:cs="Arial"/>
          <w:lang w:eastAsia="de-DE"/>
        </w:rPr>
      </w:pPr>
    </w:p>
    <w:p w14:paraId="02AC24CA" w14:textId="15E20151" w:rsidR="002F3718" w:rsidRPr="00A772AF" w:rsidRDefault="002F3718" w:rsidP="002F3718">
      <w:pPr>
        <w:spacing w:after="0" w:line="240" w:lineRule="auto"/>
        <w:rPr>
          <w:rFonts w:ascii="Arial" w:eastAsia="Times New Roman" w:hAnsi="Arial" w:cs="Arial"/>
        </w:rPr>
      </w:pPr>
      <w:r>
        <w:rPr>
          <w:rFonts w:ascii="Arial" w:hAnsi="Arial"/>
        </w:rPr>
        <w:t>(2) V uzavřených velkých garážích musí být bezpečnostní osvětlení k osvětlení únikových cest a bezpečnostních značek.</w:t>
      </w:r>
    </w:p>
    <w:p w14:paraId="4E215D51" w14:textId="77777777" w:rsidR="004C531D" w:rsidRPr="00A772AF" w:rsidRDefault="004C531D" w:rsidP="002F3718">
      <w:pPr>
        <w:spacing w:after="0" w:line="240" w:lineRule="auto"/>
        <w:rPr>
          <w:rFonts w:ascii="Arial" w:eastAsia="Times New Roman" w:hAnsi="Arial" w:cs="Arial"/>
          <w:lang w:eastAsia="de-DE"/>
        </w:rPr>
      </w:pPr>
    </w:p>
    <w:p w14:paraId="0DC30942" w14:textId="19BA0CA0" w:rsidR="002F3718" w:rsidRPr="00A772AF" w:rsidRDefault="004C531D" w:rsidP="004C531D">
      <w:pPr>
        <w:spacing w:after="0" w:line="240" w:lineRule="auto"/>
        <w:rPr>
          <w:rFonts w:ascii="Arial" w:eastAsia="Times New Roman" w:hAnsi="Arial" w:cs="Arial"/>
        </w:rPr>
      </w:pPr>
      <w:r>
        <w:rPr>
          <w:rFonts w:ascii="Arial" w:hAnsi="Arial"/>
        </w:rPr>
        <w:t xml:space="preserve">(3) V uzavřených garážích střední velikosti musí být zajištěna identifikace východů vedoucích do otevřeného a základních schodiště pomocí světel napájených záložními bateriemi, které zajistí alespoň 30 minut nouzového provozu. </w:t>
      </w:r>
    </w:p>
    <w:p w14:paraId="0E46DCC1" w14:textId="33166963" w:rsidR="002F3718" w:rsidRPr="00A772AF" w:rsidRDefault="002F3718" w:rsidP="002F3718">
      <w:pPr>
        <w:spacing w:after="0" w:line="240" w:lineRule="auto"/>
        <w:rPr>
          <w:rFonts w:ascii="Arial" w:eastAsia="Times New Roman" w:hAnsi="Arial" w:cs="Arial"/>
          <w:lang w:eastAsia="de-DE"/>
        </w:rPr>
      </w:pPr>
    </w:p>
    <w:p w14:paraId="4F8F9F4B" w14:textId="66B36ADF" w:rsidR="002F3718" w:rsidRPr="00A772AF" w:rsidRDefault="002F3718" w:rsidP="002F3718">
      <w:pPr>
        <w:spacing w:after="0" w:line="240" w:lineRule="auto"/>
        <w:rPr>
          <w:rFonts w:ascii="Arial" w:eastAsia="Times New Roman" w:hAnsi="Arial" w:cs="Arial"/>
        </w:rPr>
      </w:pPr>
      <w:r>
        <w:rPr>
          <w:rFonts w:ascii="Arial" w:hAnsi="Arial"/>
        </w:rPr>
        <w:t>(4) Odstavce 1 až 3 se nevztahují na automatické garáže.</w:t>
      </w:r>
    </w:p>
    <w:p w14:paraId="0CB01381" w14:textId="77777777" w:rsidR="00552591" w:rsidRPr="00A772AF" w:rsidRDefault="00552591" w:rsidP="00552591">
      <w:pPr>
        <w:rPr>
          <w:rFonts w:ascii="Arial" w:hAnsi="Arial" w:cs="Arial"/>
        </w:rPr>
      </w:pPr>
    </w:p>
    <w:p w14:paraId="59E8FD33" w14:textId="5024B6AC" w:rsidR="00552591" w:rsidRPr="00A772AF" w:rsidRDefault="007D4D2B" w:rsidP="00F43216">
      <w:pPr>
        <w:pStyle w:val="Heading2"/>
        <w:rPr>
          <w:szCs w:val="22"/>
        </w:rPr>
      </w:pPr>
      <w:bookmarkStart w:id="19" w:name="_Toc72145635"/>
      <w:r>
        <w:t>§ 16 Větrání</w:t>
      </w:r>
      <w:bookmarkEnd w:id="19"/>
    </w:p>
    <w:p w14:paraId="5A46765A" w14:textId="77777777" w:rsidR="00552591" w:rsidRPr="00A772AF" w:rsidRDefault="00552591" w:rsidP="00552591">
      <w:pPr>
        <w:spacing w:after="0" w:line="240" w:lineRule="auto"/>
        <w:rPr>
          <w:rFonts w:ascii="Arial" w:eastAsia="Times New Roman" w:hAnsi="Arial" w:cs="Arial"/>
          <w:lang w:eastAsia="de-DE"/>
        </w:rPr>
      </w:pPr>
    </w:p>
    <w:p w14:paraId="2FB241CF" w14:textId="77777777" w:rsidR="002F3718" w:rsidRPr="00A772AF" w:rsidRDefault="002F3718" w:rsidP="002F3718">
      <w:pPr>
        <w:spacing w:after="0" w:line="240" w:lineRule="auto"/>
        <w:rPr>
          <w:rFonts w:ascii="Arial" w:eastAsia="Times New Roman" w:hAnsi="Arial" w:cs="Times New Roman"/>
        </w:rPr>
      </w:pPr>
      <w:r>
        <w:rPr>
          <w:rFonts w:ascii="Arial" w:hAnsi="Arial"/>
        </w:rPr>
        <w:t>(1) Uzavřené středně velké a velké garáže musí mít mechanické výfukové vzduchové systémy a zásobovat vzduchové výstupy tak velké a tak rozšířené, že všechny části garáže jsou dostatečně větrané. V případě nedostatečného přívodu vzduchu musí být k dispozici mechanický systém přívodu vzduchu.</w:t>
      </w:r>
    </w:p>
    <w:p w14:paraId="64937C56" w14:textId="77777777" w:rsidR="002F3718" w:rsidRPr="00A772AF" w:rsidRDefault="002F3718" w:rsidP="002F3718">
      <w:pPr>
        <w:spacing w:after="0" w:line="240" w:lineRule="auto"/>
        <w:rPr>
          <w:rFonts w:ascii="Arial" w:eastAsia="Times New Roman" w:hAnsi="Arial" w:cs="Times New Roman"/>
          <w:lang w:eastAsia="de-DE"/>
        </w:rPr>
      </w:pPr>
    </w:p>
    <w:p w14:paraId="0915DCCB" w14:textId="77777777" w:rsidR="002F3718" w:rsidRPr="00A772AF" w:rsidRDefault="002F3718" w:rsidP="002F3718">
      <w:pPr>
        <w:spacing w:after="0" w:line="240" w:lineRule="auto"/>
        <w:rPr>
          <w:rFonts w:ascii="Arial" w:eastAsia="Times New Roman" w:hAnsi="Arial" w:cs="Times New Roman"/>
        </w:rPr>
      </w:pPr>
      <w:r>
        <w:rPr>
          <w:rFonts w:ascii="Arial" w:hAnsi="Arial"/>
        </w:rPr>
        <w:t>(2) U uzavřených středně velkých a velkých garáží s malým vstupním a výstupním provozem, jako jsou obytné garáže, stačí přirozené větrání ventilačními otvory nebo větracími šachtami. Ventilační otvory musí:</w:t>
      </w:r>
    </w:p>
    <w:p w14:paraId="26C3FA4A" w14:textId="77777777" w:rsidR="002F3718" w:rsidRPr="00A772AF" w:rsidRDefault="002F3718" w:rsidP="002F3718">
      <w:pPr>
        <w:numPr>
          <w:ilvl w:val="0"/>
          <w:numId w:val="8"/>
        </w:numPr>
        <w:spacing w:after="0" w:line="240" w:lineRule="auto"/>
        <w:ind w:left="274" w:hanging="274"/>
        <w:contextualSpacing/>
        <w:rPr>
          <w:rFonts w:ascii="Arial" w:eastAsia="Times New Roman" w:hAnsi="Arial" w:cs="Times New Roman"/>
        </w:rPr>
      </w:pPr>
      <w:r>
        <w:rPr>
          <w:rFonts w:ascii="Arial" w:hAnsi="Arial"/>
        </w:rPr>
        <w:t>mít celkový volný průřez nejméně 1500 cm² na jedno garážové parkovací místo,</w:t>
      </w:r>
    </w:p>
    <w:p w14:paraId="4765B89B" w14:textId="77777777" w:rsidR="002F3718" w:rsidRPr="00A772AF" w:rsidRDefault="002F3718" w:rsidP="002F3718">
      <w:pPr>
        <w:numPr>
          <w:ilvl w:val="0"/>
          <w:numId w:val="8"/>
        </w:numPr>
        <w:spacing w:after="0" w:line="240" w:lineRule="auto"/>
        <w:ind w:left="274" w:hanging="274"/>
        <w:contextualSpacing/>
        <w:rPr>
          <w:rFonts w:ascii="Arial" w:eastAsia="Times New Roman" w:hAnsi="Arial" w:cs="Times New Roman"/>
        </w:rPr>
      </w:pPr>
      <w:r>
        <w:rPr>
          <w:rFonts w:ascii="Arial" w:hAnsi="Arial"/>
        </w:rPr>
        <w:t>být umístěny naproti sobě ve vnějších stěnách nad úrovní země ve vzdálenosti nejvýše 35 m,</w:t>
      </w:r>
    </w:p>
    <w:p w14:paraId="2467F657" w14:textId="77777777" w:rsidR="002F3718" w:rsidRPr="00A772AF" w:rsidRDefault="002F3718" w:rsidP="002F3718">
      <w:pPr>
        <w:numPr>
          <w:ilvl w:val="0"/>
          <w:numId w:val="8"/>
        </w:numPr>
        <w:spacing w:after="0" w:line="240" w:lineRule="auto"/>
        <w:ind w:left="274" w:hanging="274"/>
        <w:contextualSpacing/>
        <w:rPr>
          <w:rFonts w:ascii="Arial" w:eastAsia="Times New Roman" w:hAnsi="Arial" w:cs="Times New Roman"/>
        </w:rPr>
      </w:pPr>
      <w:r>
        <w:rPr>
          <w:rFonts w:ascii="Arial" w:hAnsi="Arial"/>
        </w:rPr>
        <w:t>být neuzamykatelné a</w:t>
      </w:r>
    </w:p>
    <w:p w14:paraId="43622DE3" w14:textId="77777777" w:rsidR="002F3718" w:rsidRPr="00A772AF" w:rsidRDefault="002F3718" w:rsidP="002F3718">
      <w:pPr>
        <w:numPr>
          <w:ilvl w:val="0"/>
          <w:numId w:val="8"/>
        </w:numPr>
        <w:spacing w:after="0" w:line="240" w:lineRule="auto"/>
        <w:ind w:left="274" w:hanging="274"/>
        <w:contextualSpacing/>
        <w:rPr>
          <w:rFonts w:ascii="Arial" w:eastAsia="Times New Roman" w:hAnsi="Arial" w:cs="Times New Roman"/>
        </w:rPr>
      </w:pPr>
      <w:r>
        <w:rPr>
          <w:rFonts w:ascii="Arial" w:hAnsi="Arial"/>
        </w:rPr>
        <w:t>být rozmístěny po garáži tak, aby byla zaručena stálé příčné větrání.</w:t>
      </w:r>
    </w:p>
    <w:p w14:paraId="1203617B" w14:textId="77777777" w:rsidR="004F059F" w:rsidRPr="00A772AF" w:rsidRDefault="004F059F" w:rsidP="002F3718">
      <w:pPr>
        <w:spacing w:after="0" w:line="240" w:lineRule="auto"/>
        <w:rPr>
          <w:rFonts w:ascii="Arial" w:eastAsia="Times New Roman" w:hAnsi="Arial" w:cs="Times New Roman"/>
          <w:lang w:eastAsia="de-DE"/>
        </w:rPr>
      </w:pPr>
    </w:p>
    <w:p w14:paraId="688F23EB" w14:textId="67C52AAF" w:rsidR="002F3718" w:rsidRPr="00A772AF" w:rsidRDefault="002F3718" w:rsidP="002F3718">
      <w:pPr>
        <w:spacing w:after="0" w:line="240" w:lineRule="auto"/>
        <w:rPr>
          <w:rFonts w:ascii="Arial" w:eastAsia="Times New Roman" w:hAnsi="Arial" w:cs="Times New Roman"/>
        </w:rPr>
      </w:pPr>
      <w:r>
        <w:rPr>
          <w:rFonts w:ascii="Arial" w:hAnsi="Arial"/>
        </w:rPr>
        <w:t>Větrací šachty musí:</w:t>
      </w:r>
    </w:p>
    <w:p w14:paraId="5661CDE7" w14:textId="77777777" w:rsidR="002F3718" w:rsidRPr="00A772AF" w:rsidRDefault="002F3718" w:rsidP="002F3718">
      <w:pPr>
        <w:numPr>
          <w:ilvl w:val="0"/>
          <w:numId w:val="9"/>
        </w:numPr>
        <w:spacing w:after="0" w:line="240" w:lineRule="auto"/>
        <w:ind w:left="274" w:hanging="274"/>
        <w:contextualSpacing/>
        <w:rPr>
          <w:rFonts w:ascii="Arial" w:eastAsia="Times New Roman" w:hAnsi="Arial" w:cs="Times New Roman"/>
        </w:rPr>
      </w:pPr>
      <w:r>
        <w:rPr>
          <w:rFonts w:ascii="Arial" w:hAnsi="Arial"/>
        </w:rPr>
        <w:t>být uspořádány ve vzdálenosti nepřesahující 20 m mezi sebou; a</w:t>
      </w:r>
    </w:p>
    <w:p w14:paraId="01250777" w14:textId="77777777" w:rsidR="002F3718" w:rsidRPr="00A772AF" w:rsidRDefault="002F3718" w:rsidP="002F3718">
      <w:pPr>
        <w:numPr>
          <w:ilvl w:val="0"/>
          <w:numId w:val="9"/>
        </w:numPr>
        <w:spacing w:after="0" w:line="240" w:lineRule="auto"/>
        <w:ind w:left="274" w:hanging="274"/>
        <w:contextualSpacing/>
        <w:rPr>
          <w:rFonts w:ascii="Arial" w:eastAsia="Times New Roman" w:hAnsi="Arial" w:cs="Times New Roman"/>
        </w:rPr>
      </w:pPr>
      <w:r>
        <w:rPr>
          <w:rFonts w:ascii="Arial" w:hAnsi="Arial"/>
        </w:rPr>
        <w:t>mít ve výšce až 2 m celkový volný průřez nejméně 1 500 cm² na parkovací místo garáže a ve výšce větší než 2 m mít celkový volný průřez nejméně 3 000 cm² na parkovací místo v garáži.</w:t>
      </w:r>
    </w:p>
    <w:p w14:paraId="049C0CF7" w14:textId="77777777" w:rsidR="002F3718" w:rsidRPr="00A772AF" w:rsidRDefault="002F3718" w:rsidP="002F3718">
      <w:pPr>
        <w:spacing w:after="0" w:line="240" w:lineRule="auto"/>
        <w:rPr>
          <w:rFonts w:ascii="Arial" w:eastAsia="Times New Roman" w:hAnsi="Arial" w:cs="Times New Roman"/>
          <w:lang w:eastAsia="de-DE"/>
        </w:rPr>
      </w:pPr>
    </w:p>
    <w:p w14:paraId="71AA2410" w14:textId="170C29FB" w:rsidR="002F3718" w:rsidRPr="00A772AF" w:rsidRDefault="002F3718" w:rsidP="004F059F">
      <w:pPr>
        <w:spacing w:after="0" w:line="240" w:lineRule="auto"/>
        <w:rPr>
          <w:rFonts w:ascii="Arial" w:eastAsia="Times New Roman" w:hAnsi="Arial" w:cs="Times New Roman"/>
        </w:rPr>
      </w:pPr>
      <w:r>
        <w:rPr>
          <w:rFonts w:ascii="Arial" w:hAnsi="Arial"/>
        </w:rPr>
        <w:t>(3) U uzavřených středně velkých a velkých garáží, odchylně od odstavců 1 a 2, je přirozené větrání dostatečné, pokud lze v jednotlivých případech podle odborného posudku stavebního inspektora pro testování technických systémů očekávat, že střední hodnota objemu obsah oxidu uhelnatého ve vzduchu, naměřená každou půl hodinu a ve výšce 1,50 m nad podlahou (střední půlhodinová hodnota CO), a to ani při špičkách běžného provozu, nebude činit v průměru více než 100 ppm (= 100 cm³/m³) a pokud to vychází z měření, která mají být provedena po dobu nejméně jednoho měsíce od uvedení garáže do provozu, jsou potvrzena odborníkem na testování technických systémů uznaných podle stavebních předpisů.</w:t>
      </w:r>
    </w:p>
    <w:p w14:paraId="27367853" w14:textId="77777777" w:rsidR="002F3718" w:rsidRPr="00A772AF" w:rsidRDefault="002F3718" w:rsidP="002F3718">
      <w:pPr>
        <w:spacing w:after="0" w:line="240" w:lineRule="auto"/>
        <w:rPr>
          <w:rFonts w:ascii="Arial" w:eastAsia="Times New Roman" w:hAnsi="Arial" w:cs="Times New Roman"/>
          <w:lang w:eastAsia="de-DE"/>
        </w:rPr>
      </w:pPr>
    </w:p>
    <w:p w14:paraId="6FB2E223" w14:textId="77777777" w:rsidR="002F3718" w:rsidRPr="00A772AF" w:rsidRDefault="002F3718" w:rsidP="002F3718">
      <w:pPr>
        <w:spacing w:after="0" w:line="240" w:lineRule="auto"/>
        <w:rPr>
          <w:rFonts w:ascii="Arial" w:eastAsia="Times New Roman" w:hAnsi="Arial" w:cs="Times New Roman"/>
        </w:rPr>
      </w:pPr>
      <w:r>
        <w:rPr>
          <w:rFonts w:ascii="Arial" w:hAnsi="Arial"/>
        </w:rPr>
        <w:t xml:space="preserve">(4) Systémy mechanického odvádění vzduchu musí být navrženy a provozovány tak, aby průměrná půlhodinová hodnota CO nepřekročila 100 ppm s přihlédnutím k očekávaným dopravním špičkám v pravidelných intervalech. Tyto požadavky se považují za splněné, je-li systém odvádění vzduchu v garážích s nízkou úrovní provozu při vjezdu a výjezdu schopen odvádět nejméně 6 m³ v případě ostatních garáží a nejméně 12 m³ odváděného vzduchu za hodinu na m² podlahové plochy garáže. U garáží se zvláště vysokými dopravními špičkami v </w:t>
      </w:r>
      <w:r>
        <w:rPr>
          <w:rFonts w:ascii="Arial" w:hAnsi="Arial"/>
        </w:rPr>
        <w:lastRenderedPageBreak/>
        <w:t>pravidelných intervalech může být vyžadován základní výkon systému odvádění vzduchu požadovaného podle věty 1, soudě případ od případu.</w:t>
      </w:r>
    </w:p>
    <w:p w14:paraId="3C9A5EB0" w14:textId="77777777" w:rsidR="002F3718" w:rsidRPr="00A772AF" w:rsidRDefault="002F3718" w:rsidP="002F3718">
      <w:pPr>
        <w:spacing w:after="0" w:line="240" w:lineRule="auto"/>
        <w:rPr>
          <w:rFonts w:ascii="Arial" w:eastAsia="Times New Roman" w:hAnsi="Arial" w:cs="Times New Roman"/>
          <w:lang w:eastAsia="de-DE"/>
        </w:rPr>
      </w:pPr>
    </w:p>
    <w:p w14:paraId="092F5717" w14:textId="77777777" w:rsidR="002F3718" w:rsidRPr="00A772AF" w:rsidRDefault="002F3718" w:rsidP="002F3718">
      <w:pPr>
        <w:spacing w:after="0" w:line="240" w:lineRule="auto"/>
        <w:rPr>
          <w:rFonts w:ascii="Arial" w:eastAsia="Times New Roman" w:hAnsi="Arial" w:cs="Times New Roman"/>
        </w:rPr>
      </w:pPr>
      <w:r>
        <w:rPr>
          <w:rFonts w:ascii="Arial" w:hAnsi="Arial"/>
        </w:rPr>
        <w:t xml:space="preserve">(5) Mechanické výfukové vzduchové systémy musí mít v každém ventilačním systému alespoň dva ventilátory stejné velikosti, které zároveň poskytují požadovaný celkový objemový průtok. Každý ventilátor systému mechanického přívodu nebo odvádění vzduchu musí být napájen z vlastního okruhu, ke kterému nelze připojit jiné elektrické systémy. Má-li být systém větrání provozován pouze s jedním ventilátorem, musí být ventilátory zapnuty tak, aby se v případě že jeden ventilátor selže, zapnul automaticky druhý. </w:t>
      </w:r>
    </w:p>
    <w:p w14:paraId="782CB5F7" w14:textId="77777777" w:rsidR="002F3718" w:rsidRPr="00A772AF" w:rsidRDefault="002F3718" w:rsidP="002F3718">
      <w:pPr>
        <w:spacing w:after="0" w:line="240" w:lineRule="auto"/>
        <w:rPr>
          <w:rFonts w:ascii="Arial" w:eastAsia="Times New Roman" w:hAnsi="Arial" w:cs="Times New Roman"/>
          <w:lang w:eastAsia="de-DE"/>
        </w:rPr>
      </w:pPr>
    </w:p>
    <w:p w14:paraId="664DAFCD" w14:textId="77777777" w:rsidR="002F3718" w:rsidRPr="00A772AF" w:rsidRDefault="002F3718" w:rsidP="002F3718">
      <w:pPr>
        <w:spacing w:after="0" w:line="240" w:lineRule="auto"/>
        <w:rPr>
          <w:rFonts w:ascii="Arial" w:eastAsia="Times New Roman" w:hAnsi="Arial" w:cs="Times New Roman"/>
        </w:rPr>
      </w:pPr>
      <w:r>
        <w:rPr>
          <w:rFonts w:ascii="Arial" w:hAnsi="Arial"/>
        </w:rPr>
        <w:t>(6) Uzavřené velké garáže s nízkým provozem vjezdů a výjezdů musí mít zařízení pro měření CO a výstražné systémy pro CO (hlásiče CO). Hlásiče CO musí být navrženy tak, aby v případě, že obsah CO v hodnotě 250 ppm přesáhl 250 ppm, byli uživatelé garáží vyzváni pomocí reproduktoru a blikající signalizace, aby rychle opustili garáž nebo vypnuli motory při stání. Během této doby musí být výjezdy z garáže otevřené. Varovné systémy CO musí být připojeny k záložnímu zdroji energie.</w:t>
      </w:r>
    </w:p>
    <w:p w14:paraId="4D5E3B0A" w14:textId="77777777" w:rsidR="002F3718" w:rsidRPr="00A772AF" w:rsidRDefault="002F3718" w:rsidP="002F3718">
      <w:pPr>
        <w:spacing w:after="0" w:line="240" w:lineRule="auto"/>
        <w:rPr>
          <w:rFonts w:ascii="Arial" w:eastAsia="Times New Roman" w:hAnsi="Arial" w:cs="Times New Roman"/>
          <w:lang w:eastAsia="de-DE"/>
        </w:rPr>
      </w:pPr>
    </w:p>
    <w:p w14:paraId="330BDA3B" w14:textId="77777777" w:rsidR="002F3718" w:rsidRPr="00A772AF" w:rsidRDefault="002F3718" w:rsidP="002F3718">
      <w:pPr>
        <w:spacing w:after="0" w:line="240" w:lineRule="auto"/>
        <w:rPr>
          <w:rFonts w:ascii="Arial" w:eastAsia="Times New Roman" w:hAnsi="Arial" w:cs="Times New Roman"/>
        </w:rPr>
      </w:pPr>
      <w:r>
        <w:rPr>
          <w:rFonts w:ascii="Arial" w:hAnsi="Arial"/>
        </w:rPr>
        <w:t>(7) Odstavce 1 až 6 se nevztahují na automatické garáže.</w:t>
      </w:r>
    </w:p>
    <w:p w14:paraId="1BC5ED7E" w14:textId="77777777" w:rsidR="00552591" w:rsidRPr="00A772AF" w:rsidRDefault="00552591" w:rsidP="00552591">
      <w:pPr>
        <w:rPr>
          <w:rFonts w:ascii="Arial" w:hAnsi="Arial" w:cs="Arial"/>
        </w:rPr>
      </w:pPr>
    </w:p>
    <w:p w14:paraId="1334AAE1" w14:textId="0E7BEB7D" w:rsidR="00552591" w:rsidRPr="00A772AF" w:rsidRDefault="007D4D2B" w:rsidP="00F43216">
      <w:pPr>
        <w:pStyle w:val="Heading2"/>
        <w:rPr>
          <w:szCs w:val="22"/>
        </w:rPr>
      </w:pPr>
      <w:bookmarkStart w:id="20" w:name="_Toc72145636"/>
      <w:r>
        <w:t>§ 17 Hasicí zařízení, odvod kouře</w:t>
      </w:r>
      <w:bookmarkEnd w:id="20"/>
      <w:r>
        <w:t xml:space="preserve"> </w:t>
      </w:r>
    </w:p>
    <w:p w14:paraId="668C44BD" w14:textId="77777777" w:rsidR="00552591" w:rsidRPr="00A772AF" w:rsidRDefault="00552591" w:rsidP="00552591">
      <w:pPr>
        <w:spacing w:after="0" w:line="240" w:lineRule="auto"/>
        <w:rPr>
          <w:rFonts w:ascii="Arial" w:eastAsia="Times New Roman" w:hAnsi="Arial" w:cs="Arial"/>
          <w:lang w:eastAsia="de-DE"/>
        </w:rPr>
      </w:pPr>
    </w:p>
    <w:p w14:paraId="2736A307" w14:textId="158C1ED8"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(1) Ve středně velkých a velkých garážích jsou podlaží s parkovacími místy, jejichž podlahy jsou v průměru.</w:t>
      </w:r>
    </w:p>
    <w:p w14:paraId="7618FC69" w14:textId="00F874BA" w:rsidR="002F3718" w:rsidRPr="00A772AF" w:rsidRDefault="002F3718" w:rsidP="00915A71">
      <w:pPr>
        <w:autoSpaceDE w:val="0"/>
        <w:autoSpaceDN w:val="0"/>
        <w:adjustRightInd w:val="0"/>
        <w:spacing w:after="0" w:line="240" w:lineRule="auto"/>
        <w:ind w:left="284" w:hanging="284"/>
        <w:rPr>
          <w:rFonts w:ascii="Arial" w:eastAsia="Times New Roman" w:hAnsi="Arial" w:cs="Arial"/>
        </w:rPr>
      </w:pPr>
      <w:r>
        <w:rPr>
          <w:rFonts w:ascii="Arial" w:hAnsi="Arial"/>
        </w:rPr>
        <w:t xml:space="preserve">1. </w:t>
      </w:r>
      <w:r>
        <w:rPr>
          <w:rFonts w:ascii="Arial" w:hAnsi="Arial"/>
        </w:rPr>
        <w:tab/>
        <w:t>buď více než 4 m pod nebo</w:t>
      </w:r>
    </w:p>
    <w:p w14:paraId="3798432D" w14:textId="1413DFFF" w:rsidR="002F3718" w:rsidRPr="00A772AF" w:rsidRDefault="002F3718" w:rsidP="00915A71">
      <w:pPr>
        <w:autoSpaceDE w:val="0"/>
        <w:autoSpaceDN w:val="0"/>
        <w:adjustRightInd w:val="0"/>
        <w:spacing w:after="0" w:line="240" w:lineRule="auto"/>
        <w:ind w:left="284" w:hanging="284"/>
        <w:rPr>
          <w:rFonts w:ascii="Arial" w:eastAsia="Times New Roman" w:hAnsi="Arial" w:cs="Arial"/>
        </w:rPr>
      </w:pPr>
      <w:r>
        <w:rPr>
          <w:rFonts w:ascii="Arial" w:hAnsi="Arial"/>
        </w:rPr>
        <w:t xml:space="preserve">2. </w:t>
      </w:r>
      <w:r>
        <w:rPr>
          <w:rFonts w:ascii="Arial" w:hAnsi="Arial"/>
        </w:rPr>
        <w:tab/>
        <w:t>více než 13 m nad</w:t>
      </w:r>
    </w:p>
    <w:p w14:paraId="6755F913" w14:textId="38622231"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úrovní na povrchu terénu, musí být v bezprostřední blízkosti pro každé nezbytné schodiště zajištěno protipožární vodní potrubí.</w:t>
      </w:r>
    </w:p>
    <w:p w14:paraId="0F0004B2" w14:textId="77777777" w:rsidR="004C531D" w:rsidRPr="00A772AF" w:rsidRDefault="004C531D" w:rsidP="004C531D">
      <w:pPr>
        <w:spacing w:after="0" w:line="240" w:lineRule="auto"/>
        <w:rPr>
          <w:rFonts w:ascii="Arial" w:eastAsia="Times New Roman" w:hAnsi="Arial" w:cs="Arial"/>
        </w:rPr>
      </w:pPr>
      <w:r>
        <w:rPr>
          <w:rFonts w:ascii="Arial" w:hAnsi="Arial"/>
        </w:rPr>
        <w:t xml:space="preserve">Musí být zajištěny manévrovací prostory pro vozidla hasičského sboru v místech přívodu, která nesmí být dále než 15 m od místa bodu. </w:t>
      </w:r>
    </w:p>
    <w:p w14:paraId="2B026321" w14:textId="70949C86" w:rsidR="002F3718" w:rsidRPr="00A772AF" w:rsidRDefault="004C531D" w:rsidP="004C531D">
      <w:pPr>
        <w:spacing w:after="0" w:line="240" w:lineRule="auto"/>
        <w:rPr>
          <w:rFonts w:ascii="Arial" w:eastAsia="Times New Roman" w:hAnsi="Arial" w:cs="Arial"/>
        </w:rPr>
      </w:pPr>
      <w:r>
        <w:rPr>
          <w:rFonts w:ascii="Arial" w:hAnsi="Arial"/>
        </w:rPr>
        <w:t>Umístění míst přívodu a odvodu se stanovuje po dohodě s orgánem pro požární ochranu.</w:t>
      </w:r>
    </w:p>
    <w:p w14:paraId="1045BCC4" w14:textId="77777777" w:rsidR="004C531D" w:rsidRPr="00A772AF" w:rsidRDefault="004C531D" w:rsidP="004C531D">
      <w:pPr>
        <w:spacing w:after="0" w:line="240" w:lineRule="auto"/>
        <w:rPr>
          <w:rFonts w:ascii="Arial" w:eastAsia="Times New Roman" w:hAnsi="Arial" w:cs="Arial"/>
          <w:lang w:eastAsia="de-DE"/>
        </w:rPr>
      </w:pPr>
    </w:p>
    <w:p w14:paraId="15A1C24E" w14:textId="77777777" w:rsidR="002F3718" w:rsidRPr="00A772AF" w:rsidRDefault="002F3718" w:rsidP="002F3718">
      <w:pPr>
        <w:spacing w:after="0" w:line="240" w:lineRule="auto"/>
        <w:rPr>
          <w:rFonts w:ascii="Arial" w:eastAsia="Times New Roman" w:hAnsi="Arial" w:cs="Arial"/>
        </w:rPr>
      </w:pPr>
      <w:r>
        <w:rPr>
          <w:rFonts w:ascii="Arial" w:hAnsi="Arial"/>
        </w:rPr>
        <w:t>(2) Musí být k dispozici neautomatické hasicí systémy, jako jsou polostacionární hasicí systémy rozprašování vody nebo hasicí systémy s vysoce expanzivní pěnou</w:t>
      </w:r>
    </w:p>
    <w:p w14:paraId="79A7F197" w14:textId="77777777" w:rsidR="002F3718" w:rsidRPr="00A772AF" w:rsidRDefault="002F3718" w:rsidP="002F3718">
      <w:pPr>
        <w:numPr>
          <w:ilvl w:val="0"/>
          <w:numId w:val="10"/>
        </w:numPr>
        <w:spacing w:after="0" w:line="240" w:lineRule="auto"/>
        <w:ind w:left="274" w:hanging="274"/>
        <w:contextualSpacing/>
        <w:rPr>
          <w:rFonts w:ascii="Arial" w:eastAsia="Times New Roman" w:hAnsi="Arial" w:cs="Arial"/>
        </w:rPr>
      </w:pPr>
      <w:r>
        <w:rPr>
          <w:rFonts w:ascii="Arial" w:hAnsi="Arial"/>
        </w:rPr>
        <w:t>v uzavřených garážích s více než 20 parkovacími místy u výtahů poháněných motorem, pokud lze nad sebou umístit více než dvě motorová vozidla;</w:t>
      </w:r>
    </w:p>
    <w:p w14:paraId="3AEC2418" w14:textId="77777777" w:rsidR="002F3718" w:rsidRPr="00A772AF" w:rsidRDefault="002F3718" w:rsidP="002F3718">
      <w:pPr>
        <w:numPr>
          <w:ilvl w:val="0"/>
          <w:numId w:val="10"/>
        </w:numPr>
        <w:spacing w:after="0" w:line="240" w:lineRule="auto"/>
        <w:ind w:left="274" w:hanging="274"/>
        <w:contextualSpacing/>
        <w:rPr>
          <w:rFonts w:ascii="Arial" w:eastAsia="Times New Roman" w:hAnsi="Arial" w:cs="Arial"/>
        </w:rPr>
      </w:pPr>
      <w:r>
        <w:rPr>
          <w:rFonts w:ascii="Arial" w:hAnsi="Arial"/>
        </w:rPr>
        <w:t>v automatických garážích s maximálně 20 parkovacími místy.</w:t>
      </w:r>
    </w:p>
    <w:p w14:paraId="10317879" w14:textId="73FC6E19" w:rsidR="002F3718" w:rsidRPr="00A772AF" w:rsidRDefault="002F3718" w:rsidP="002F3718">
      <w:pPr>
        <w:spacing w:after="0" w:line="240" w:lineRule="auto"/>
        <w:rPr>
          <w:rFonts w:ascii="Arial" w:eastAsia="Times New Roman" w:hAnsi="Arial" w:cs="Arial"/>
        </w:rPr>
      </w:pPr>
      <w:r>
        <w:rPr>
          <w:rFonts w:ascii="Arial" w:hAnsi="Arial"/>
        </w:rPr>
        <w:t>Typ hasicího systému se určí případ od případu po konzultaci s orgánem požární ochrany*.</w:t>
      </w:r>
    </w:p>
    <w:p w14:paraId="36189AFC" w14:textId="77777777" w:rsidR="00364C43" w:rsidRPr="00A772AF" w:rsidRDefault="00364C43" w:rsidP="002F3718">
      <w:pPr>
        <w:spacing w:after="0" w:line="240" w:lineRule="auto"/>
        <w:rPr>
          <w:rFonts w:ascii="Arial" w:eastAsia="Times New Roman" w:hAnsi="Arial" w:cs="Arial"/>
          <w:sz w:val="16"/>
          <w:szCs w:val="16"/>
          <w:lang w:eastAsia="de-DE"/>
        </w:rPr>
      </w:pPr>
    </w:p>
    <w:p w14:paraId="54E785EF" w14:textId="77777777" w:rsidR="002F3718" w:rsidRPr="00A772AF" w:rsidRDefault="002F3718" w:rsidP="002F3718">
      <w:pPr>
        <w:spacing w:after="0" w:line="240" w:lineRule="auto"/>
        <w:rPr>
          <w:rFonts w:ascii="Arial" w:eastAsia="Times New Roman" w:hAnsi="Arial" w:cs="Arial"/>
          <w:sz w:val="16"/>
          <w:szCs w:val="16"/>
        </w:rPr>
      </w:pPr>
      <w:r>
        <w:rPr>
          <w:rFonts w:ascii="Arial" w:hAnsi="Arial"/>
          <w:sz w:val="16"/>
        </w:rPr>
        <w:t>*) podle regionálního práva</w:t>
      </w:r>
    </w:p>
    <w:p w14:paraId="510A02B5" w14:textId="77777777" w:rsidR="002F3718" w:rsidRPr="00A772AF" w:rsidRDefault="002F3718" w:rsidP="002F3718">
      <w:pPr>
        <w:spacing w:after="0" w:line="240" w:lineRule="auto"/>
        <w:rPr>
          <w:rFonts w:ascii="Arial" w:eastAsia="Times New Roman" w:hAnsi="Arial" w:cs="Arial"/>
          <w:lang w:eastAsia="de-DE"/>
        </w:rPr>
      </w:pPr>
    </w:p>
    <w:p w14:paraId="0816AE47" w14:textId="77777777" w:rsidR="002F3718" w:rsidRPr="00A772AF" w:rsidRDefault="002F3718" w:rsidP="002F3718">
      <w:pPr>
        <w:spacing w:after="0" w:line="240" w:lineRule="auto"/>
        <w:rPr>
          <w:rFonts w:ascii="Arial" w:eastAsia="Times New Roman" w:hAnsi="Arial" w:cs="Arial"/>
        </w:rPr>
      </w:pPr>
      <w:r>
        <w:rPr>
          <w:rFonts w:ascii="Arial" w:hAnsi="Arial"/>
        </w:rPr>
        <w:t>(3) Musí být k dispozici automatické hasicí systémy</w:t>
      </w:r>
    </w:p>
    <w:p w14:paraId="69288912" w14:textId="77777777" w:rsidR="002F3718" w:rsidRPr="00A772AF" w:rsidRDefault="002F3718" w:rsidP="002F3718">
      <w:pPr>
        <w:numPr>
          <w:ilvl w:val="0"/>
          <w:numId w:val="11"/>
        </w:numPr>
        <w:spacing w:after="0" w:line="240" w:lineRule="auto"/>
        <w:ind w:left="274" w:hanging="274"/>
        <w:contextualSpacing/>
        <w:rPr>
          <w:rFonts w:ascii="Arial" w:eastAsia="Times New Roman" w:hAnsi="Arial" w:cs="Arial"/>
        </w:rPr>
      </w:pPr>
      <w:r>
        <w:rPr>
          <w:rFonts w:ascii="Arial" w:hAnsi="Arial"/>
        </w:rPr>
        <w:t xml:space="preserve">v podlažích velkých garáží, je-li podlaha podlaží v průměru více než 4 m pod zemí a budova není používána pouze jako garáž; to neplatí, pokud velká garáž v podlažích není spojena s jiným využitím, </w:t>
      </w:r>
    </w:p>
    <w:p w14:paraId="531F68FB" w14:textId="77777777" w:rsidR="002F3718" w:rsidRPr="00A772AF" w:rsidRDefault="002F3718" w:rsidP="002F3718">
      <w:pPr>
        <w:numPr>
          <w:ilvl w:val="0"/>
          <w:numId w:val="11"/>
        </w:numPr>
        <w:spacing w:after="0" w:line="240" w:lineRule="auto"/>
        <w:ind w:left="274" w:hanging="274"/>
        <w:contextualSpacing/>
        <w:rPr>
          <w:rFonts w:ascii="Arial" w:eastAsia="Times New Roman" w:hAnsi="Arial" w:cs="Arial"/>
        </w:rPr>
      </w:pPr>
      <w:r>
        <w:rPr>
          <w:rFonts w:ascii="Arial" w:hAnsi="Arial"/>
        </w:rPr>
        <w:t>v automatických garážích s více než 20 parkovacími místy.</w:t>
      </w:r>
    </w:p>
    <w:p w14:paraId="770B3F2B" w14:textId="77777777" w:rsidR="002F3718" w:rsidRPr="00A772AF" w:rsidRDefault="002F3718" w:rsidP="002F3718">
      <w:pPr>
        <w:spacing w:after="0" w:line="240" w:lineRule="auto"/>
        <w:rPr>
          <w:rFonts w:ascii="Arial" w:eastAsia="Times New Roman" w:hAnsi="Arial" w:cs="Arial"/>
          <w:lang w:eastAsia="de-DE"/>
        </w:rPr>
      </w:pPr>
    </w:p>
    <w:p w14:paraId="05835A99" w14:textId="1BF33337" w:rsidR="002F3718" w:rsidRPr="00A772AF" w:rsidRDefault="002F3718" w:rsidP="002F3718">
      <w:pPr>
        <w:spacing w:after="0" w:line="240" w:lineRule="auto"/>
        <w:rPr>
          <w:rFonts w:ascii="Arial" w:eastAsia="Times New Roman" w:hAnsi="Arial" w:cs="Arial"/>
        </w:rPr>
      </w:pPr>
      <w:r>
        <w:rPr>
          <w:rFonts w:ascii="Arial" w:hAnsi="Arial"/>
        </w:rPr>
        <w:t>(4) Uzavřené velké garáže musí pro požadovaný odvod kouře z každého požárního úseku</w:t>
      </w:r>
    </w:p>
    <w:p w14:paraId="1B374A5E" w14:textId="77777777" w:rsidR="002F3718" w:rsidRPr="00A772AF" w:rsidRDefault="002F3718" w:rsidP="002F3718">
      <w:pPr>
        <w:spacing w:after="0" w:line="240" w:lineRule="auto"/>
        <w:ind w:left="284" w:hanging="284"/>
        <w:contextualSpacing/>
        <w:rPr>
          <w:rFonts w:ascii="Arial" w:eastAsia="Times New Roman" w:hAnsi="Arial" w:cs="Arial"/>
        </w:rPr>
      </w:pPr>
      <w:r>
        <w:rPr>
          <w:rFonts w:ascii="Arial" w:hAnsi="Arial"/>
        </w:rPr>
        <w:t xml:space="preserve">1. </w:t>
      </w:r>
      <w:r>
        <w:rPr>
          <w:rFonts w:ascii="Arial" w:hAnsi="Arial"/>
        </w:rPr>
        <w:tab/>
        <w:t>mít otvory vedoucí do otevřeného prostoru o celkové rozloze nejméně 1 000 cm² na jedno parkovací místo, nejvýše 20 m od jakéhokoli parkovacího místa a umístěné ve stropě nebo horní třetině plochy stěny; nebo</w:t>
      </w:r>
    </w:p>
    <w:p w14:paraId="235384EC" w14:textId="7A99541E" w:rsidR="00176D38" w:rsidRPr="00A772AF" w:rsidRDefault="002F3718" w:rsidP="00176D38">
      <w:pPr>
        <w:spacing w:after="0" w:line="240" w:lineRule="auto"/>
        <w:ind w:left="284" w:hanging="284"/>
        <w:rPr>
          <w:rFonts w:ascii="Arial" w:eastAsia="Times New Roman" w:hAnsi="Arial" w:cs="Arial"/>
        </w:rPr>
      </w:pPr>
      <w:r>
        <w:rPr>
          <w:rFonts w:ascii="Arial" w:hAnsi="Arial"/>
        </w:rPr>
        <w:t xml:space="preserve">2. </w:t>
      </w:r>
      <w:r>
        <w:rPr>
          <w:rFonts w:ascii="Arial" w:hAnsi="Arial"/>
        </w:rPr>
        <w:tab/>
        <w:t>mít mechanické systémy pro odvádění kouře a tepla, které se automaticky zapínají v případě požáru, odolávají teplotě 300 °C po dobu nejméně jedné hodiny, jejich elektrické trubky zůstávají v provozu alespoň po stejnou dobu při vnějším vystavení požáru a které zajišťují nejméně desetkrát větší výměnu vzduchu za hodinu. Přívod vzduchu musí být zajištěn automatickým ovládáním a nejpozději ve stejnou dobu, kdy je instalace uvedena do provozu.</w:t>
      </w:r>
    </w:p>
    <w:p w14:paraId="0E10E9F4" w14:textId="77777777" w:rsidR="00176D38" w:rsidRPr="00A772AF" w:rsidRDefault="00176D38" w:rsidP="00176D38">
      <w:pPr>
        <w:spacing w:after="0" w:line="240" w:lineRule="auto"/>
        <w:ind w:left="284" w:hanging="284"/>
        <w:rPr>
          <w:rFonts w:ascii="Arial" w:eastAsia="Times New Roman" w:hAnsi="Arial" w:cs="Arial"/>
          <w:lang w:eastAsia="de-DE"/>
        </w:rPr>
      </w:pPr>
    </w:p>
    <w:p w14:paraId="41EE3B5F" w14:textId="59E700A7" w:rsidR="002F3718" w:rsidRPr="00A772AF" w:rsidRDefault="002F3718" w:rsidP="00176D38">
      <w:pPr>
        <w:spacing w:after="0" w:line="240" w:lineRule="auto"/>
        <w:ind w:left="284" w:hanging="284"/>
        <w:rPr>
          <w:rFonts w:ascii="Arial" w:eastAsia="Times New Roman" w:hAnsi="Arial" w:cs="Arial"/>
        </w:rPr>
      </w:pPr>
      <w:r>
        <w:rPr>
          <w:rFonts w:ascii="Arial" w:hAnsi="Arial"/>
        </w:rPr>
        <w:t>(5) Odstavec 4 se nevztahuje na garáže, které:</w:t>
      </w:r>
    </w:p>
    <w:p w14:paraId="6B689023" w14:textId="77777777" w:rsidR="002F3718" w:rsidRPr="00A772AF" w:rsidRDefault="002F3718" w:rsidP="002F3718">
      <w:pPr>
        <w:numPr>
          <w:ilvl w:val="0"/>
          <w:numId w:val="12"/>
        </w:numPr>
        <w:spacing w:after="0" w:line="240" w:lineRule="auto"/>
        <w:ind w:left="284" w:hanging="284"/>
        <w:contextualSpacing/>
        <w:rPr>
          <w:rFonts w:ascii="Arial" w:eastAsia="Times New Roman" w:hAnsi="Arial" w:cs="Arial"/>
        </w:rPr>
      </w:pPr>
      <w:r>
        <w:rPr>
          <w:rFonts w:ascii="Arial" w:hAnsi="Arial"/>
        </w:rPr>
        <w:lastRenderedPageBreak/>
        <w:t>mají ventilační otvory nebo ventilační šachty podle § 16 odst. 2;</w:t>
      </w:r>
    </w:p>
    <w:p w14:paraId="256E8CBF" w14:textId="77777777" w:rsidR="002F3718" w:rsidRPr="00A772AF" w:rsidRDefault="002F3718" w:rsidP="002F3718">
      <w:pPr>
        <w:numPr>
          <w:ilvl w:val="0"/>
          <w:numId w:val="12"/>
        </w:numPr>
        <w:spacing w:after="0" w:line="240" w:lineRule="auto"/>
        <w:ind w:left="284" w:hanging="284"/>
        <w:contextualSpacing/>
        <w:rPr>
          <w:rFonts w:ascii="Arial" w:eastAsia="Times New Roman" w:hAnsi="Arial" w:cs="Arial"/>
        </w:rPr>
      </w:pPr>
      <w:r>
        <w:rPr>
          <w:rFonts w:ascii="Arial" w:hAnsi="Arial"/>
        </w:rPr>
        <w:t>mají automatické hasicí systémy a mechanický výfukový vzduch podle § 16 odst. 4, který může vypouštět nejméně 12 m³ výfukového vzduchu za hodinu na m² použitelného prostoru garáže.</w:t>
      </w:r>
    </w:p>
    <w:p w14:paraId="21AA079E" w14:textId="77777777" w:rsidR="00552591" w:rsidRPr="00A772AF" w:rsidRDefault="00552591" w:rsidP="00552591">
      <w:pPr>
        <w:rPr>
          <w:rFonts w:ascii="Arial" w:hAnsi="Arial" w:cs="Arial"/>
        </w:rPr>
      </w:pPr>
    </w:p>
    <w:p w14:paraId="12F30953" w14:textId="54425AFD" w:rsidR="00552591" w:rsidRPr="00A772AF" w:rsidRDefault="007D4D2B" w:rsidP="00F43216">
      <w:pPr>
        <w:pStyle w:val="Heading2"/>
        <w:rPr>
          <w:szCs w:val="22"/>
        </w:rPr>
      </w:pPr>
      <w:bookmarkStart w:id="21" w:name="_Toc72145637"/>
      <w:r>
        <w:t>§ 18 Požární systémy, vnitřní rádiové systémy</w:t>
      </w:r>
      <w:bookmarkEnd w:id="21"/>
    </w:p>
    <w:p w14:paraId="10B96F3A" w14:textId="77777777" w:rsidR="00552591" w:rsidRPr="00A772AF" w:rsidRDefault="00552591" w:rsidP="00552591">
      <w:pPr>
        <w:autoSpaceDE w:val="0"/>
        <w:autoSpaceDN w:val="0"/>
        <w:adjustRightInd w:val="0"/>
        <w:spacing w:after="0" w:line="240" w:lineRule="auto"/>
        <w:jc w:val="both"/>
        <w:rPr>
          <w:rFonts w:ascii="Arial" w:eastAsia="Times New Roman" w:hAnsi="Arial" w:cs="Arial"/>
          <w:lang w:eastAsia="de-DE"/>
        </w:rPr>
      </w:pPr>
    </w:p>
    <w:p w14:paraId="606C9647" w14:textId="77777777"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(1) Uzavřené velké garáže s užitnou plochou větší než 2500 m² musí mít požární poplašné systémy s neautomatickými a automatickými požárními hlásiči.</w:t>
      </w:r>
    </w:p>
    <w:p w14:paraId="40CE030D" w14:textId="77777777" w:rsidR="002F3718" w:rsidRPr="00A772AF" w:rsidRDefault="002F3718" w:rsidP="002F3718">
      <w:pPr>
        <w:autoSpaceDE w:val="0"/>
        <w:autoSpaceDN w:val="0"/>
        <w:adjustRightInd w:val="0"/>
        <w:spacing w:after="0" w:line="240" w:lineRule="auto"/>
        <w:rPr>
          <w:rFonts w:ascii="Arial" w:eastAsia="Times New Roman" w:hAnsi="Arial" w:cs="Arial"/>
          <w:lang w:eastAsia="de-DE"/>
        </w:rPr>
      </w:pPr>
    </w:p>
    <w:p w14:paraId="3A57DAB9" w14:textId="6661C75F"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(2) Uzavřené středně velké a velké garáže musí mít požární poplašné systémy, pokud jsou napojeny na části budovy, pro které jsou vyžadovány požární poplašné systémy.</w:t>
      </w:r>
    </w:p>
    <w:p w14:paraId="36C2A92E" w14:textId="77777777" w:rsidR="00176D38" w:rsidRPr="00A772AF" w:rsidRDefault="00176D38" w:rsidP="00176D38">
      <w:pPr>
        <w:autoSpaceDE w:val="0"/>
        <w:autoSpaceDN w:val="0"/>
        <w:adjustRightInd w:val="0"/>
        <w:spacing w:after="0" w:line="240" w:lineRule="auto"/>
        <w:rPr>
          <w:rFonts w:ascii="Arial" w:eastAsia="Times New Roman" w:hAnsi="Arial" w:cs="Arial"/>
          <w:lang w:eastAsia="de-DE"/>
        </w:rPr>
      </w:pPr>
    </w:p>
    <w:p w14:paraId="4BD2B9D6" w14:textId="3C1A296F" w:rsidR="002F3718" w:rsidRPr="00A772AF" w:rsidRDefault="002F3718" w:rsidP="00176D38">
      <w:pPr>
        <w:autoSpaceDE w:val="0"/>
        <w:autoSpaceDN w:val="0"/>
        <w:adjustRightInd w:val="0"/>
        <w:spacing w:after="0" w:line="240" w:lineRule="auto"/>
        <w:rPr>
          <w:rFonts w:ascii="Arial" w:eastAsia="Times New Roman" w:hAnsi="Arial" w:cs="Arial"/>
        </w:rPr>
      </w:pPr>
      <w:r>
        <w:rPr>
          <w:rFonts w:ascii="Arial" w:hAnsi="Arial"/>
        </w:rPr>
        <w:t>(3) Jsou-li automatické hasicí systémy k dispozici ve velkých garážích, jak je uvedeno v § 17 odst. 3, je požární poplašný systém spuštěn automatickým hasicím systémem. V tomto případě nejsou vyžadovány žádné dodatečné automatické požární hlásiče.</w:t>
      </w:r>
    </w:p>
    <w:p w14:paraId="6CF70865" w14:textId="77777777" w:rsidR="00176D38" w:rsidRPr="00A772AF" w:rsidRDefault="00176D38" w:rsidP="00176D38">
      <w:pPr>
        <w:autoSpaceDE w:val="0"/>
        <w:autoSpaceDN w:val="0"/>
        <w:adjustRightInd w:val="0"/>
        <w:spacing w:after="0" w:line="240" w:lineRule="auto"/>
        <w:rPr>
          <w:rFonts w:ascii="Arial" w:eastAsia="Times New Roman" w:hAnsi="Arial" w:cs="Arial"/>
          <w:lang w:eastAsia="de-DE"/>
        </w:rPr>
      </w:pPr>
    </w:p>
    <w:p w14:paraId="55D096BF" w14:textId="3A4BFFB9" w:rsidR="00176D38" w:rsidRPr="00A772AF" w:rsidRDefault="00176D38" w:rsidP="00176D38">
      <w:pPr>
        <w:spacing w:after="0" w:line="240" w:lineRule="auto"/>
        <w:rPr>
          <w:rFonts w:ascii="Arial" w:eastAsia="Times New Roman" w:hAnsi="Arial" w:cs="Arial"/>
        </w:rPr>
      </w:pPr>
      <w:r>
        <w:rPr>
          <w:rFonts w:ascii="Arial" w:hAnsi="Arial"/>
        </w:rPr>
        <w:t xml:space="preserve">(4) Pokud rádiová komunikace mezi týmy hasičů v podlažích, jejichž patro se nachází v průměru </w:t>
      </w:r>
    </w:p>
    <w:p w14:paraId="3E341280" w14:textId="5E69ADC0" w:rsidR="00176D38" w:rsidRPr="00A772AF" w:rsidRDefault="00176D38" w:rsidP="00176D38">
      <w:pPr>
        <w:autoSpaceDE w:val="0"/>
        <w:autoSpaceDN w:val="0"/>
        <w:adjustRightInd w:val="0"/>
        <w:spacing w:after="0" w:line="240" w:lineRule="auto"/>
        <w:ind w:left="284" w:hanging="284"/>
        <w:rPr>
          <w:rFonts w:ascii="Arial" w:eastAsia="Times New Roman" w:hAnsi="Arial" w:cs="Arial"/>
        </w:rPr>
      </w:pPr>
      <w:r>
        <w:rPr>
          <w:rFonts w:ascii="Arial" w:hAnsi="Arial"/>
        </w:rPr>
        <w:t>1.</w:t>
      </w:r>
      <w:r>
        <w:rPr>
          <w:rFonts w:ascii="Arial" w:hAnsi="Arial"/>
        </w:rPr>
        <w:tab/>
        <w:t>buď o více než 4 m níže, nebo</w:t>
      </w:r>
    </w:p>
    <w:p w14:paraId="6EB68EAA" w14:textId="169A0EDC" w:rsidR="00176D38" w:rsidRPr="00A772AF" w:rsidRDefault="00176D38" w:rsidP="00176D38">
      <w:pPr>
        <w:autoSpaceDE w:val="0"/>
        <w:autoSpaceDN w:val="0"/>
        <w:adjustRightInd w:val="0"/>
        <w:spacing w:after="0" w:line="240" w:lineRule="auto"/>
        <w:ind w:left="284" w:hanging="284"/>
        <w:rPr>
          <w:rFonts w:ascii="Arial" w:eastAsia="Times New Roman" w:hAnsi="Arial" w:cs="Arial"/>
        </w:rPr>
      </w:pPr>
      <w:r>
        <w:rPr>
          <w:rFonts w:ascii="Arial" w:hAnsi="Arial"/>
        </w:rPr>
        <w:t>2.</w:t>
      </w:r>
      <w:r>
        <w:rPr>
          <w:rFonts w:ascii="Arial" w:hAnsi="Arial"/>
        </w:rPr>
        <w:tab/>
        <w:t xml:space="preserve">více než 22 m nad </w:t>
      </w:r>
    </w:p>
    <w:p w14:paraId="6C8C0B9D" w14:textId="77777777" w:rsidR="00176D38" w:rsidRPr="00A772AF" w:rsidRDefault="00176D38" w:rsidP="00176D38">
      <w:pPr>
        <w:spacing w:after="0" w:line="240" w:lineRule="auto"/>
        <w:rPr>
          <w:rFonts w:ascii="Arial" w:eastAsia="Times New Roman" w:hAnsi="Arial" w:cs="Arial"/>
        </w:rPr>
      </w:pPr>
      <w:r>
        <w:rPr>
          <w:rFonts w:ascii="Arial" w:hAnsi="Arial"/>
        </w:rPr>
        <w:t>úroveň terénu je narušena fyzickou strukturou, velká garáž by měla být vybavena technickým vybavením na podporu rádiového provozu.</w:t>
      </w:r>
    </w:p>
    <w:p w14:paraId="53A6699D" w14:textId="77777777" w:rsidR="00176D38" w:rsidRPr="00A772AF" w:rsidRDefault="00176D38" w:rsidP="00176D38">
      <w:pPr>
        <w:spacing w:after="0" w:line="240" w:lineRule="auto"/>
        <w:rPr>
          <w:rFonts w:ascii="Arial" w:eastAsia="Times New Roman" w:hAnsi="Arial" w:cs="Arial"/>
          <w:lang w:eastAsia="de-DE"/>
        </w:rPr>
      </w:pPr>
    </w:p>
    <w:p w14:paraId="322E9550" w14:textId="77777777" w:rsidR="00176D38" w:rsidRPr="00A772AF" w:rsidRDefault="00176D38" w:rsidP="00176D38">
      <w:pPr>
        <w:spacing w:after="0" w:line="240" w:lineRule="auto"/>
        <w:rPr>
          <w:rFonts w:ascii="Arial" w:eastAsia="Times New Roman" w:hAnsi="Arial" w:cs="Arial"/>
        </w:rPr>
      </w:pPr>
      <w:r>
        <w:rPr>
          <w:rFonts w:ascii="Arial" w:hAnsi="Arial"/>
        </w:rPr>
        <w:t>(5) Odstavec 4 se nevztahuje na automatické garáže.</w:t>
      </w:r>
    </w:p>
    <w:p w14:paraId="426673B7" w14:textId="06326BF5" w:rsidR="00176D38" w:rsidRPr="00A772AF" w:rsidRDefault="00176D38" w:rsidP="00552591">
      <w:pPr>
        <w:rPr>
          <w:rFonts w:ascii="Arial" w:hAnsi="Arial" w:cs="Arial"/>
        </w:rPr>
      </w:pPr>
    </w:p>
    <w:p w14:paraId="1F8DF956" w14:textId="34287EB4" w:rsidR="00C32C56" w:rsidRPr="00A772AF" w:rsidRDefault="00C32C56" w:rsidP="00EA4225">
      <w:pPr>
        <w:pStyle w:val="Heading2"/>
        <w:rPr>
          <w:b w:val="0"/>
        </w:rPr>
      </w:pPr>
      <w:bookmarkStart w:id="22" w:name="_Toc72145638"/>
      <w:r>
        <w:t>§ 19 Zálohové napájecí systémy</w:t>
      </w:r>
      <w:bookmarkEnd w:id="22"/>
    </w:p>
    <w:p w14:paraId="24A322CC" w14:textId="77777777" w:rsidR="00C32C56" w:rsidRPr="00A772AF" w:rsidRDefault="00C32C56" w:rsidP="00C32C56">
      <w:pPr>
        <w:spacing w:after="0" w:line="240" w:lineRule="auto"/>
        <w:ind w:left="283" w:hanging="283"/>
        <w:rPr>
          <w:rFonts w:ascii="Arial" w:eastAsia="Times New Roman" w:hAnsi="Arial" w:cs="Arial"/>
          <w:lang w:eastAsia="de-DE"/>
        </w:rPr>
      </w:pPr>
    </w:p>
    <w:p w14:paraId="74C27018" w14:textId="7462ADD4" w:rsidR="00C32C56" w:rsidRPr="00A772AF" w:rsidRDefault="00C32C56" w:rsidP="00C32C56">
      <w:pPr>
        <w:spacing w:after="0" w:line="240" w:lineRule="auto"/>
        <w:rPr>
          <w:rFonts w:ascii="Arial" w:eastAsia="Times New Roman" w:hAnsi="Arial" w:cs="Arial"/>
        </w:rPr>
      </w:pPr>
      <w:r>
        <w:rPr>
          <w:rFonts w:ascii="Arial" w:hAnsi="Arial"/>
        </w:rPr>
        <w:t xml:space="preserve">Garáže musí mít bezpečnostní napájecí systémy, které v případě poruchy všeobecného napájení přebírají provoz bezpečnostních zařízení a zařízení, zejména </w:t>
      </w:r>
    </w:p>
    <w:p w14:paraId="62534A58"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1.</w:t>
      </w:r>
      <w:r>
        <w:rPr>
          <w:rFonts w:ascii="Arial" w:hAnsi="Arial"/>
        </w:rPr>
        <w:tab/>
        <w:t>bezpečnostní osvětlení,</w:t>
      </w:r>
    </w:p>
    <w:p w14:paraId="3057F51A"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2. automatické hasicí systémy,</w:t>
      </w:r>
    </w:p>
    <w:p w14:paraId="3962A5D6"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3.</w:t>
      </w:r>
      <w:r>
        <w:rPr>
          <w:rFonts w:ascii="Arial" w:hAnsi="Arial"/>
        </w:rPr>
        <w:tab/>
        <w:t>systémy pro odvádění kouře,</w:t>
      </w:r>
    </w:p>
    <w:p w14:paraId="1880CFD9"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4.</w:t>
      </w:r>
      <w:r>
        <w:rPr>
          <w:rFonts w:ascii="Arial" w:hAnsi="Arial"/>
        </w:rPr>
        <w:tab/>
        <w:t>systémy vzájemného varování,</w:t>
      </w:r>
    </w:p>
    <w:p w14:paraId="20B267CA"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5.</w:t>
      </w:r>
      <w:r>
        <w:rPr>
          <w:rFonts w:ascii="Arial" w:hAnsi="Arial"/>
        </w:rPr>
        <w:tab/>
        <w:t>systémy detekce požáru</w:t>
      </w:r>
    </w:p>
    <w:p w14:paraId="77446D72"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6.</w:t>
      </w:r>
      <w:r>
        <w:rPr>
          <w:rFonts w:ascii="Arial" w:hAnsi="Arial"/>
        </w:rPr>
        <w:tab/>
        <w:t xml:space="preserve">vnitřní rádiové zařízení a </w:t>
      </w:r>
    </w:p>
    <w:p w14:paraId="1727B00B"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7.</w:t>
      </w:r>
      <w:r>
        <w:rPr>
          <w:rFonts w:ascii="Arial" w:hAnsi="Arial"/>
        </w:rPr>
        <w:tab/>
        <w:t>uzavírací zařízení pro protipožární uzávěry (např. rolety)</w:t>
      </w:r>
    </w:p>
    <w:p w14:paraId="4CF85C58" w14:textId="77777777" w:rsidR="00ED1FD9" w:rsidRPr="00A772AF" w:rsidRDefault="00ED1FD9" w:rsidP="00C32C56">
      <w:pPr>
        <w:rPr>
          <w:rFonts w:ascii="Arial" w:hAnsi="Arial" w:cs="Arial"/>
        </w:rPr>
      </w:pPr>
    </w:p>
    <w:p w14:paraId="08C5EA4D" w14:textId="76E93CA2" w:rsidR="00176D38" w:rsidRPr="00A772AF" w:rsidRDefault="00176D38" w:rsidP="00EA4225">
      <w:pPr>
        <w:pStyle w:val="Heading2"/>
        <w:rPr>
          <w:b w:val="0"/>
        </w:rPr>
      </w:pPr>
      <w:bookmarkStart w:id="23" w:name="_Toc72145639"/>
      <w:r>
        <w:t>§ 20 Instalace a technické systémy</w:t>
      </w:r>
      <w:bookmarkEnd w:id="23"/>
    </w:p>
    <w:p w14:paraId="2BBA44D8" w14:textId="77777777" w:rsidR="00176D38" w:rsidRPr="00A772AF" w:rsidRDefault="00176D38" w:rsidP="00176D38">
      <w:pPr>
        <w:spacing w:after="0" w:line="240" w:lineRule="auto"/>
        <w:ind w:left="283" w:hanging="283"/>
        <w:rPr>
          <w:rFonts w:ascii="Arial" w:eastAsia="Times New Roman" w:hAnsi="Arial" w:cs="Arial"/>
          <w:lang w:eastAsia="de-DE"/>
        </w:rPr>
      </w:pPr>
    </w:p>
    <w:p w14:paraId="23EFE724" w14:textId="77777777" w:rsidR="00176D38" w:rsidRPr="00A772AF" w:rsidRDefault="00176D38" w:rsidP="00687D9A">
      <w:pPr>
        <w:spacing w:after="0" w:line="240" w:lineRule="auto"/>
        <w:rPr>
          <w:rFonts w:ascii="Arial" w:eastAsia="Times New Roman" w:hAnsi="Arial" w:cs="Arial"/>
        </w:rPr>
      </w:pPr>
      <w:r>
        <w:rPr>
          <w:rFonts w:ascii="Arial" w:hAnsi="Arial"/>
        </w:rPr>
        <w:t xml:space="preserve">(1) Zařízení, zejména zařízení pro mechanické parkovací systémy, musí mít své základní části vyrobené z nehořlavých stavebních materiálů. </w:t>
      </w:r>
    </w:p>
    <w:p w14:paraId="45830D4B" w14:textId="77777777" w:rsidR="00176D38" w:rsidRPr="00A772AF" w:rsidRDefault="00176D38" w:rsidP="00687D9A">
      <w:pPr>
        <w:spacing w:after="0" w:line="240" w:lineRule="auto"/>
        <w:rPr>
          <w:rFonts w:ascii="Arial" w:eastAsia="Times New Roman" w:hAnsi="Arial" w:cs="Arial"/>
        </w:rPr>
      </w:pPr>
      <w:r>
        <w:rPr>
          <w:rFonts w:ascii="Arial" w:hAnsi="Arial"/>
        </w:rPr>
        <w:t xml:space="preserve">To se nevztahuje na infrastrukturu nabíjení elektrických vozidel. </w:t>
      </w:r>
    </w:p>
    <w:p w14:paraId="4FA1DF72" w14:textId="77777777" w:rsidR="00176D38" w:rsidRPr="00A772AF" w:rsidRDefault="00176D38" w:rsidP="00687D9A">
      <w:pPr>
        <w:spacing w:after="0" w:line="240" w:lineRule="auto"/>
        <w:rPr>
          <w:rFonts w:ascii="Arial" w:eastAsia="Times New Roman" w:hAnsi="Arial" w:cs="Arial"/>
        </w:rPr>
      </w:pPr>
      <w:r>
        <w:rPr>
          <w:rFonts w:ascii="Arial" w:hAnsi="Arial"/>
        </w:rPr>
        <w:t>Instalace a provoz systémů akumulace energie není v garážích povolena, s výjimkou vozidel.</w:t>
      </w:r>
    </w:p>
    <w:p w14:paraId="1005F328" w14:textId="77777777" w:rsidR="00176D38" w:rsidRPr="00A772AF" w:rsidRDefault="00176D38" w:rsidP="00687D9A">
      <w:pPr>
        <w:spacing w:after="0" w:line="240" w:lineRule="auto"/>
        <w:rPr>
          <w:rFonts w:ascii="Arial" w:eastAsia="Times New Roman" w:hAnsi="Arial" w:cs="Arial"/>
          <w:i/>
        </w:rPr>
      </w:pPr>
      <w:r>
        <w:rPr>
          <w:rFonts w:ascii="Arial" w:hAnsi="Arial"/>
        </w:rPr>
        <w:t>Instalace klimatizačních, ventilačních, chladicích a výfukových systémů, které nejsou určeny pro použití v garážích, není v garážích povolena.</w:t>
      </w:r>
    </w:p>
    <w:p w14:paraId="4F4DF7BC" w14:textId="77777777" w:rsidR="00176D38" w:rsidRPr="00A772AF" w:rsidRDefault="00176D38" w:rsidP="00687D9A">
      <w:pPr>
        <w:spacing w:after="0" w:line="240" w:lineRule="auto"/>
        <w:rPr>
          <w:rFonts w:ascii="Arial" w:eastAsia="Times New Roman" w:hAnsi="Arial" w:cs="Arial"/>
          <w:lang w:eastAsia="de-DE"/>
        </w:rPr>
      </w:pPr>
    </w:p>
    <w:p w14:paraId="7D25B598" w14:textId="2877A1DE" w:rsidR="00176D38" w:rsidRPr="00A772AF" w:rsidRDefault="00176D38" w:rsidP="00687D9A">
      <w:pPr>
        <w:spacing w:after="0" w:line="240" w:lineRule="auto"/>
        <w:rPr>
          <w:rFonts w:ascii="Arial" w:eastAsia="Times New Roman" w:hAnsi="Arial" w:cs="Arial"/>
        </w:rPr>
      </w:pPr>
      <w:r>
        <w:rPr>
          <w:rFonts w:ascii="Arial" w:hAnsi="Arial"/>
        </w:rPr>
        <w:t>(2) Potrubí, které neústí do garáže, může být vedeno garáží za předpokladu, že tyto dopravní plochy a parkovací místa nejsou omezeny a jsou chráněny před vandalstvím, nárazem a jiným mechanickým poškozením.</w:t>
      </w:r>
    </w:p>
    <w:p w14:paraId="2AB4814E" w14:textId="21EFD2B8" w:rsidR="00176D38" w:rsidRPr="00A772AF" w:rsidRDefault="00687D9A" w:rsidP="00687D9A">
      <w:pPr>
        <w:spacing w:after="0" w:line="240" w:lineRule="auto"/>
        <w:rPr>
          <w:rFonts w:ascii="Arial" w:eastAsia="Times New Roman" w:hAnsi="Arial" w:cs="Arial"/>
        </w:rPr>
      </w:pPr>
      <w:r>
        <w:rPr>
          <w:rFonts w:ascii="Arial" w:hAnsi="Arial"/>
        </w:rPr>
        <w:t>Věta 1 se nevztahuje na vedení vysokého a středně vysokého napětí a na přívod plynu.</w:t>
      </w:r>
    </w:p>
    <w:p w14:paraId="6719126C" w14:textId="77777777" w:rsidR="00176D38" w:rsidRPr="00A772AF" w:rsidRDefault="00176D38" w:rsidP="00552591">
      <w:pPr>
        <w:rPr>
          <w:rFonts w:ascii="Arial" w:hAnsi="Arial" w:cs="Arial"/>
        </w:rPr>
      </w:pPr>
    </w:p>
    <w:p w14:paraId="5278472C" w14:textId="156CD702" w:rsidR="00B74371" w:rsidRPr="00A772AF" w:rsidRDefault="00552591" w:rsidP="00B74371">
      <w:pPr>
        <w:pStyle w:val="Heading1"/>
        <w:jc w:val="center"/>
        <w:rPr>
          <w:sz w:val="22"/>
          <w:szCs w:val="22"/>
        </w:rPr>
      </w:pPr>
      <w:bookmarkStart w:id="24" w:name="_Toc72145640"/>
      <w:r>
        <w:rPr>
          <w:sz w:val="22"/>
        </w:rPr>
        <w:t>Část III</w:t>
      </w:r>
      <w:bookmarkEnd w:id="24"/>
    </w:p>
    <w:p w14:paraId="45994CBD" w14:textId="1EB64B6D" w:rsidR="00552591" w:rsidRPr="00A772AF" w:rsidRDefault="00552591" w:rsidP="00B74371">
      <w:pPr>
        <w:pStyle w:val="Heading1"/>
        <w:jc w:val="center"/>
        <w:rPr>
          <w:sz w:val="22"/>
          <w:szCs w:val="22"/>
        </w:rPr>
      </w:pPr>
      <w:bookmarkStart w:id="25" w:name="_Toc72145641"/>
      <w:r>
        <w:rPr>
          <w:sz w:val="22"/>
        </w:rPr>
        <w:lastRenderedPageBreak/>
        <w:t>Provozní pravidla</w:t>
      </w:r>
      <w:bookmarkEnd w:id="25"/>
    </w:p>
    <w:p w14:paraId="2521B818" w14:textId="77777777" w:rsidR="00A90DBC" w:rsidRPr="00A772AF" w:rsidRDefault="00A90DBC" w:rsidP="00A90DBC">
      <w:pPr>
        <w:spacing w:after="0" w:line="240" w:lineRule="auto"/>
        <w:rPr>
          <w:rFonts w:ascii="Arial" w:eastAsia="Times New Roman" w:hAnsi="Arial" w:cs="Arial"/>
          <w:lang w:eastAsia="de-DE"/>
        </w:rPr>
      </w:pPr>
    </w:p>
    <w:p w14:paraId="19A0247F" w14:textId="4CB81C0D" w:rsidR="00552591" w:rsidRPr="00A772AF" w:rsidRDefault="007D4D2B" w:rsidP="00F43216">
      <w:pPr>
        <w:pStyle w:val="Heading2"/>
        <w:rPr>
          <w:szCs w:val="22"/>
        </w:rPr>
      </w:pPr>
      <w:bookmarkStart w:id="26" w:name="_Toc72145642"/>
      <w:r>
        <w:t>§ 21 Provozní pravidla pro garáže</w:t>
      </w:r>
      <w:bookmarkEnd w:id="26"/>
    </w:p>
    <w:p w14:paraId="2FA4E352" w14:textId="77777777" w:rsidR="00552591" w:rsidRPr="00A772AF" w:rsidRDefault="00552591" w:rsidP="00552591">
      <w:pPr>
        <w:spacing w:after="0" w:line="240" w:lineRule="auto"/>
        <w:rPr>
          <w:rFonts w:ascii="Arial" w:eastAsia="Times New Roman" w:hAnsi="Arial" w:cs="Arial"/>
          <w:lang w:eastAsia="de-DE"/>
        </w:rPr>
      </w:pPr>
    </w:p>
    <w:p w14:paraId="0EEB18D3" w14:textId="77777777" w:rsidR="002F3718" w:rsidRPr="00A772AF" w:rsidRDefault="002F3718" w:rsidP="002F3718">
      <w:pPr>
        <w:spacing w:after="0" w:line="240" w:lineRule="auto"/>
        <w:rPr>
          <w:rFonts w:ascii="Arial" w:eastAsia="Times New Roman" w:hAnsi="Arial" w:cs="Arial"/>
        </w:rPr>
      </w:pPr>
      <w:r>
        <w:rPr>
          <w:rFonts w:ascii="Arial" w:hAnsi="Arial"/>
        </w:rPr>
        <w:t xml:space="preserve">(1) Ve středně velkých a velkých garážích musí být obecné elektrické osvětlení uvedené v § 15 odst. 1 trvale zapnuto po dobu provozu s osvětlením nejméně 20 luxů, není-li k dispozici denní světlo s vhodným osvětlením. </w:t>
      </w:r>
      <w:r>
        <w:rPr>
          <w:rFonts w:ascii="Arial" w:hAnsi="Arial"/>
        </w:rPr>
        <w:br/>
      </w:r>
    </w:p>
    <w:p w14:paraId="0EC36A9B" w14:textId="4A0DBA9B"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(2) Ve středně velkých a velkých garážích není povoleno skladování hořlavých materiálů mimo motorová vozidla.</w:t>
      </w:r>
    </w:p>
    <w:p w14:paraId="79DD74F4" w14:textId="2DA9141C"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 xml:space="preserve">To se nevztahuje na další sadu pneumatik a na příslušenství vozidla pro jedno motorové vozidlo na jedno parkovací místo, jako je střešní box, nosič jízdních kol nebo dětská sedačka, pokud není nepříznivě ovlivněna použitelnost parkovacího místa. </w:t>
      </w:r>
    </w:p>
    <w:p w14:paraId="3FDC9AC5" w14:textId="77777777"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V malých garážích lze skladovat až 200 litrů motorové nafty a až 20 litrů benzínu v těsně uzavřených nádobách odolných proti rozbití.</w:t>
      </w:r>
    </w:p>
    <w:p w14:paraId="0D2A4139" w14:textId="77777777" w:rsidR="002F3718" w:rsidRPr="00A772AF" w:rsidRDefault="002F3718" w:rsidP="002F3718">
      <w:pPr>
        <w:spacing w:after="0" w:line="240" w:lineRule="auto"/>
        <w:ind w:left="283" w:hanging="283"/>
        <w:rPr>
          <w:rFonts w:ascii="Arial" w:eastAsia="Times New Roman" w:hAnsi="Arial" w:cs="Arial"/>
          <w:lang w:eastAsia="de-DE"/>
        </w:rPr>
      </w:pPr>
    </w:p>
    <w:p w14:paraId="2914F064" w14:textId="779BFA6E" w:rsidR="002F3718" w:rsidRPr="00A772AF" w:rsidRDefault="002F3718" w:rsidP="002F3718">
      <w:pPr>
        <w:spacing w:after="0" w:line="240" w:lineRule="auto"/>
        <w:contextualSpacing/>
        <w:rPr>
          <w:rFonts w:ascii="Arial" w:eastAsia="Times New Roman" w:hAnsi="Arial" w:cs="Arial"/>
        </w:rPr>
      </w:pPr>
      <w:r>
        <w:rPr>
          <w:rFonts w:ascii="Arial" w:hAnsi="Arial"/>
        </w:rPr>
        <w:t>(3) Jízdní kola, přívěsy a malá elektrická vozidla mohou být zaparkována pouze mimo provozní oblasti a záchranné cesty; bezpečné parkování musí být zajištěno.</w:t>
      </w:r>
    </w:p>
    <w:p w14:paraId="2356E726" w14:textId="77777777" w:rsidR="002F3718" w:rsidRPr="00A772AF" w:rsidRDefault="002F3718" w:rsidP="002F3718">
      <w:pPr>
        <w:spacing w:after="0" w:line="240" w:lineRule="auto"/>
        <w:contextualSpacing/>
        <w:rPr>
          <w:rFonts w:ascii="Arial" w:eastAsia="Times New Roman" w:hAnsi="Arial" w:cs="Arial"/>
          <w:lang w:eastAsia="de-DE"/>
        </w:rPr>
      </w:pPr>
    </w:p>
    <w:p w14:paraId="6FEBE4E6" w14:textId="70CF1C52" w:rsidR="002F3718" w:rsidRPr="00A772AF" w:rsidRDefault="002F3718" w:rsidP="002F3718">
      <w:pPr>
        <w:spacing w:after="0" w:line="240" w:lineRule="auto"/>
        <w:rPr>
          <w:rFonts w:ascii="Arial" w:eastAsia="Times New Roman" w:hAnsi="Arial" w:cs="Arial"/>
        </w:rPr>
      </w:pPr>
      <w:r>
        <w:rPr>
          <w:rFonts w:ascii="Arial" w:hAnsi="Arial"/>
        </w:rPr>
        <w:t xml:space="preserve">(4) Kouření a otevřené plameny nejsou povoleny v uzavřených středně velkých a velkých garážích. Tento zákaz musí být zdůrazněn jasně viditelnými a trvalými znaky se slovy „Zákaz manipulace s ohněm a kouření!“. </w:t>
      </w:r>
    </w:p>
    <w:p w14:paraId="47B93E7F" w14:textId="77777777" w:rsidR="002F3718" w:rsidRPr="00A772AF" w:rsidRDefault="002F3718" w:rsidP="002F3718">
      <w:pPr>
        <w:spacing w:after="0" w:line="240" w:lineRule="auto"/>
        <w:rPr>
          <w:rFonts w:ascii="Arial" w:eastAsia="Times New Roman" w:hAnsi="Arial" w:cs="Arial"/>
          <w:lang w:eastAsia="de-DE"/>
        </w:rPr>
      </w:pPr>
    </w:p>
    <w:p w14:paraId="289F5A31" w14:textId="143C59C3" w:rsidR="002F3718" w:rsidRPr="00A772AF" w:rsidRDefault="002F3718" w:rsidP="002F3718">
      <w:pPr>
        <w:spacing w:after="0" w:line="240" w:lineRule="auto"/>
        <w:rPr>
          <w:rFonts w:ascii="Arial" w:eastAsia="Times New Roman" w:hAnsi="Arial" w:cs="Arial"/>
        </w:rPr>
      </w:pPr>
      <w:r>
        <w:rPr>
          <w:rFonts w:ascii="Arial" w:hAnsi="Arial"/>
        </w:rPr>
        <w:t>(5) Únikové cesty a vstupy a východy do prostoru s veřejnou dopravou musí být bezpečné a volné.</w:t>
      </w:r>
    </w:p>
    <w:p w14:paraId="0453CB4B" w14:textId="77777777" w:rsidR="002F3718" w:rsidRPr="00A772AF" w:rsidRDefault="002F3718" w:rsidP="002F3718">
      <w:pPr>
        <w:spacing w:after="0" w:line="240" w:lineRule="auto"/>
        <w:rPr>
          <w:rFonts w:ascii="Arial" w:eastAsia="Times New Roman" w:hAnsi="Arial" w:cs="Arial"/>
          <w:lang w:eastAsia="de-DE"/>
        </w:rPr>
      </w:pPr>
    </w:p>
    <w:p w14:paraId="1DAAA649" w14:textId="2E4CB0B3" w:rsidR="002F3718" w:rsidRPr="00A772AF" w:rsidRDefault="002F3718" w:rsidP="002F3718">
      <w:pPr>
        <w:spacing w:after="0" w:line="240" w:lineRule="auto"/>
        <w:rPr>
          <w:rFonts w:ascii="Arial" w:eastAsia="Times New Roman" w:hAnsi="Arial" w:cs="Arial"/>
        </w:rPr>
      </w:pPr>
      <w:r>
        <w:rPr>
          <w:rFonts w:ascii="Arial" w:hAnsi="Arial"/>
        </w:rPr>
        <w:t>(6) Odstavce 1 až 4 se nevztahují na automatické garáže.</w:t>
      </w:r>
    </w:p>
    <w:p w14:paraId="36B9EE2D" w14:textId="77777777" w:rsidR="002F3718" w:rsidRPr="00A772AF" w:rsidRDefault="002F3718" w:rsidP="002F3718">
      <w:pPr>
        <w:spacing w:after="0" w:line="240" w:lineRule="auto"/>
        <w:rPr>
          <w:rFonts w:ascii="Arial" w:eastAsia="Times New Roman" w:hAnsi="Arial" w:cs="Arial"/>
          <w:lang w:eastAsia="de-DE"/>
        </w:rPr>
      </w:pPr>
    </w:p>
    <w:p w14:paraId="15F2FBE8" w14:textId="09C53F69" w:rsidR="002F3718" w:rsidRPr="00A772AF" w:rsidRDefault="002F3718" w:rsidP="002F3718">
      <w:pPr>
        <w:spacing w:after="0" w:line="240" w:lineRule="auto"/>
        <w:rPr>
          <w:rFonts w:ascii="Arial" w:eastAsia="Times New Roman" w:hAnsi="Arial" w:cs="Arial"/>
        </w:rPr>
      </w:pPr>
      <w:r>
        <w:rPr>
          <w:rFonts w:ascii="Arial" w:hAnsi="Arial"/>
        </w:rPr>
        <w:t>(7) Povinnosti uvedené v odstavcích 1 až 6 plní vlastník nebo provozovatel.</w:t>
      </w:r>
    </w:p>
    <w:p w14:paraId="3FBC2459" w14:textId="77777777" w:rsidR="00552591" w:rsidRPr="00A772AF" w:rsidRDefault="00552591" w:rsidP="00552591">
      <w:pPr>
        <w:rPr>
          <w:rFonts w:ascii="Arial" w:hAnsi="Arial" w:cs="Arial"/>
        </w:rPr>
      </w:pPr>
    </w:p>
    <w:p w14:paraId="05AD2887" w14:textId="47E171D9" w:rsidR="00B74371" w:rsidRPr="00A772AF" w:rsidRDefault="00552591" w:rsidP="00B74371">
      <w:pPr>
        <w:pStyle w:val="Heading1"/>
        <w:jc w:val="center"/>
        <w:rPr>
          <w:sz w:val="22"/>
          <w:szCs w:val="22"/>
        </w:rPr>
      </w:pPr>
      <w:bookmarkStart w:id="27" w:name="_Toc72145643"/>
      <w:r>
        <w:rPr>
          <w:sz w:val="22"/>
        </w:rPr>
        <w:t>Část IV</w:t>
      </w:r>
      <w:bookmarkEnd w:id="27"/>
    </w:p>
    <w:p w14:paraId="2FCB339D" w14:textId="58345696" w:rsidR="00552591" w:rsidRPr="00A772AF" w:rsidRDefault="00552591" w:rsidP="00B74371">
      <w:pPr>
        <w:pStyle w:val="Heading1"/>
        <w:jc w:val="center"/>
        <w:rPr>
          <w:sz w:val="22"/>
          <w:szCs w:val="22"/>
        </w:rPr>
      </w:pPr>
      <w:bookmarkStart w:id="28" w:name="_Toc72145644"/>
      <w:r>
        <w:rPr>
          <w:sz w:val="22"/>
        </w:rPr>
        <w:t>Požadovaná stavební dokumentace</w:t>
      </w:r>
      <w:bookmarkEnd w:id="28"/>
    </w:p>
    <w:p w14:paraId="18D5C0C1" w14:textId="77777777" w:rsidR="00B74371" w:rsidRPr="00A772AF" w:rsidRDefault="00B74371" w:rsidP="00B74371">
      <w:pPr>
        <w:spacing w:after="0" w:line="240" w:lineRule="auto"/>
        <w:rPr>
          <w:rFonts w:ascii="Arial" w:eastAsia="Times New Roman" w:hAnsi="Arial" w:cs="Arial"/>
          <w:lang w:eastAsia="de-DE"/>
        </w:rPr>
      </w:pPr>
    </w:p>
    <w:p w14:paraId="2187DA3D" w14:textId="5DD6A09F" w:rsidR="00552591" w:rsidRPr="00A772AF" w:rsidRDefault="007D4D2B" w:rsidP="00F43216">
      <w:pPr>
        <w:pStyle w:val="Heading2"/>
        <w:rPr>
          <w:szCs w:val="22"/>
        </w:rPr>
      </w:pPr>
      <w:bookmarkStart w:id="29" w:name="_Toc72145645"/>
      <w:r>
        <w:t>§ 22 Stavební dokumentace, plány protipožární ochrany</w:t>
      </w:r>
      <w:bookmarkEnd w:id="29"/>
    </w:p>
    <w:p w14:paraId="73CC2595" w14:textId="77777777" w:rsidR="00552591" w:rsidRPr="00A772AF" w:rsidRDefault="00552591" w:rsidP="00552591">
      <w:pPr>
        <w:spacing w:after="0" w:line="240" w:lineRule="auto"/>
        <w:rPr>
          <w:rFonts w:ascii="Arial" w:eastAsia="Times New Roman" w:hAnsi="Arial" w:cs="Arial"/>
          <w:lang w:eastAsia="de-DE"/>
        </w:rPr>
      </w:pPr>
    </w:p>
    <w:p w14:paraId="7A70914A" w14:textId="77777777" w:rsidR="0084670D" w:rsidRPr="00A772AF" w:rsidRDefault="0084670D" w:rsidP="0084670D">
      <w:pPr>
        <w:spacing w:after="0" w:line="240" w:lineRule="auto"/>
        <w:rPr>
          <w:rFonts w:ascii="Arial" w:eastAsia="Times New Roman" w:hAnsi="Arial" w:cs="Times New Roman"/>
        </w:rPr>
      </w:pPr>
      <w:r>
        <w:rPr>
          <w:rFonts w:ascii="Arial" w:hAnsi="Arial"/>
        </w:rPr>
        <w:t xml:space="preserve">(1) Stavební dokumentace musí rovněž obsahovat informace o: </w:t>
      </w:r>
    </w:p>
    <w:p w14:paraId="4B82C7AE" w14:textId="77777777" w:rsidR="0084670D" w:rsidRPr="00A772AF" w:rsidRDefault="0084670D" w:rsidP="0084670D">
      <w:pPr>
        <w:numPr>
          <w:ilvl w:val="0"/>
          <w:numId w:val="4"/>
        </w:numPr>
        <w:spacing w:after="0" w:line="240" w:lineRule="auto"/>
        <w:ind w:left="274" w:hanging="274"/>
        <w:contextualSpacing/>
        <w:rPr>
          <w:rFonts w:ascii="Arial" w:eastAsia="Times New Roman" w:hAnsi="Arial" w:cs="Times New Roman"/>
        </w:rPr>
      </w:pPr>
      <w:r>
        <w:rPr>
          <w:rFonts w:ascii="Arial" w:hAnsi="Arial"/>
        </w:rPr>
        <w:t>počtu, rozměrech a označení parkovacích míst a jízdních pásů;</w:t>
      </w:r>
    </w:p>
    <w:p w14:paraId="73334B87" w14:textId="77777777" w:rsidR="0084670D" w:rsidRPr="00A772AF" w:rsidRDefault="0084670D" w:rsidP="0084670D">
      <w:pPr>
        <w:numPr>
          <w:ilvl w:val="0"/>
          <w:numId w:val="4"/>
        </w:numPr>
        <w:spacing w:after="0" w:line="240" w:lineRule="auto"/>
        <w:ind w:left="274" w:hanging="274"/>
        <w:contextualSpacing/>
        <w:rPr>
          <w:rFonts w:ascii="Arial" w:eastAsia="Times New Roman" w:hAnsi="Arial" w:cs="Times New Roman"/>
        </w:rPr>
      </w:pPr>
      <w:r>
        <w:rPr>
          <w:rFonts w:ascii="Arial" w:hAnsi="Arial"/>
        </w:rPr>
        <w:t>systémech přirozeného větrání nebo mechanického odvodu vzduchu; a</w:t>
      </w:r>
    </w:p>
    <w:p w14:paraId="2BA3B3CE" w14:textId="525949E5" w:rsidR="0084670D" w:rsidRPr="002055E7" w:rsidRDefault="0084670D" w:rsidP="002055E7">
      <w:pPr>
        <w:numPr>
          <w:ilvl w:val="0"/>
          <w:numId w:val="4"/>
        </w:numPr>
        <w:spacing w:after="0" w:line="240" w:lineRule="auto"/>
        <w:ind w:left="274" w:hanging="274"/>
        <w:contextualSpacing/>
        <w:rPr>
          <w:rFonts w:ascii="Arial" w:eastAsia="Times New Roman" w:hAnsi="Arial" w:cs="Times New Roman"/>
        </w:rPr>
      </w:pPr>
      <w:r>
        <w:rPr>
          <w:rFonts w:ascii="Arial" w:hAnsi="Arial"/>
        </w:rPr>
        <w:t>hlásičích CO.</w:t>
      </w:r>
    </w:p>
    <w:p w14:paraId="4235B051" w14:textId="77777777" w:rsidR="0084670D" w:rsidRPr="00A772AF" w:rsidRDefault="0084670D" w:rsidP="0084670D">
      <w:pPr>
        <w:spacing w:after="0" w:line="240" w:lineRule="auto"/>
        <w:contextualSpacing/>
        <w:rPr>
          <w:rFonts w:ascii="Arial" w:eastAsia="Times New Roman" w:hAnsi="Arial" w:cs="Times New Roman"/>
          <w:lang w:eastAsia="de-DE"/>
        </w:rPr>
      </w:pPr>
    </w:p>
    <w:p w14:paraId="46DF3A91" w14:textId="77777777" w:rsidR="00687D9A" w:rsidRPr="00A772AF" w:rsidRDefault="0084670D" w:rsidP="00687D9A">
      <w:pPr>
        <w:spacing w:after="0" w:line="240" w:lineRule="auto"/>
        <w:rPr>
          <w:rFonts w:ascii="Arial" w:eastAsia="Times New Roman" w:hAnsi="Arial" w:cs="Times New Roman"/>
        </w:rPr>
      </w:pPr>
      <w:r>
        <w:rPr>
          <w:rFonts w:ascii="Arial" w:hAnsi="Arial"/>
        </w:rPr>
        <w:t xml:space="preserve">(2) Na žádost příslušného subjektu* musí být připraveny plány protipožární ochrany pro uzavřené středně velké a velké garáže, které musí být koordinovány s orgánem požární ochrany a zpřístupněny místní hasičskému sboru. </w:t>
      </w:r>
    </w:p>
    <w:p w14:paraId="7CD69EB8" w14:textId="77777777" w:rsidR="00687D9A" w:rsidRPr="00A772AF" w:rsidRDefault="00687D9A" w:rsidP="00687D9A">
      <w:pPr>
        <w:spacing w:after="0" w:line="240" w:lineRule="auto"/>
        <w:rPr>
          <w:rFonts w:ascii="Arial" w:eastAsia="Times New Roman" w:hAnsi="Arial" w:cs="Times New Roman"/>
          <w:sz w:val="16"/>
          <w:szCs w:val="16"/>
          <w:lang w:eastAsia="de-DE"/>
        </w:rPr>
      </w:pPr>
    </w:p>
    <w:p w14:paraId="1B846EA8" w14:textId="5F18E61E" w:rsidR="00552591" w:rsidRPr="00A772AF" w:rsidRDefault="00687D9A" w:rsidP="00687D9A">
      <w:pPr>
        <w:spacing w:after="0" w:line="240" w:lineRule="auto"/>
        <w:rPr>
          <w:rFonts w:ascii="Arial" w:eastAsia="Times New Roman" w:hAnsi="Arial" w:cs="Times New Roman"/>
          <w:sz w:val="16"/>
          <w:szCs w:val="16"/>
        </w:rPr>
      </w:pPr>
      <w:r>
        <w:rPr>
          <w:rFonts w:ascii="Arial" w:hAnsi="Arial"/>
          <w:sz w:val="16"/>
        </w:rPr>
        <w:t>*podle regionálního práva</w:t>
      </w:r>
    </w:p>
    <w:p w14:paraId="29964897" w14:textId="77777777" w:rsidR="00AB4B95" w:rsidRPr="00A772AF" w:rsidRDefault="00AB4B95" w:rsidP="00AB4B95">
      <w:pPr>
        <w:rPr>
          <w:rFonts w:ascii="Arial" w:hAnsi="Arial" w:cs="Arial"/>
        </w:rPr>
      </w:pPr>
    </w:p>
    <w:p w14:paraId="757B3E97" w14:textId="751705F6" w:rsidR="00B74371" w:rsidRPr="00A772AF" w:rsidRDefault="00552591" w:rsidP="00B74371">
      <w:pPr>
        <w:pStyle w:val="Heading1"/>
        <w:jc w:val="center"/>
        <w:rPr>
          <w:sz w:val="22"/>
          <w:szCs w:val="22"/>
        </w:rPr>
      </w:pPr>
      <w:bookmarkStart w:id="30" w:name="_Toc72145646"/>
      <w:r>
        <w:rPr>
          <w:sz w:val="22"/>
        </w:rPr>
        <w:t>Část V</w:t>
      </w:r>
      <w:bookmarkEnd w:id="30"/>
    </w:p>
    <w:p w14:paraId="4295D9BB" w14:textId="5AF218C6" w:rsidR="00552591" w:rsidRPr="00A772AF" w:rsidRDefault="00552591" w:rsidP="00B74371">
      <w:pPr>
        <w:pStyle w:val="Heading1"/>
        <w:jc w:val="center"/>
        <w:rPr>
          <w:sz w:val="22"/>
          <w:szCs w:val="22"/>
        </w:rPr>
      </w:pPr>
      <w:bookmarkStart w:id="31" w:name="_Toc72145647"/>
      <w:r>
        <w:rPr>
          <w:sz w:val="22"/>
        </w:rPr>
        <w:t>Závěrečná ustanovení</w:t>
      </w:r>
      <w:bookmarkEnd w:id="31"/>
    </w:p>
    <w:p w14:paraId="152234AF" w14:textId="77777777" w:rsidR="00B74371" w:rsidRPr="00A772AF" w:rsidRDefault="00B74371" w:rsidP="00B74371">
      <w:pPr>
        <w:spacing w:after="0" w:line="240" w:lineRule="auto"/>
        <w:rPr>
          <w:rFonts w:ascii="Arial" w:eastAsia="Times New Roman" w:hAnsi="Arial" w:cs="Arial"/>
          <w:lang w:eastAsia="de-DE"/>
        </w:rPr>
      </w:pPr>
    </w:p>
    <w:p w14:paraId="09CEA557" w14:textId="63C94DAB" w:rsidR="00552591" w:rsidRPr="00A772AF" w:rsidRDefault="007D4D2B" w:rsidP="00F43216">
      <w:pPr>
        <w:pStyle w:val="Heading2"/>
        <w:rPr>
          <w:szCs w:val="22"/>
        </w:rPr>
      </w:pPr>
      <w:bookmarkStart w:id="32" w:name="_Toc72145648"/>
      <w:r>
        <w:t>§ 23 Další požadavky:</w:t>
      </w:r>
      <w:bookmarkEnd w:id="32"/>
    </w:p>
    <w:p w14:paraId="57A9BC3E" w14:textId="77777777" w:rsidR="00552591" w:rsidRPr="00A772AF" w:rsidRDefault="00552591" w:rsidP="00552591">
      <w:pPr>
        <w:autoSpaceDE w:val="0"/>
        <w:autoSpaceDN w:val="0"/>
        <w:adjustRightInd w:val="0"/>
        <w:spacing w:after="0" w:line="240" w:lineRule="auto"/>
        <w:jc w:val="both"/>
        <w:rPr>
          <w:rFonts w:ascii="Arial" w:eastAsia="Times New Roman" w:hAnsi="Arial" w:cs="Arial"/>
          <w:lang w:eastAsia="de-DE"/>
        </w:rPr>
      </w:pPr>
    </w:p>
    <w:p w14:paraId="0A1942DD" w14:textId="23E3AECD" w:rsidR="0084670D" w:rsidRPr="00A772AF" w:rsidRDefault="0084670D" w:rsidP="0084670D">
      <w:pPr>
        <w:autoSpaceDE w:val="0"/>
        <w:autoSpaceDN w:val="0"/>
        <w:adjustRightInd w:val="0"/>
        <w:spacing w:after="0" w:line="240" w:lineRule="auto"/>
        <w:rPr>
          <w:rFonts w:ascii="Arial" w:eastAsia="Times New Roman" w:hAnsi="Arial" w:cs="Times New Roman"/>
        </w:rPr>
      </w:pPr>
      <w:r>
        <w:rPr>
          <w:rFonts w:ascii="Arial" w:hAnsi="Arial"/>
        </w:rPr>
        <w:t>Pro splnění cílů ochrany stanovených v § 3 MBO mohou být stanoveny přísnější požadavky než požadavky stanovené v tomto nařízení, pokud:</w:t>
      </w:r>
    </w:p>
    <w:p w14:paraId="0626D25C" w14:textId="15DC22C6" w:rsidR="0084670D" w:rsidRPr="00A772AF" w:rsidRDefault="0084670D" w:rsidP="0084670D">
      <w:pPr>
        <w:numPr>
          <w:ilvl w:val="0"/>
          <w:numId w:val="3"/>
        </w:numPr>
        <w:autoSpaceDE w:val="0"/>
        <w:autoSpaceDN w:val="0"/>
        <w:adjustRightInd w:val="0"/>
        <w:spacing w:after="0" w:line="240" w:lineRule="auto"/>
        <w:ind w:left="274" w:hanging="274"/>
        <w:contextualSpacing/>
        <w:rPr>
          <w:rFonts w:ascii="Arial" w:eastAsia="Times New Roman" w:hAnsi="Arial" w:cs="Times New Roman"/>
        </w:rPr>
      </w:pPr>
      <w:r>
        <w:rPr>
          <w:rFonts w:ascii="Arial" w:hAnsi="Arial"/>
        </w:rPr>
        <w:t>parkovací místa nebo místa pro motorová vozidla jsou definována, jejichž délka je větší než 5 m a jejichž šířka je větší než 2 m;</w:t>
      </w:r>
    </w:p>
    <w:p w14:paraId="1A60BE22" w14:textId="5654BEF9" w:rsidR="0084670D" w:rsidRPr="00A772AF" w:rsidRDefault="0084670D" w:rsidP="0084670D">
      <w:pPr>
        <w:numPr>
          <w:ilvl w:val="0"/>
          <w:numId w:val="3"/>
        </w:numPr>
        <w:spacing w:after="0" w:line="240" w:lineRule="auto"/>
        <w:ind w:left="274" w:hanging="274"/>
        <w:contextualSpacing/>
        <w:rPr>
          <w:rFonts w:ascii="Arial" w:eastAsia="Times New Roman" w:hAnsi="Arial" w:cs="Times New Roman"/>
        </w:rPr>
      </w:pPr>
      <w:r>
        <w:rPr>
          <w:rFonts w:ascii="Arial" w:hAnsi="Arial"/>
        </w:rPr>
        <w:t>garáže jsou umístěny na podlažích, jejichž podlaha je více než 22 m nad zemí.</w:t>
      </w:r>
    </w:p>
    <w:p w14:paraId="0C2F35D8" w14:textId="77777777" w:rsidR="004614DC" w:rsidRPr="00A772AF" w:rsidRDefault="004614DC" w:rsidP="004614DC">
      <w:pPr>
        <w:spacing w:after="0" w:line="240" w:lineRule="auto"/>
        <w:contextualSpacing/>
        <w:rPr>
          <w:rFonts w:ascii="Arial" w:eastAsia="Times New Roman" w:hAnsi="Arial" w:cs="Times New Roman"/>
          <w:lang w:eastAsia="de-DE"/>
        </w:rPr>
      </w:pPr>
    </w:p>
    <w:p w14:paraId="330F70B6" w14:textId="53088DAD" w:rsidR="00AB4B95" w:rsidRPr="00A772AF" w:rsidRDefault="00AB4B95" w:rsidP="00AB4B95">
      <w:pPr>
        <w:spacing w:after="0" w:line="240" w:lineRule="auto"/>
        <w:rPr>
          <w:rFonts w:ascii="Arial" w:eastAsia="Times New Roman" w:hAnsi="Arial" w:cs="Times New Roman"/>
        </w:rPr>
      </w:pPr>
      <w:r>
        <w:rPr>
          <w:rFonts w:ascii="Arial" w:hAnsi="Arial"/>
        </w:rPr>
        <w:t xml:space="preserve">ve středně velkých a velkých garážích může být vyžadován požární poplašný systém s zvukovým varováním pro uživatele v garáži, pokud se očekává, že v důsledku jejich zvláštního použití zůstanou osoby déle. </w:t>
      </w:r>
    </w:p>
    <w:p w14:paraId="1B215BDD" w14:textId="5BBB1487" w:rsidR="00AB4B95" w:rsidRPr="00A772AF" w:rsidRDefault="00AB4B95" w:rsidP="00AB4B95">
      <w:pPr>
        <w:rPr>
          <w:rFonts w:ascii="Arial" w:hAnsi="Arial" w:cs="Arial"/>
        </w:rPr>
      </w:pPr>
    </w:p>
    <w:p w14:paraId="24110C7E" w14:textId="4674C7EF" w:rsidR="00552591" w:rsidRPr="00A772AF" w:rsidRDefault="007D4D2B" w:rsidP="00F43216">
      <w:pPr>
        <w:pStyle w:val="Heading2"/>
        <w:rPr>
          <w:szCs w:val="22"/>
        </w:rPr>
      </w:pPr>
      <w:bookmarkStart w:id="33" w:name="_Toc72145649"/>
      <w:r>
        <w:t>§ 24 Správní delikty</w:t>
      </w:r>
      <w:bookmarkEnd w:id="33"/>
    </w:p>
    <w:p w14:paraId="3D1912E4" w14:textId="77777777" w:rsidR="00552591" w:rsidRPr="00A772AF" w:rsidRDefault="00552591" w:rsidP="00552591">
      <w:pPr>
        <w:spacing w:after="0" w:line="240" w:lineRule="auto"/>
        <w:jc w:val="both"/>
        <w:rPr>
          <w:rFonts w:ascii="Arial" w:eastAsia="Times New Roman" w:hAnsi="Arial" w:cs="Arial"/>
          <w:lang w:eastAsia="de-DE"/>
        </w:rPr>
      </w:pPr>
    </w:p>
    <w:p w14:paraId="452E5C98" w14:textId="77777777" w:rsidR="0084670D" w:rsidRPr="00A772AF" w:rsidRDefault="0084670D" w:rsidP="0084670D">
      <w:pPr>
        <w:spacing w:after="0" w:line="240" w:lineRule="auto"/>
        <w:rPr>
          <w:rFonts w:ascii="Arial" w:eastAsia="Times New Roman" w:hAnsi="Arial" w:cs="Times New Roman"/>
        </w:rPr>
      </w:pPr>
      <w:r>
        <w:rPr>
          <w:rFonts w:ascii="Arial" w:hAnsi="Arial"/>
        </w:rPr>
        <w:t>Správní delikt uvedený v § 84 odst. 1 odst. 1 MBO je spáchán jakoukoli osobou, která jedná úmyslně nebo z nedbalosti,</w:t>
      </w:r>
    </w:p>
    <w:p w14:paraId="1525542B" w14:textId="554D49B5" w:rsidR="00723196" w:rsidRPr="00A772AF" w:rsidRDefault="0084670D" w:rsidP="00723196">
      <w:pPr>
        <w:numPr>
          <w:ilvl w:val="0"/>
          <w:numId w:val="5"/>
        </w:numPr>
        <w:spacing w:after="0" w:line="240" w:lineRule="auto"/>
        <w:ind w:left="284" w:hanging="284"/>
        <w:contextualSpacing/>
        <w:rPr>
          <w:rFonts w:ascii="Arial" w:eastAsia="Times New Roman" w:hAnsi="Arial" w:cs="Times New Roman"/>
        </w:rPr>
      </w:pPr>
      <w:r>
        <w:rPr>
          <w:rFonts w:ascii="Arial" w:hAnsi="Arial"/>
        </w:rPr>
        <w:t xml:space="preserve">v rozporu s ustanovením § 15 odst. 1, v uzavřených středně velkých a velkých garážích, neposkytuje základní osvětlení. </w:t>
      </w:r>
    </w:p>
    <w:p w14:paraId="6E6FBEAE" w14:textId="3C654C1A" w:rsidR="0084670D" w:rsidRPr="00A772AF" w:rsidRDefault="0084670D" w:rsidP="00723196">
      <w:pPr>
        <w:numPr>
          <w:ilvl w:val="0"/>
          <w:numId w:val="5"/>
        </w:numPr>
        <w:spacing w:after="0" w:line="240" w:lineRule="auto"/>
        <w:ind w:left="284" w:hanging="284"/>
        <w:contextualSpacing/>
        <w:rPr>
          <w:rFonts w:ascii="Arial" w:eastAsia="Times New Roman" w:hAnsi="Arial" w:cs="Times New Roman"/>
        </w:rPr>
      </w:pPr>
      <w:r>
        <w:rPr>
          <w:rFonts w:ascii="Arial" w:hAnsi="Arial"/>
        </w:rPr>
        <w:t>v rozporu s ustanovením § 16 odst. 4 provozuje mechanické systémy odvádění vzduchu tak, aby byla překročena stanovená hodnota obsahu CO ve vzduchu.</w:t>
      </w:r>
    </w:p>
    <w:p w14:paraId="4FF31C09" w14:textId="2EF707B5" w:rsidR="0084670D" w:rsidRPr="00A772AF" w:rsidRDefault="0084670D" w:rsidP="00723196">
      <w:pPr>
        <w:numPr>
          <w:ilvl w:val="0"/>
          <w:numId w:val="5"/>
        </w:numPr>
        <w:spacing w:after="0" w:line="240" w:lineRule="auto"/>
        <w:ind w:left="284" w:hanging="284"/>
        <w:contextualSpacing/>
        <w:rPr>
          <w:rFonts w:ascii="Arial" w:eastAsia="Times New Roman" w:hAnsi="Arial" w:cs="Times New Roman"/>
        </w:rPr>
      </w:pPr>
      <w:r>
        <w:rPr>
          <w:rFonts w:ascii="Arial" w:hAnsi="Arial"/>
        </w:rPr>
        <w:t>v rozporu s ustanovením § 21 odst. 2 skladuje hořlavé látky v garážích.</w:t>
      </w:r>
    </w:p>
    <w:p w14:paraId="5409AAE4" w14:textId="37A8BA3A" w:rsidR="00723196" w:rsidRPr="00A772AF" w:rsidRDefault="0084670D" w:rsidP="004C531D">
      <w:pPr>
        <w:numPr>
          <w:ilvl w:val="0"/>
          <w:numId w:val="5"/>
        </w:numPr>
        <w:spacing w:after="0" w:line="240" w:lineRule="auto"/>
        <w:ind w:left="274" w:hanging="274"/>
        <w:contextualSpacing/>
        <w:rPr>
          <w:rFonts w:ascii="Arial" w:eastAsia="Times New Roman" w:hAnsi="Arial" w:cs="Times New Roman"/>
        </w:rPr>
      </w:pPr>
      <w:r>
        <w:rPr>
          <w:rFonts w:ascii="Arial" w:hAnsi="Arial"/>
        </w:rPr>
        <w:t>v rozporu s ustanovením § 21 odst. 5 neudržuje únikové cesty a vjezdy a výjezdy ve stavu způsobilém k provozu a čisté.</w:t>
      </w:r>
    </w:p>
    <w:p w14:paraId="3236DDD6" w14:textId="77777777" w:rsidR="00723196" w:rsidRPr="00A772AF" w:rsidRDefault="00723196" w:rsidP="00723196">
      <w:pPr>
        <w:rPr>
          <w:rFonts w:ascii="Arial" w:hAnsi="Arial" w:cs="Arial"/>
        </w:rPr>
      </w:pPr>
    </w:p>
    <w:p w14:paraId="15EFE214" w14:textId="4A1593D4" w:rsidR="00552591" w:rsidRPr="00A772AF" w:rsidRDefault="007D4D2B" w:rsidP="00F43216">
      <w:pPr>
        <w:pStyle w:val="Heading2"/>
        <w:rPr>
          <w:szCs w:val="22"/>
        </w:rPr>
      </w:pPr>
      <w:bookmarkStart w:id="34" w:name="_Toc72145650"/>
      <w:r>
        <w:t>§ 25. Přechodná ustanovení</w:t>
      </w:r>
      <w:bookmarkEnd w:id="34"/>
    </w:p>
    <w:p w14:paraId="2EC0D2A9" w14:textId="77777777" w:rsidR="00552591" w:rsidRPr="00A772AF" w:rsidRDefault="00552591" w:rsidP="00552591">
      <w:pPr>
        <w:spacing w:after="0" w:line="240" w:lineRule="auto"/>
        <w:rPr>
          <w:rFonts w:ascii="Arial" w:eastAsia="Times New Roman" w:hAnsi="Arial" w:cs="Arial"/>
          <w:lang w:eastAsia="de-DE"/>
        </w:rPr>
      </w:pPr>
    </w:p>
    <w:p w14:paraId="388B9FBD" w14:textId="6AD50B27" w:rsidR="0084670D" w:rsidRPr="00A772AF" w:rsidRDefault="0084670D" w:rsidP="0084670D">
      <w:pPr>
        <w:tabs>
          <w:tab w:val="left" w:pos="274"/>
        </w:tabs>
        <w:spacing w:after="0" w:line="240" w:lineRule="auto"/>
        <w:contextualSpacing/>
        <w:rPr>
          <w:rFonts w:ascii="Arial" w:eastAsia="Times New Roman" w:hAnsi="Arial" w:cs="Times New Roman"/>
        </w:rPr>
      </w:pPr>
      <w:r>
        <w:rPr>
          <w:rFonts w:ascii="Arial" w:hAnsi="Arial"/>
        </w:rPr>
        <w:t>Garáže existující v době vstupu tohoto nařízení v platnost podléhají provozním pravidlům (§ 21).</w:t>
      </w:r>
    </w:p>
    <w:p w14:paraId="28B60D5F" w14:textId="77777777" w:rsidR="00552591" w:rsidRPr="00A772AF" w:rsidRDefault="00552591" w:rsidP="00552591">
      <w:pPr>
        <w:rPr>
          <w:rFonts w:ascii="Arial" w:hAnsi="Arial" w:cs="Arial"/>
        </w:rPr>
      </w:pPr>
    </w:p>
    <w:p w14:paraId="6B2BC815" w14:textId="29484551" w:rsidR="00552591" w:rsidRPr="00A772AF" w:rsidRDefault="007D4D2B" w:rsidP="00F43216">
      <w:pPr>
        <w:pStyle w:val="Heading2"/>
        <w:rPr>
          <w:szCs w:val="22"/>
        </w:rPr>
      </w:pPr>
      <w:bookmarkStart w:id="35" w:name="_Toc72145651"/>
      <w:r>
        <w:t>Článek 26 Vstup v platnost</w:t>
      </w:r>
      <w:bookmarkEnd w:id="35"/>
    </w:p>
    <w:p w14:paraId="09A7ADEA" w14:textId="77777777" w:rsidR="00F43216" w:rsidRPr="00A772AF" w:rsidRDefault="00F43216" w:rsidP="00552591">
      <w:pPr>
        <w:spacing w:after="0" w:line="240" w:lineRule="auto"/>
        <w:rPr>
          <w:rFonts w:ascii="Arial" w:eastAsia="Times New Roman" w:hAnsi="Arial" w:cs="Arial"/>
          <w:lang w:eastAsia="de-DE"/>
        </w:rPr>
      </w:pPr>
    </w:p>
    <w:p w14:paraId="00C7AD39" w14:textId="77777777" w:rsidR="00552591" w:rsidRPr="00A772AF" w:rsidRDefault="00552591" w:rsidP="00552591">
      <w:pPr>
        <w:spacing w:after="0" w:line="240" w:lineRule="auto"/>
        <w:rPr>
          <w:rFonts w:ascii="Arial" w:eastAsia="Times New Roman" w:hAnsi="Arial" w:cs="Arial"/>
        </w:rPr>
      </w:pPr>
      <w:r>
        <w:rPr>
          <w:rFonts w:ascii="Arial" w:hAnsi="Arial"/>
        </w:rPr>
        <w:t>Toto nařízení vstupuje v platnost dne ...</w:t>
      </w:r>
    </w:p>
    <w:p w14:paraId="074D1490" w14:textId="2F0D1B2E" w:rsidR="00552591" w:rsidRPr="00A772AF" w:rsidRDefault="00552591" w:rsidP="00552591">
      <w:pPr>
        <w:spacing w:after="0" w:line="240" w:lineRule="auto"/>
        <w:rPr>
          <w:rFonts w:ascii="Arial" w:eastAsia="Times New Roman" w:hAnsi="Arial" w:cs="Arial"/>
        </w:rPr>
      </w:pPr>
      <w:r>
        <w:rPr>
          <w:rFonts w:ascii="Arial" w:hAnsi="Arial"/>
        </w:rPr>
        <w:t>Současně pozbývá platnosti nařízení o garážích ze dne ...</w:t>
      </w:r>
    </w:p>
    <w:p w14:paraId="24D8707B" w14:textId="77777777" w:rsidR="0064102E" w:rsidRPr="00A772AF" w:rsidRDefault="0064102E" w:rsidP="00552591">
      <w:pPr>
        <w:spacing w:after="0" w:line="240" w:lineRule="auto"/>
        <w:rPr>
          <w:rFonts w:ascii="Arial" w:eastAsia="Times New Roman" w:hAnsi="Arial" w:cs="Arial"/>
          <w:lang w:eastAsia="de-DE"/>
        </w:rPr>
      </w:pPr>
    </w:p>
    <w:p w14:paraId="404F8B77" w14:textId="77777777" w:rsidR="0064102E" w:rsidRPr="00A772AF" w:rsidRDefault="0064102E" w:rsidP="0064102E">
      <w:pPr>
        <w:spacing w:after="0" w:line="240" w:lineRule="auto"/>
        <w:rPr>
          <w:rFonts w:ascii="Arial" w:eastAsia="Times New Roman" w:hAnsi="Arial" w:cs="Times New Roman"/>
          <w:sz w:val="16"/>
          <w:szCs w:val="16"/>
        </w:rPr>
      </w:pPr>
      <w:r>
        <w:rPr>
          <w:rFonts w:ascii="Arial" w:hAnsi="Arial"/>
          <w:sz w:val="16"/>
        </w:rPr>
        <w:t>*podle regionálního práva</w:t>
      </w:r>
    </w:p>
    <w:p w14:paraId="55D081B7" w14:textId="77777777" w:rsidR="0064102E" w:rsidRPr="00A772AF" w:rsidRDefault="0064102E" w:rsidP="00552591"/>
    <w:sectPr w:rsidR="0064102E" w:rsidRPr="00A772AF" w:rsidSect="003852B2">
      <w:headerReference w:type="default" r:id="rId8"/>
      <w:footerReference w:type="default" r:id="rId9"/>
      <w:pgSz w:w="11906" w:h="16838" w:code="9"/>
      <w:pgMar w:top="1134"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6FA17" w14:textId="77777777" w:rsidR="007C5A84" w:rsidRDefault="007C5A84" w:rsidP="003852B2">
      <w:pPr>
        <w:spacing w:after="0" w:line="240" w:lineRule="auto"/>
      </w:pPr>
      <w:r>
        <w:separator/>
      </w:r>
    </w:p>
  </w:endnote>
  <w:endnote w:type="continuationSeparator" w:id="0">
    <w:p w14:paraId="42E4C2C5" w14:textId="77777777" w:rsidR="007C5A84" w:rsidRDefault="007C5A84" w:rsidP="00385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10ADC" w14:textId="37B3B568" w:rsidR="005B087C" w:rsidRDefault="005B087C" w:rsidP="003852B2">
    <w:pPr>
      <w:pStyle w:val="Footer"/>
      <w:jc w:val="right"/>
    </w:pPr>
    <w:r>
      <w:t xml:space="preserve"> </w:t>
    </w:r>
    <w:r>
      <w:fldChar w:fldCharType="begin"/>
    </w:r>
    <w:r>
      <w:instrText>PAGE   \* MERGEFORMAT</w:instrText>
    </w:r>
    <w:r>
      <w:fldChar w:fldCharType="separate"/>
    </w:r>
    <w:r w:rsidR="00A772AF">
      <w:t>1</w:t>
    </w:r>
    <w:r>
      <w:fldChar w:fldCharType="end"/>
    </w:r>
  </w:p>
  <w:p w14:paraId="5DFA9CAC" w14:textId="77777777" w:rsidR="005B087C" w:rsidRDefault="005B0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47F1E" w14:textId="77777777" w:rsidR="007C5A84" w:rsidRDefault="007C5A84" w:rsidP="003852B2">
      <w:pPr>
        <w:spacing w:after="0" w:line="240" w:lineRule="auto"/>
      </w:pPr>
      <w:r>
        <w:separator/>
      </w:r>
    </w:p>
  </w:footnote>
  <w:footnote w:type="continuationSeparator" w:id="0">
    <w:p w14:paraId="2C2DB766" w14:textId="77777777" w:rsidR="007C5A84" w:rsidRDefault="007C5A84" w:rsidP="003852B2">
      <w:pPr>
        <w:spacing w:after="0" w:line="240" w:lineRule="auto"/>
      </w:pPr>
      <w:r>
        <w:continuationSeparator/>
      </w:r>
    </w:p>
  </w:footnote>
  <w:footnote w:id="1">
    <w:p w14:paraId="6872DB3D" w14:textId="13B0EFF2" w:rsidR="005B087C" w:rsidRDefault="005B087C">
      <w:pPr>
        <w:pStyle w:val="FootnoteText"/>
      </w:pPr>
      <w:r>
        <w:rPr>
          <w:rStyle w:val="FootnoteReference"/>
        </w:rPr>
        <w:footnoteRef/>
      </w:r>
      <w:r>
        <w:t xml:space="preserve"> Oznámeno v souladu se směrnicí Evropského parlamentu a Rady (EU) 2015/1535 ze dne 9. září 2015 o postupu při poskytování informací v oblasti technických předpisů a předpisů pro služby informační společnosti (Úř. věst. L 241, 17.9.2015, s.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E38E0" w14:textId="1DE61254" w:rsidR="005B087C" w:rsidRPr="003852B2" w:rsidRDefault="005B087C" w:rsidP="003852B2">
    <w:pPr>
      <w:pStyle w:val="Header"/>
      <w:jc w:val="right"/>
      <w:rPr>
        <w:rFonts w:ascii="Arial" w:hAnsi="Arial" w:cs="Arial"/>
      </w:rPr>
    </w:pPr>
    <w:r>
      <w:rPr>
        <w:rFonts w:ascii="Arial" w:hAnsi="Arial"/>
      </w:rPr>
      <w:t>Vzorové nařízení, kterým se řídí parkovací zařízení (M-GarVO)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4717"/>
    <w:multiLevelType w:val="hybridMultilevel"/>
    <w:tmpl w:val="FCAA9AB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0501F9"/>
    <w:multiLevelType w:val="hybridMultilevel"/>
    <w:tmpl w:val="C5B09E1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F1663E"/>
    <w:multiLevelType w:val="hybridMultilevel"/>
    <w:tmpl w:val="0624DE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85F2AB0"/>
    <w:multiLevelType w:val="hybridMultilevel"/>
    <w:tmpl w:val="D97E6B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A560C8B"/>
    <w:multiLevelType w:val="hybridMultilevel"/>
    <w:tmpl w:val="C2667EAE"/>
    <w:lvl w:ilvl="0" w:tplc="D20A784A">
      <w:start w:val="3"/>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AA42C7F"/>
    <w:multiLevelType w:val="hybridMultilevel"/>
    <w:tmpl w:val="C7C09674"/>
    <w:lvl w:ilvl="0" w:tplc="5B38DAEA">
      <w:start w:val="1"/>
      <w:numFmt w:val="decimal"/>
      <w:lvlText w:val="%1."/>
      <w:lvlJc w:val="left"/>
      <w:pPr>
        <w:ind w:left="720" w:hanging="360"/>
      </w:pPr>
      <w:rPr>
        <w:rFonts w:hint="default"/>
        <w:color w:val="FF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C347591"/>
    <w:multiLevelType w:val="hybridMultilevel"/>
    <w:tmpl w:val="1B3625C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F82292"/>
    <w:multiLevelType w:val="hybridMultilevel"/>
    <w:tmpl w:val="7B9A42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841595C"/>
    <w:multiLevelType w:val="hybridMultilevel"/>
    <w:tmpl w:val="566AB6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AC25841"/>
    <w:multiLevelType w:val="hybridMultilevel"/>
    <w:tmpl w:val="0BDEC00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C5B7EE3"/>
    <w:multiLevelType w:val="hybridMultilevel"/>
    <w:tmpl w:val="9156327A"/>
    <w:lvl w:ilvl="0" w:tplc="0407000F">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B555FC8"/>
    <w:multiLevelType w:val="hybridMultilevel"/>
    <w:tmpl w:val="12744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C635AED"/>
    <w:multiLevelType w:val="hybridMultilevel"/>
    <w:tmpl w:val="E0E430B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D191F02"/>
    <w:multiLevelType w:val="hybridMultilevel"/>
    <w:tmpl w:val="2F588EC4"/>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78DE272F"/>
    <w:multiLevelType w:val="hybridMultilevel"/>
    <w:tmpl w:val="C1B85F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7"/>
  </w:num>
  <w:num w:numId="2">
    <w:abstractNumId w:val="13"/>
  </w:num>
  <w:num w:numId="3">
    <w:abstractNumId w:val="1"/>
  </w:num>
  <w:num w:numId="4">
    <w:abstractNumId w:val="12"/>
  </w:num>
  <w:num w:numId="5">
    <w:abstractNumId w:val="6"/>
  </w:num>
  <w:num w:numId="6">
    <w:abstractNumId w:val="3"/>
  </w:num>
  <w:num w:numId="7">
    <w:abstractNumId w:val="0"/>
  </w:num>
  <w:num w:numId="8">
    <w:abstractNumId w:val="14"/>
  </w:num>
  <w:num w:numId="9">
    <w:abstractNumId w:val="2"/>
  </w:num>
  <w:num w:numId="10">
    <w:abstractNumId w:val="11"/>
  </w:num>
  <w:num w:numId="11">
    <w:abstractNumId w:val="10"/>
  </w:num>
  <w:num w:numId="12">
    <w:abstractNumId w:val="5"/>
  </w:num>
  <w:num w:numId="13">
    <w:abstractNumId w:val="9"/>
  </w:num>
  <w:num w:numId="14">
    <w:abstractNumId w:val="4"/>
  </w:num>
  <w:num w:numId="15">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de-DE" w:vendorID="64" w:dllVersion="4096" w:nlCheck="1" w:checkStyle="0"/>
  <w:activeWritingStyle w:appName="MSWord" w:lang="en-GB"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ersion" w:val="0"/>
  </w:docVars>
  <w:rsids>
    <w:rsidRoot w:val="00552591"/>
    <w:rsid w:val="00031EAA"/>
    <w:rsid w:val="000674FC"/>
    <w:rsid w:val="000705AA"/>
    <w:rsid w:val="000868AB"/>
    <w:rsid w:val="00116C19"/>
    <w:rsid w:val="00154F78"/>
    <w:rsid w:val="00170E16"/>
    <w:rsid w:val="00176D38"/>
    <w:rsid w:val="001B6FCB"/>
    <w:rsid w:val="001C4A80"/>
    <w:rsid w:val="001F5516"/>
    <w:rsid w:val="00203025"/>
    <w:rsid w:val="002055E7"/>
    <w:rsid w:val="00216E0F"/>
    <w:rsid w:val="0024496E"/>
    <w:rsid w:val="00280D54"/>
    <w:rsid w:val="002F325E"/>
    <w:rsid w:val="002F3718"/>
    <w:rsid w:val="002F5A9D"/>
    <w:rsid w:val="00306848"/>
    <w:rsid w:val="003103B6"/>
    <w:rsid w:val="003378A2"/>
    <w:rsid w:val="003533D2"/>
    <w:rsid w:val="00364C43"/>
    <w:rsid w:val="00366C45"/>
    <w:rsid w:val="003852B2"/>
    <w:rsid w:val="003923A5"/>
    <w:rsid w:val="003A2E21"/>
    <w:rsid w:val="003A6DD3"/>
    <w:rsid w:val="003D40EE"/>
    <w:rsid w:val="004001D9"/>
    <w:rsid w:val="004614DC"/>
    <w:rsid w:val="00484D66"/>
    <w:rsid w:val="004B7B9F"/>
    <w:rsid w:val="004C2B99"/>
    <w:rsid w:val="004C5249"/>
    <w:rsid w:val="004C531D"/>
    <w:rsid w:val="004D5DDC"/>
    <w:rsid w:val="004E4BBD"/>
    <w:rsid w:val="004F059F"/>
    <w:rsid w:val="004F065E"/>
    <w:rsid w:val="0050020B"/>
    <w:rsid w:val="00500DDD"/>
    <w:rsid w:val="00520D34"/>
    <w:rsid w:val="00552591"/>
    <w:rsid w:val="0059078B"/>
    <w:rsid w:val="005A0DF1"/>
    <w:rsid w:val="005B087C"/>
    <w:rsid w:val="005C1622"/>
    <w:rsid w:val="0063186F"/>
    <w:rsid w:val="0064102E"/>
    <w:rsid w:val="006415FE"/>
    <w:rsid w:val="00645FCA"/>
    <w:rsid w:val="00670B77"/>
    <w:rsid w:val="00687D9A"/>
    <w:rsid w:val="006A304B"/>
    <w:rsid w:val="006C3B5B"/>
    <w:rsid w:val="006C4A58"/>
    <w:rsid w:val="006F1693"/>
    <w:rsid w:val="00701F37"/>
    <w:rsid w:val="00716354"/>
    <w:rsid w:val="00723196"/>
    <w:rsid w:val="00727F1E"/>
    <w:rsid w:val="007925AF"/>
    <w:rsid w:val="007B108B"/>
    <w:rsid w:val="007C5A84"/>
    <w:rsid w:val="007D4D2B"/>
    <w:rsid w:val="0084670D"/>
    <w:rsid w:val="00861A9A"/>
    <w:rsid w:val="0087585E"/>
    <w:rsid w:val="008A5C3F"/>
    <w:rsid w:val="008E0C9F"/>
    <w:rsid w:val="008E3DF1"/>
    <w:rsid w:val="00915A71"/>
    <w:rsid w:val="00920CD5"/>
    <w:rsid w:val="00927DC1"/>
    <w:rsid w:val="00960E2B"/>
    <w:rsid w:val="00970530"/>
    <w:rsid w:val="009C0A33"/>
    <w:rsid w:val="009C708F"/>
    <w:rsid w:val="00A074A4"/>
    <w:rsid w:val="00A1368A"/>
    <w:rsid w:val="00A772AF"/>
    <w:rsid w:val="00A90DBC"/>
    <w:rsid w:val="00A9760A"/>
    <w:rsid w:val="00AB4B95"/>
    <w:rsid w:val="00AE1D01"/>
    <w:rsid w:val="00B460D2"/>
    <w:rsid w:val="00B5189B"/>
    <w:rsid w:val="00B61A53"/>
    <w:rsid w:val="00B74371"/>
    <w:rsid w:val="00B9044C"/>
    <w:rsid w:val="00B914A0"/>
    <w:rsid w:val="00BA1FF7"/>
    <w:rsid w:val="00BB027E"/>
    <w:rsid w:val="00BC5CB4"/>
    <w:rsid w:val="00BF18D1"/>
    <w:rsid w:val="00BF76EC"/>
    <w:rsid w:val="00C152BB"/>
    <w:rsid w:val="00C17BDE"/>
    <w:rsid w:val="00C32C56"/>
    <w:rsid w:val="00C349BF"/>
    <w:rsid w:val="00C54FFD"/>
    <w:rsid w:val="00C65E2E"/>
    <w:rsid w:val="00CA359F"/>
    <w:rsid w:val="00CA78CD"/>
    <w:rsid w:val="00CC01FC"/>
    <w:rsid w:val="00D41CA9"/>
    <w:rsid w:val="00DC1BB4"/>
    <w:rsid w:val="00DE66AF"/>
    <w:rsid w:val="00E17ED6"/>
    <w:rsid w:val="00E273E9"/>
    <w:rsid w:val="00E33EF7"/>
    <w:rsid w:val="00E65FCF"/>
    <w:rsid w:val="00EA4225"/>
    <w:rsid w:val="00EC28F3"/>
    <w:rsid w:val="00ED1FD9"/>
    <w:rsid w:val="00EF7CE9"/>
    <w:rsid w:val="00F165AC"/>
    <w:rsid w:val="00F43216"/>
    <w:rsid w:val="00F54A3E"/>
    <w:rsid w:val="00F93940"/>
    <w:rsid w:val="00FA55BB"/>
    <w:rsid w:val="00FD48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6E498"/>
  <w15:chartTrackingRefBased/>
  <w15:docId w15:val="{7A362A14-3BE1-4726-A3FA-779AE7FF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5AA"/>
    <w:pPr>
      <w:spacing w:after="0" w:line="240" w:lineRule="auto"/>
      <w:outlineLvl w:val="0"/>
    </w:pPr>
    <w:rPr>
      <w:rFonts w:ascii="Arial" w:eastAsia="Times New Roman" w:hAnsi="Arial" w:cs="Arial"/>
      <w:b/>
      <w:sz w:val="20"/>
      <w:szCs w:val="20"/>
      <w:lang w:eastAsia="de-DE"/>
    </w:rPr>
  </w:style>
  <w:style w:type="paragraph" w:styleId="Heading2">
    <w:name w:val="heading 2"/>
    <w:basedOn w:val="Normal"/>
    <w:next w:val="Normal"/>
    <w:link w:val="Heading2Char"/>
    <w:uiPriority w:val="9"/>
    <w:unhideWhenUsed/>
    <w:qFormat/>
    <w:rsid w:val="007B108B"/>
    <w:pPr>
      <w:spacing w:after="0" w:line="240" w:lineRule="auto"/>
      <w:outlineLvl w:val="1"/>
    </w:pPr>
    <w:rPr>
      <w:rFonts w:ascii="Arial" w:eastAsia="Times New Roman" w:hAnsi="Arial" w:cs="Arial"/>
      <w:b/>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eineListe1">
    <w:name w:val="Keine Liste1"/>
    <w:next w:val="NoList"/>
    <w:uiPriority w:val="99"/>
    <w:semiHidden/>
    <w:unhideWhenUsed/>
    <w:rsid w:val="00552591"/>
  </w:style>
  <w:style w:type="table" w:styleId="TableGrid">
    <w:name w:val="Table Grid"/>
    <w:basedOn w:val="TableNormal"/>
    <w:uiPriority w:val="59"/>
    <w:rsid w:val="00552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52591"/>
    <w:pPr>
      <w:spacing w:after="0" w:line="240" w:lineRule="auto"/>
    </w:pPr>
    <w:rPr>
      <w:rFonts w:ascii="MS Serif" w:eastAsia="Times New Roman" w:hAnsi="MS Serif" w:cs="Times New Roman"/>
      <w:sz w:val="20"/>
      <w:szCs w:val="20"/>
      <w:lang w:eastAsia="de-DE"/>
    </w:rPr>
  </w:style>
  <w:style w:type="paragraph" w:styleId="BalloonText">
    <w:name w:val="Balloon Text"/>
    <w:basedOn w:val="Normal"/>
    <w:link w:val="BalloonTextChar"/>
    <w:uiPriority w:val="99"/>
    <w:semiHidden/>
    <w:unhideWhenUsed/>
    <w:rsid w:val="00552591"/>
    <w:pPr>
      <w:spacing w:after="0" w:line="240" w:lineRule="auto"/>
    </w:pPr>
    <w:rPr>
      <w:rFonts w:ascii="Tahoma" w:eastAsia="Times New Roman" w:hAnsi="Tahoma" w:cs="Tahoma"/>
      <w:sz w:val="16"/>
      <w:szCs w:val="16"/>
      <w:lang w:eastAsia="de-DE"/>
    </w:rPr>
  </w:style>
  <w:style w:type="character" w:customStyle="1" w:styleId="BalloonTextChar">
    <w:name w:val="Balloon Text Char"/>
    <w:basedOn w:val="DefaultParagraphFont"/>
    <w:link w:val="BalloonText"/>
    <w:uiPriority w:val="99"/>
    <w:semiHidden/>
    <w:rsid w:val="00552591"/>
    <w:rPr>
      <w:rFonts w:ascii="Tahoma" w:eastAsia="Times New Roman" w:hAnsi="Tahoma" w:cs="Tahoma"/>
      <w:sz w:val="16"/>
      <w:szCs w:val="16"/>
      <w:lang w:eastAsia="de-DE"/>
    </w:rPr>
  </w:style>
  <w:style w:type="paragraph" w:styleId="ListParagraph">
    <w:name w:val="List Paragraph"/>
    <w:basedOn w:val="Normal"/>
    <w:uiPriority w:val="34"/>
    <w:qFormat/>
    <w:rsid w:val="00552591"/>
    <w:pPr>
      <w:spacing w:after="0" w:line="240" w:lineRule="auto"/>
      <w:ind w:left="720"/>
      <w:contextualSpacing/>
    </w:pPr>
    <w:rPr>
      <w:rFonts w:ascii="MS Serif" w:eastAsia="Times New Roman" w:hAnsi="MS Serif" w:cs="Times New Roman"/>
      <w:sz w:val="20"/>
      <w:szCs w:val="20"/>
      <w:lang w:eastAsia="de-DE"/>
    </w:rPr>
  </w:style>
  <w:style w:type="paragraph" w:customStyle="1" w:styleId="Default">
    <w:name w:val="Default"/>
    <w:rsid w:val="00552591"/>
    <w:pPr>
      <w:autoSpaceDE w:val="0"/>
      <w:autoSpaceDN w:val="0"/>
      <w:adjustRightInd w:val="0"/>
      <w:spacing w:after="0" w:line="240" w:lineRule="auto"/>
    </w:pPr>
    <w:rPr>
      <w:rFonts w:ascii="Times New Roman" w:eastAsia="Times New Roman" w:hAnsi="Times New Roman" w:cs="Times New Roman"/>
      <w:color w:val="000000"/>
      <w:sz w:val="24"/>
      <w:szCs w:val="24"/>
      <w:lang w:eastAsia="de-DE"/>
    </w:rPr>
  </w:style>
  <w:style w:type="character" w:styleId="CommentReference">
    <w:name w:val="annotation reference"/>
    <w:basedOn w:val="DefaultParagraphFont"/>
    <w:uiPriority w:val="99"/>
    <w:semiHidden/>
    <w:unhideWhenUsed/>
    <w:rsid w:val="00552591"/>
    <w:rPr>
      <w:sz w:val="16"/>
      <w:szCs w:val="16"/>
    </w:rPr>
  </w:style>
  <w:style w:type="paragraph" w:styleId="CommentText">
    <w:name w:val="annotation text"/>
    <w:basedOn w:val="Normal"/>
    <w:link w:val="CommentTextChar"/>
    <w:uiPriority w:val="99"/>
    <w:semiHidden/>
    <w:unhideWhenUsed/>
    <w:rsid w:val="00552591"/>
    <w:pPr>
      <w:spacing w:after="0" w:line="240" w:lineRule="auto"/>
    </w:pPr>
    <w:rPr>
      <w:rFonts w:ascii="MS Serif" w:eastAsia="Times New Roman" w:hAnsi="MS Serif" w:cs="Times New Roman"/>
      <w:sz w:val="20"/>
      <w:szCs w:val="20"/>
      <w:lang w:eastAsia="de-DE"/>
    </w:rPr>
  </w:style>
  <w:style w:type="character" w:customStyle="1" w:styleId="CommentTextChar">
    <w:name w:val="Comment Text Char"/>
    <w:basedOn w:val="DefaultParagraphFont"/>
    <w:link w:val="CommentText"/>
    <w:uiPriority w:val="99"/>
    <w:semiHidden/>
    <w:rsid w:val="00552591"/>
    <w:rPr>
      <w:rFonts w:ascii="MS Serif" w:eastAsia="Times New Roman" w:hAnsi="MS Serif"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552591"/>
    <w:rPr>
      <w:b/>
      <w:bCs/>
    </w:rPr>
  </w:style>
  <w:style w:type="character" w:customStyle="1" w:styleId="CommentSubjectChar">
    <w:name w:val="Comment Subject Char"/>
    <w:basedOn w:val="CommentTextChar"/>
    <w:link w:val="CommentSubject"/>
    <w:uiPriority w:val="99"/>
    <w:semiHidden/>
    <w:rsid w:val="00552591"/>
    <w:rPr>
      <w:rFonts w:ascii="MS Serif" w:eastAsia="Times New Roman" w:hAnsi="MS Serif" w:cs="Times New Roman"/>
      <w:b/>
      <w:bCs/>
      <w:sz w:val="20"/>
      <w:szCs w:val="20"/>
      <w:lang w:eastAsia="de-DE"/>
    </w:rPr>
  </w:style>
  <w:style w:type="paragraph" w:styleId="Header">
    <w:name w:val="header"/>
    <w:basedOn w:val="Normal"/>
    <w:link w:val="HeaderChar"/>
    <w:uiPriority w:val="99"/>
    <w:unhideWhenUsed/>
    <w:rsid w:val="00552591"/>
    <w:pPr>
      <w:tabs>
        <w:tab w:val="center" w:pos="4536"/>
        <w:tab w:val="right" w:pos="9072"/>
      </w:tabs>
      <w:spacing w:after="0" w:line="240" w:lineRule="auto"/>
    </w:pPr>
    <w:rPr>
      <w:rFonts w:ascii="MS Serif" w:eastAsia="Times New Roman" w:hAnsi="MS Serif" w:cs="Times New Roman"/>
      <w:sz w:val="20"/>
      <w:szCs w:val="20"/>
      <w:lang w:eastAsia="de-DE"/>
    </w:rPr>
  </w:style>
  <w:style w:type="character" w:customStyle="1" w:styleId="HeaderChar">
    <w:name w:val="Header Char"/>
    <w:basedOn w:val="DefaultParagraphFont"/>
    <w:link w:val="Header"/>
    <w:uiPriority w:val="99"/>
    <w:rsid w:val="00552591"/>
    <w:rPr>
      <w:rFonts w:ascii="MS Serif" w:eastAsia="Times New Roman" w:hAnsi="MS Serif" w:cs="Times New Roman"/>
      <w:sz w:val="20"/>
      <w:szCs w:val="20"/>
      <w:lang w:eastAsia="de-DE"/>
    </w:rPr>
  </w:style>
  <w:style w:type="paragraph" w:styleId="Footer">
    <w:name w:val="footer"/>
    <w:basedOn w:val="Normal"/>
    <w:link w:val="FooterChar"/>
    <w:uiPriority w:val="99"/>
    <w:unhideWhenUsed/>
    <w:rsid w:val="00552591"/>
    <w:pPr>
      <w:tabs>
        <w:tab w:val="center" w:pos="4536"/>
        <w:tab w:val="right" w:pos="9072"/>
      </w:tabs>
      <w:spacing w:after="0" w:line="240" w:lineRule="auto"/>
    </w:pPr>
    <w:rPr>
      <w:rFonts w:ascii="MS Serif" w:eastAsia="Times New Roman" w:hAnsi="MS Serif" w:cs="Times New Roman"/>
      <w:sz w:val="20"/>
      <w:szCs w:val="20"/>
      <w:lang w:eastAsia="de-DE"/>
    </w:rPr>
  </w:style>
  <w:style w:type="character" w:customStyle="1" w:styleId="FooterChar">
    <w:name w:val="Footer Char"/>
    <w:basedOn w:val="DefaultParagraphFont"/>
    <w:link w:val="Footer"/>
    <w:uiPriority w:val="99"/>
    <w:rsid w:val="00552591"/>
    <w:rPr>
      <w:rFonts w:ascii="MS Serif" w:eastAsia="Times New Roman" w:hAnsi="MS Serif" w:cs="Times New Roman"/>
      <w:sz w:val="20"/>
      <w:szCs w:val="20"/>
      <w:lang w:eastAsia="de-DE"/>
    </w:rPr>
  </w:style>
  <w:style w:type="character" w:customStyle="1" w:styleId="Heading1Char">
    <w:name w:val="Heading 1 Char"/>
    <w:basedOn w:val="DefaultParagraphFont"/>
    <w:link w:val="Heading1"/>
    <w:uiPriority w:val="9"/>
    <w:rsid w:val="000705AA"/>
    <w:rPr>
      <w:rFonts w:ascii="Arial" w:eastAsia="Times New Roman" w:hAnsi="Arial" w:cs="Arial"/>
      <w:b/>
      <w:sz w:val="20"/>
      <w:szCs w:val="20"/>
      <w:lang w:eastAsia="de-DE"/>
    </w:rPr>
  </w:style>
  <w:style w:type="character" w:customStyle="1" w:styleId="Heading2Char">
    <w:name w:val="Heading 2 Char"/>
    <w:basedOn w:val="DefaultParagraphFont"/>
    <w:link w:val="Heading2"/>
    <w:uiPriority w:val="9"/>
    <w:rsid w:val="007B108B"/>
    <w:rPr>
      <w:rFonts w:ascii="Arial" w:eastAsia="Times New Roman" w:hAnsi="Arial" w:cs="Arial"/>
      <w:b/>
      <w:szCs w:val="20"/>
      <w:lang w:eastAsia="de-DE"/>
    </w:rPr>
  </w:style>
  <w:style w:type="paragraph" w:styleId="TOCHeading">
    <w:name w:val="TOC Heading"/>
    <w:basedOn w:val="Heading1"/>
    <w:next w:val="Normal"/>
    <w:uiPriority w:val="39"/>
    <w:unhideWhenUsed/>
    <w:qFormat/>
    <w:rsid w:val="000705AA"/>
    <w:pPr>
      <w:keepNext/>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1B6FCB"/>
    <w:pPr>
      <w:tabs>
        <w:tab w:val="right" w:leader="dot" w:pos="9062"/>
      </w:tabs>
      <w:spacing w:before="60" w:after="60"/>
      <w:jc w:val="center"/>
    </w:pPr>
    <w:rPr>
      <w:rFonts w:ascii="Arial" w:hAnsi="Arial" w:cs="Arial"/>
      <w:b/>
      <w:noProof/>
    </w:rPr>
  </w:style>
  <w:style w:type="paragraph" w:styleId="TOC2">
    <w:name w:val="toc 2"/>
    <w:basedOn w:val="Normal"/>
    <w:next w:val="Normal"/>
    <w:autoRedefine/>
    <w:uiPriority w:val="39"/>
    <w:unhideWhenUsed/>
    <w:rsid w:val="00DC1BB4"/>
    <w:pPr>
      <w:tabs>
        <w:tab w:val="right" w:leader="dot" w:pos="9062"/>
      </w:tabs>
      <w:spacing w:after="40" w:line="240" w:lineRule="auto"/>
    </w:pPr>
    <w:rPr>
      <w:rFonts w:ascii="Arial" w:hAnsi="Arial" w:cs="Arial"/>
      <w:noProof/>
    </w:rPr>
  </w:style>
  <w:style w:type="character" w:styleId="Hyperlink">
    <w:name w:val="Hyperlink"/>
    <w:basedOn w:val="DefaultParagraphFont"/>
    <w:uiPriority w:val="99"/>
    <w:unhideWhenUsed/>
    <w:rsid w:val="000705AA"/>
    <w:rPr>
      <w:color w:val="0000FF" w:themeColor="hyperlink"/>
      <w:u w:val="single"/>
    </w:rPr>
  </w:style>
  <w:style w:type="paragraph" w:styleId="TOC3">
    <w:name w:val="toc 3"/>
    <w:basedOn w:val="Normal"/>
    <w:next w:val="Normal"/>
    <w:autoRedefine/>
    <w:uiPriority w:val="39"/>
    <w:unhideWhenUsed/>
    <w:rsid w:val="000705AA"/>
    <w:pPr>
      <w:spacing w:after="100" w:line="259" w:lineRule="auto"/>
      <w:ind w:left="440"/>
    </w:pPr>
    <w:rPr>
      <w:rFonts w:eastAsiaTheme="minorEastAsia" w:cs="Times New Roman"/>
      <w:lang w:eastAsia="de-DE"/>
    </w:rPr>
  </w:style>
  <w:style w:type="paragraph" w:styleId="FootnoteText">
    <w:name w:val="footnote text"/>
    <w:basedOn w:val="Normal"/>
    <w:link w:val="FootnoteTextChar"/>
    <w:uiPriority w:val="99"/>
    <w:semiHidden/>
    <w:unhideWhenUsed/>
    <w:rsid w:val="001B6F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FCB"/>
    <w:rPr>
      <w:sz w:val="20"/>
      <w:szCs w:val="20"/>
    </w:rPr>
  </w:style>
  <w:style w:type="character" w:styleId="FootnoteReference">
    <w:name w:val="footnote reference"/>
    <w:basedOn w:val="DefaultParagraphFont"/>
    <w:uiPriority w:val="99"/>
    <w:semiHidden/>
    <w:unhideWhenUsed/>
    <w:rsid w:val="001B6F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4B985-88FA-4D8B-AC25-1E8077DA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4534</Words>
  <Characters>25849</Characters>
  <Application>Microsoft Office Word</Application>
  <DocSecurity>0</DocSecurity>
  <Lines>215</Lines>
  <Paragraphs>60</Paragraphs>
  <ScaleCrop>false</ScaleCrop>
  <HeadingPairs>
    <vt:vector size="2" baseType="variant">
      <vt:variant>
        <vt:lpstr>Titel</vt:lpstr>
      </vt:variant>
      <vt:variant>
        <vt:i4>1</vt:i4>
      </vt:variant>
    </vt:vector>
  </HeadingPairs>
  <TitlesOfParts>
    <vt:vector size="1" baseType="lpstr">
      <vt:lpstr/>
    </vt:vector>
  </TitlesOfParts>
  <Company>FM</Company>
  <LinksUpToDate>false</LinksUpToDate>
  <CharactersWithSpaces>30323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Fett, Rainer (FM)</dc:creator>
  <cp:keywords/>
  <dc:description/>
  <cp:lastModifiedBy>Dimitris Dimitriadis</cp:lastModifiedBy>
  <cp:revision>7</cp:revision>
  <dcterms:created xsi:type="dcterms:W3CDTF">2021-04-29T11:06:00Z</dcterms:created>
  <dcterms:modified xsi:type="dcterms:W3CDTF">2021-05-17T09:06:00Z</dcterms:modified>
</cp:coreProperties>
</file>