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75E9" w14:textId="7048B982" w:rsidR="00A27502" w:rsidRPr="00A27502" w:rsidRDefault="00507A1C" w:rsidP="004C4C32">
      <w:pPr>
        <w:numPr>
          <w:ilvl w:val="12"/>
          <w:numId w:val="0"/>
        </w:numPr>
        <w:tabs>
          <w:tab w:val="center" w:pos="4253"/>
          <w:tab w:val="right" w:pos="8222"/>
        </w:tabs>
        <w:spacing w:line="276" w:lineRule="auto"/>
        <w:rPr>
          <w:rFonts w:ascii="Verdana" w:hAnsi="Verdana" w:cs="Arial"/>
          <w:spacing w:val="-3"/>
          <w:sz w:val="24"/>
          <w:szCs w:val="24"/>
        </w:rPr>
      </w:pPr>
      <w:r>
        <w:rPr>
          <w:rFonts w:ascii="Verdana" w:hAnsi="Verdana"/>
          <w:noProof/>
        </w:rPr>
        <mc:AlternateContent>
          <mc:Choice Requires="wps">
            <w:drawing>
              <wp:anchor distT="0" distB="0" distL="114300" distR="114300" simplePos="0" relativeHeight="251659264" behindDoc="0" locked="0" layoutInCell="1" allowOverlap="1" wp14:anchorId="3101AD6F" wp14:editId="6DF8B164">
                <wp:simplePos x="0" y="0"/>
                <wp:positionH relativeFrom="column">
                  <wp:posOffset>595591</wp:posOffset>
                </wp:positionH>
                <wp:positionV relativeFrom="paragraph">
                  <wp:posOffset>66520</wp:posOffset>
                </wp:positionV>
                <wp:extent cx="1536441" cy="752670"/>
                <wp:effectExtent l="0" t="0" r="6985" b="9525"/>
                <wp:wrapNone/>
                <wp:docPr id="1" name="Text Box 1"/>
                <wp:cNvGraphicFramePr/>
                <a:graphic xmlns:a="http://schemas.openxmlformats.org/drawingml/2006/main">
                  <a:graphicData uri="http://schemas.microsoft.com/office/word/2010/wordprocessingShape">
                    <wps:wsp>
                      <wps:cNvSpPr txBox="1"/>
                      <wps:spPr>
                        <a:xfrm>
                          <a:off x="0" y="0"/>
                          <a:ext cx="1536441" cy="752670"/>
                        </a:xfrm>
                        <a:prstGeom prst="rect">
                          <a:avLst/>
                        </a:prstGeom>
                        <a:solidFill>
                          <a:schemeClr val="lt1"/>
                        </a:solidFill>
                        <a:ln w="6350">
                          <a:noFill/>
                        </a:ln>
                      </wps:spPr>
                      <wps:txbx>
                        <w:txbxContent>
                          <w:p w14:paraId="5F9C43F2" w14:textId="5E9DFF2E" w:rsidR="00507A1C" w:rsidRPr="00507A1C" w:rsidRDefault="00507A1C">
                            <w:pPr>
                              <w:rPr>
                                <w:b/>
                                <w:bCs/>
                                <w:sz w:val="32"/>
                                <w:szCs w:val="32"/>
                              </w:rPr>
                            </w:pPr>
                            <w:r>
                              <w:rPr>
                                <w:b/>
                                <w:sz w:val="32"/>
                              </w:rPr>
                              <w:t>Rząd flamandzki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01AD6F" id="_x0000_t202" coordsize="21600,21600" o:spt="202" path="m,l,21600r21600,l21600,xe">
                <v:stroke joinstyle="miter"/>
                <v:path gradientshapeok="t" o:connecttype="rect"/>
              </v:shapetype>
              <v:shape id="Text Box 1" o:spid="_x0000_s1026" type="#_x0000_t202" style="position:absolute;margin-left:46.9pt;margin-top:5.25pt;width:121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" fillcolor="white [3201]" stroked="f" strokeweight=".5pt">
                <v:textbox>
                  <w:txbxContent>
                    <w:p w14:paraId="5F9C43F2" w14:textId="5E9DFF2E" w:rsidR="00507A1C" w:rsidRPr="00507A1C" w:rsidRDefault="00507A1C">
                      <w:pPr>
                        <w:rPr>
                          <w:b/>
                          <w:bCs/>
                          <w:sz w:val="32"/>
                          <w:szCs w:val="32"/>
                        </w:rPr>
                      </w:pPr>
                      <w:r>
                        <w:rPr>
                          <w:b/>
                          <w:sz w:val="32"/>
                        </w:rPr>
                        <w:t>Rząd flamandzki</w:t>
                      </w:r>
                    </w:p>
                  </w:txbxContent>
                </v:textbox>
              </v:shape>
            </w:pict>
          </mc:Fallback>
        </mc:AlternateContent>
      </w:r>
      <w:r>
        <w:rPr>
          <w:rFonts w:ascii="Verdana" w:hAnsi="Verdana"/>
          <w:noProof/>
        </w:rPr>
        <w:drawing>
          <wp:inline distT="0" distB="0" distL="0" distR="0" wp14:anchorId="664F8B15" wp14:editId="14979D44">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p>
    <w:p w14:paraId="25B63048" w14:textId="77777777" w:rsidR="00A27502" w:rsidRPr="00DC1413" w:rsidRDefault="00A27502" w:rsidP="004C4C32">
      <w:pPr>
        <w:numPr>
          <w:ilvl w:val="12"/>
          <w:numId w:val="0"/>
        </w:numPr>
        <w:tabs>
          <w:tab w:val="center" w:pos="4253"/>
          <w:tab w:val="right" w:pos="8222"/>
        </w:tabs>
        <w:spacing w:line="276" w:lineRule="auto"/>
        <w:rPr>
          <w:rFonts w:ascii="Verdana" w:hAnsi="Verdana" w:cs="Arial"/>
          <w:spacing w:val="-3"/>
          <w:sz w:val="20"/>
          <w:lang w:val="nl-BE"/>
        </w:rPr>
      </w:pPr>
    </w:p>
    <w:p w14:paraId="5966FC51" w14:textId="77777777" w:rsidR="00A27502" w:rsidRPr="00DC1413" w:rsidRDefault="00A27502" w:rsidP="004C4C32">
      <w:pPr>
        <w:numPr>
          <w:ilvl w:val="12"/>
          <w:numId w:val="0"/>
        </w:numPr>
        <w:tabs>
          <w:tab w:val="center" w:pos="4253"/>
          <w:tab w:val="right" w:pos="8222"/>
        </w:tabs>
        <w:spacing w:line="276" w:lineRule="auto"/>
        <w:rPr>
          <w:rFonts w:ascii="Verdana" w:hAnsi="Verdana" w:cs="Arial"/>
          <w:spacing w:val="-3"/>
          <w:sz w:val="20"/>
          <w:lang w:val="nl-BE"/>
        </w:rPr>
      </w:pPr>
    </w:p>
    <w:p w14:paraId="5EEA982D" w14:textId="3707CDDE" w:rsidR="00E41310" w:rsidRPr="00FA2D5D" w:rsidRDefault="00E41310" w:rsidP="004C4C32">
      <w:pPr>
        <w:numPr>
          <w:ilvl w:val="12"/>
          <w:numId w:val="0"/>
        </w:numPr>
        <w:tabs>
          <w:tab w:val="center" w:pos="4253"/>
          <w:tab w:val="right" w:pos="8222"/>
        </w:tabs>
        <w:spacing w:line="276" w:lineRule="auto"/>
        <w:rPr>
          <w:rFonts w:ascii="Verdana" w:hAnsi="Verdana" w:cs="Arial"/>
          <w:b/>
          <w:spacing w:val="-3"/>
          <w:sz w:val="24"/>
          <w:szCs w:val="24"/>
        </w:rPr>
      </w:pPr>
      <w:r>
        <w:rPr>
          <w:rFonts w:ascii="Verdana" w:hAnsi="Verdana"/>
          <w:b/>
          <w:sz w:val="24"/>
        </w:rPr>
        <w:t>Projekt dekretu zmieniającego dekret w sprawie energii z dnia 8 maja 2009 r. w odniesieniu do zarządzania siecią, efektywności energetycznej i produkcji energii przyjaznej środowisku</w:t>
      </w:r>
    </w:p>
    <w:p w14:paraId="68DCCDA3" w14:textId="77777777" w:rsidR="00E41310" w:rsidRPr="00FA2D5D" w:rsidRDefault="00E41310" w:rsidP="004C4C32">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9C9D781" w14:textId="77777777" w:rsidR="00E41310" w:rsidRPr="00FA2D5D" w:rsidRDefault="00E41310" w:rsidP="004C4C32">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4F5D6247" w14:textId="67AAD150" w:rsidR="00E41310" w:rsidRPr="00FA2D5D"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rPr>
      </w:pPr>
      <w:bookmarkStart w:id="0" w:name="_Hlk10107048"/>
      <w:r>
        <w:rPr>
          <w:rFonts w:ascii="Verdana" w:hAnsi="Verdana"/>
          <w:sz w:val="20"/>
        </w:rPr>
        <w:t>Na wniosek flamandzkiego Ministra Sprawiedliwości i Egzekwowania Przepisów, Środowiska, Energii i Turystyki;</w:t>
      </w:r>
    </w:p>
    <w:p w14:paraId="4C9025B8"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5103DB36" w14:textId="703D116B" w:rsidR="00E41310" w:rsidRPr="00FA2D5D" w:rsidRDefault="00E41310" w:rsidP="00D35A1A">
      <w:pPr>
        <w:spacing w:line="276" w:lineRule="auto"/>
        <w:jc w:val="both"/>
        <w:rPr>
          <w:rFonts w:ascii="Verdana" w:hAnsi="Verdana" w:cs="Arial"/>
          <w:spacing w:val="-3"/>
          <w:sz w:val="20"/>
        </w:rPr>
      </w:pPr>
      <w:r>
        <w:rPr>
          <w:rFonts w:ascii="Verdana" w:hAnsi="Verdana"/>
          <w:sz w:val="20"/>
        </w:rPr>
        <w:t>po obradach,</w:t>
      </w:r>
      <w:bookmarkEnd w:id="0"/>
    </w:p>
    <w:p w14:paraId="1BFD7884"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660527E2" w14:textId="77777777" w:rsidR="00E41310" w:rsidRPr="00FA2D5D" w:rsidRDefault="00E41310" w:rsidP="00D35A1A">
      <w:pPr>
        <w:numPr>
          <w:ilvl w:val="12"/>
          <w:numId w:val="0"/>
        </w:numPr>
        <w:tabs>
          <w:tab w:val="center" w:pos="4253"/>
          <w:tab w:val="right" w:pos="8222"/>
        </w:tabs>
        <w:spacing w:line="276" w:lineRule="auto"/>
        <w:rPr>
          <w:rFonts w:ascii="Verdana" w:hAnsi="Verdana" w:cs="Arial"/>
          <w:spacing w:val="-3"/>
          <w:sz w:val="20"/>
          <w:lang w:val="nl-BE"/>
        </w:rPr>
      </w:pPr>
    </w:p>
    <w:p w14:paraId="6ED7F153" w14:textId="77777777" w:rsidR="00E41310" w:rsidRPr="00FA2D5D" w:rsidRDefault="00E41310"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RZĄD FLAMANDZKI NINIEJSZYM POSTANAWIA, CO NASTĘPUJE:</w:t>
      </w:r>
    </w:p>
    <w:p w14:paraId="6D51F064"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B801440"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B95D90D" w14:textId="09DC5AAC" w:rsidR="00E41310" w:rsidRPr="00FA2D5D" w:rsidRDefault="00E41310" w:rsidP="00D35A1A">
      <w:pPr>
        <w:spacing w:line="276" w:lineRule="auto"/>
        <w:rPr>
          <w:rFonts w:ascii="Verdana" w:hAnsi="Verdana" w:cs="Arial"/>
          <w:spacing w:val="-3"/>
          <w:sz w:val="20"/>
        </w:rPr>
      </w:pPr>
      <w:r>
        <w:rPr>
          <w:rFonts w:ascii="Verdana" w:hAnsi="Verdana"/>
          <w:sz w:val="20"/>
        </w:rPr>
        <w:t>W imieniu rządu flamandzkiego flamandzki Minister Sprawiedliwości i Egzekwowania Przepisów, Środowiska, Energii i Turystyki ma za zadanie przedłożyć parlamentowi flamandzkiemu projekt dekretu w następującym brzmieniu:</w:t>
      </w:r>
    </w:p>
    <w:p w14:paraId="3EB4C707" w14:textId="77777777" w:rsidR="00E41310" w:rsidRPr="00FA2D5D" w:rsidRDefault="00E41310" w:rsidP="00D35A1A">
      <w:pPr>
        <w:spacing w:line="276" w:lineRule="auto"/>
        <w:rPr>
          <w:rFonts w:ascii="Verdana" w:hAnsi="Verdana" w:cs="Arial"/>
          <w:spacing w:val="-3"/>
          <w:sz w:val="20"/>
          <w:lang w:val="nl-BE"/>
        </w:rPr>
      </w:pPr>
    </w:p>
    <w:p w14:paraId="38442266" w14:textId="77777777" w:rsidR="00E41310" w:rsidRPr="00FA2D5D" w:rsidRDefault="00E41310" w:rsidP="00D35A1A">
      <w:pPr>
        <w:spacing w:line="276" w:lineRule="auto"/>
        <w:rPr>
          <w:rFonts w:ascii="Verdana" w:hAnsi="Verdana" w:cs="Arial"/>
          <w:spacing w:val="-3"/>
          <w:sz w:val="20"/>
          <w:lang w:val="nl-BE"/>
        </w:rPr>
      </w:pPr>
    </w:p>
    <w:p w14:paraId="28E86824" w14:textId="546D5B59" w:rsidR="00E41310" w:rsidRPr="00FA2D5D" w:rsidRDefault="00E41310" w:rsidP="00D35A1A">
      <w:pPr>
        <w:spacing w:line="276" w:lineRule="auto"/>
        <w:rPr>
          <w:rFonts w:ascii="Verdana" w:hAnsi="Verdana" w:cs="Arial"/>
          <w:spacing w:val="-3"/>
          <w:sz w:val="20"/>
        </w:rPr>
      </w:pPr>
      <w:r>
        <w:rPr>
          <w:rFonts w:ascii="Verdana" w:hAnsi="Verdana"/>
          <w:b/>
          <w:sz w:val="20"/>
        </w:rPr>
        <w:t>Artykuł 1.</w:t>
      </w:r>
      <w:r>
        <w:rPr>
          <w:rFonts w:ascii="Verdana" w:hAnsi="Verdana"/>
          <w:sz w:val="20"/>
        </w:rPr>
        <w:t xml:space="preserve"> Niniejszy dekret reguluje kwestię regionalną.</w:t>
      </w:r>
    </w:p>
    <w:p w14:paraId="76EFF2AF" w14:textId="77777777" w:rsidR="00E41310" w:rsidRPr="00FA2D5D" w:rsidRDefault="00E41310" w:rsidP="00D35A1A">
      <w:pPr>
        <w:spacing w:line="276" w:lineRule="auto"/>
        <w:rPr>
          <w:rFonts w:ascii="Verdana" w:hAnsi="Verdana" w:cs="Arial"/>
          <w:spacing w:val="-3"/>
          <w:sz w:val="20"/>
          <w:lang w:val="nl-BE"/>
        </w:rPr>
      </w:pPr>
    </w:p>
    <w:p w14:paraId="28B406BE" w14:textId="4F75A5C7" w:rsidR="00432D77" w:rsidRDefault="39511CE1" w:rsidP="00D35A1A">
      <w:pPr>
        <w:spacing w:line="276" w:lineRule="auto"/>
        <w:rPr>
          <w:rFonts w:ascii="Verdana" w:hAnsi="Verdana" w:cs="Arial"/>
          <w:sz w:val="20"/>
        </w:rPr>
      </w:pPr>
      <w:r>
        <w:rPr>
          <w:rFonts w:ascii="Verdana" w:hAnsi="Verdana"/>
          <w:b/>
          <w:sz w:val="20"/>
        </w:rPr>
        <w:t>Artykuł 2.</w:t>
      </w:r>
      <w:r>
        <w:rPr>
          <w:rFonts w:ascii="Verdana" w:hAnsi="Verdana"/>
          <w:sz w:val="20"/>
        </w:rPr>
        <w:t xml:space="preserve"> W art. 1.1.3 dekretu w sprawie energii z dnia 8 maja 2009 r., ostatnio zmienionego dekretem z dnia 23 grudnia 2022 r.,</w:t>
      </w:r>
      <w:r>
        <w:t xml:space="preserve"> </w:t>
      </w:r>
      <w:r>
        <w:rPr>
          <w:rFonts w:ascii="Verdana" w:hAnsi="Verdana"/>
          <w:sz w:val="20"/>
        </w:rPr>
        <w:t>wprowadza się następujące zmiany:</w:t>
      </w:r>
    </w:p>
    <w:p w14:paraId="6FA2984E" w14:textId="77777777" w:rsidR="00432D77" w:rsidRDefault="00432D77" w:rsidP="00D35A1A">
      <w:pPr>
        <w:spacing w:line="276" w:lineRule="auto"/>
        <w:rPr>
          <w:rFonts w:ascii="Verdana" w:hAnsi="Verdana" w:cs="Arial"/>
          <w:sz w:val="20"/>
          <w:lang w:val="nl-BE"/>
        </w:rPr>
      </w:pPr>
    </w:p>
    <w:p w14:paraId="5E502815" w14:textId="77777777" w:rsidR="00FB4167" w:rsidRDefault="00432D77" w:rsidP="003D074F">
      <w:pPr>
        <w:rPr>
          <w:rFonts w:ascii="Verdana" w:hAnsi="Verdana" w:cs="Arial"/>
          <w:sz w:val="20"/>
        </w:rPr>
      </w:pPr>
      <w:r>
        <w:rPr>
          <w:rFonts w:ascii="Verdana" w:hAnsi="Verdana"/>
          <w:sz w:val="20"/>
        </w:rPr>
        <w:t>1. Dodaje się pkt 92/3/1 w brzmieniu:</w:t>
      </w:r>
    </w:p>
    <w:p w14:paraId="6542359B" w14:textId="77777777" w:rsidR="00FB4167" w:rsidRDefault="00FB4167" w:rsidP="003D074F">
      <w:pPr>
        <w:rPr>
          <w:rFonts w:ascii="Verdana" w:hAnsi="Verdana" w:cs="Arial"/>
          <w:sz w:val="20"/>
          <w:lang w:val="nl-BE"/>
        </w:rPr>
      </w:pPr>
    </w:p>
    <w:p w14:paraId="0892141D" w14:textId="441E9B8C" w:rsidR="003D074F" w:rsidRPr="008A4F48" w:rsidRDefault="003D074F" w:rsidP="003D074F">
      <w:pPr>
        <w:rPr>
          <w:rFonts w:ascii="Verdana" w:hAnsi="Verdana"/>
          <w:bCs/>
          <w:sz w:val="20"/>
        </w:rPr>
      </w:pPr>
      <w:r>
        <w:rPr>
          <w:rFonts w:ascii="Verdana" w:hAnsi="Verdana"/>
          <w:sz w:val="20"/>
        </w:rPr>
        <w:t>„92/3/1 Dom awaryjny [noodkoopwoning]: lokal, który jest wykorzystywany jako główne miejsce zamieszkania wyłącznie przez jednego lub więcej nabywców w nagłych wypadkach [noodkoper] i członków ich rodzin mieszkających z nimi, o czym świadczą wpisy do rejestru ludności, który charakteryzuje się problemami strukturalnymi pod względem bezpieczeństwa, zdrowia lub jakości oraz w którym należy wykonać poważne prace:</w:t>
      </w:r>
    </w:p>
    <w:p w14:paraId="671A49B7" w14:textId="6AC1A19B" w:rsidR="003D074F" w:rsidRPr="008A4F48" w:rsidRDefault="003D074F" w:rsidP="003D074F">
      <w:pPr>
        <w:rPr>
          <w:rFonts w:ascii="Verdana" w:hAnsi="Verdana"/>
          <w:bCs/>
          <w:sz w:val="20"/>
        </w:rPr>
      </w:pPr>
      <w:r>
        <w:rPr>
          <w:rFonts w:ascii="Verdana" w:hAnsi="Verdana"/>
          <w:sz w:val="20"/>
        </w:rPr>
        <w:t>a) które mają na celu poprawę charakterystyki energetycznej, w połączeniu z interwencjami w dziedzinie fizyki strukturalnej i budowlanej, oraz zapewnienie, aby nieruchomość spełniała podstawowe wymogi w zakresie bezpieczeństwa, zdrowia i jakości mieszkań ustanowione zgodnie z art. 3.1 flamandzkiego kodeksu mieszkaniowego z 2021 r., oraz</w:t>
      </w:r>
    </w:p>
    <w:p w14:paraId="064AA562" w14:textId="1C7F22FF" w:rsidR="008A4F48" w:rsidRPr="008A4F48" w:rsidRDefault="003D074F" w:rsidP="003D074F">
      <w:pPr>
        <w:spacing w:line="276" w:lineRule="auto"/>
        <w:rPr>
          <w:rFonts w:ascii="Verdana" w:hAnsi="Verdana"/>
          <w:bCs/>
          <w:sz w:val="20"/>
        </w:rPr>
      </w:pPr>
      <w:r>
        <w:rPr>
          <w:rFonts w:ascii="Verdana" w:hAnsi="Verdana"/>
          <w:sz w:val="20"/>
        </w:rPr>
        <w:t>b) których finansowanie przez pożyczkę rynkową spowodowałoby problemy z płatnościami dla właściciela-mieszkańca(-ców), o czym świadczy badanie wypłacalności przeprowadzone przez Publiczny Ośrodek Opieki Społecznej;”;</w:t>
      </w:r>
    </w:p>
    <w:p w14:paraId="2CD66CCB" w14:textId="77777777" w:rsidR="008A4F48" w:rsidRDefault="008A4F48" w:rsidP="003D074F">
      <w:pPr>
        <w:spacing w:line="276" w:lineRule="auto"/>
        <w:rPr>
          <w:bCs/>
          <w:lang w:val="nl-BE"/>
        </w:rPr>
      </w:pPr>
    </w:p>
    <w:p w14:paraId="1587C819" w14:textId="57114D8A" w:rsidR="002101F7" w:rsidRPr="00FA2D5D" w:rsidRDefault="008A4F48" w:rsidP="003D074F">
      <w:pPr>
        <w:spacing w:line="276" w:lineRule="auto"/>
        <w:rPr>
          <w:rFonts w:ascii="Arial" w:eastAsia="Arial" w:hAnsi="Arial" w:cs="Arial"/>
          <w:spacing w:val="-3"/>
          <w:sz w:val="21"/>
          <w:szCs w:val="21"/>
        </w:rPr>
      </w:pPr>
      <w:r>
        <w:rPr>
          <w:rFonts w:ascii="Verdana" w:hAnsi="Verdana"/>
          <w:sz w:val="20"/>
        </w:rPr>
        <w:lastRenderedPageBreak/>
        <w:t>2. W pkt 93.</w:t>
      </w:r>
      <w:r>
        <w:t xml:space="preserve"> </w:t>
      </w:r>
      <w:r>
        <w:rPr>
          <w:rFonts w:ascii="Verdana" w:hAnsi="Verdana"/>
          <w:sz w:val="20"/>
        </w:rPr>
        <w:t>wyrazy „które przyjęły formę prawną spółki handlowej” zastępuje się wyrazami „posiadającymi osobowość prawną”</w:t>
      </w:r>
      <w:r>
        <w:rPr>
          <w:rFonts w:ascii="Arial" w:hAnsi="Arial"/>
          <w:sz w:val="21"/>
        </w:rPr>
        <w:t>.</w:t>
      </w:r>
    </w:p>
    <w:p w14:paraId="29DDB7CF" w14:textId="77777777" w:rsidR="004B745E" w:rsidRPr="00FA2D5D" w:rsidRDefault="004B745E" w:rsidP="00D35A1A">
      <w:pPr>
        <w:spacing w:line="276" w:lineRule="auto"/>
        <w:rPr>
          <w:rFonts w:ascii="Verdana" w:hAnsi="Verdana" w:cs="Arial"/>
          <w:bCs/>
          <w:spacing w:val="-3"/>
          <w:sz w:val="20"/>
          <w:lang w:val="nl-BE"/>
        </w:rPr>
      </w:pPr>
    </w:p>
    <w:p w14:paraId="0CE4C58D" w14:textId="1A0FAE7F" w:rsidR="0052374D" w:rsidRPr="00FA2D5D" w:rsidRDefault="004B745E" w:rsidP="00D35A1A">
      <w:pPr>
        <w:spacing w:line="276" w:lineRule="auto"/>
        <w:rPr>
          <w:rFonts w:ascii="Verdana" w:hAnsi="Verdana" w:cs="Arial"/>
          <w:spacing w:val="-3"/>
          <w:sz w:val="20"/>
        </w:rPr>
      </w:pPr>
      <w:r>
        <w:rPr>
          <w:rFonts w:ascii="Verdana" w:hAnsi="Verdana"/>
          <w:b/>
          <w:sz w:val="20"/>
        </w:rPr>
        <w:t>Artykuł 3.</w:t>
      </w:r>
      <w:r>
        <w:rPr>
          <w:rFonts w:ascii="Verdana" w:hAnsi="Verdana"/>
          <w:sz w:val="20"/>
        </w:rPr>
        <w:t xml:space="preserve"> W art. 4.1.8/1 tego samego dekretu, dodanym dekretem z dnia 14 marca 2014 r. i zmienionym dekretami z dnia 26 kwietnia 2019 r., 30 października 2020 r. i 2 kwietnia 2021 r., wprowadza się następujące zmiany:</w:t>
      </w:r>
    </w:p>
    <w:p w14:paraId="4563EBC2" w14:textId="77777777" w:rsidR="002A3EB7" w:rsidRPr="00FA2D5D" w:rsidRDefault="002A3EB7" w:rsidP="00D35A1A">
      <w:pPr>
        <w:spacing w:line="276" w:lineRule="auto"/>
        <w:rPr>
          <w:rFonts w:ascii="Verdana" w:hAnsi="Verdana" w:cs="Arial"/>
          <w:bCs/>
          <w:spacing w:val="-3"/>
          <w:sz w:val="20"/>
          <w:lang w:val="nl-BE"/>
        </w:rPr>
      </w:pPr>
    </w:p>
    <w:p w14:paraId="46FAD7D9" w14:textId="510CD0F0" w:rsidR="002A3EB7" w:rsidRPr="00FA2D5D" w:rsidRDefault="002A3EB7" w:rsidP="00D35A1A">
      <w:pPr>
        <w:spacing w:line="276" w:lineRule="auto"/>
        <w:rPr>
          <w:rFonts w:ascii="Verdana" w:hAnsi="Verdana" w:cs="Arial"/>
          <w:bCs/>
          <w:spacing w:val="-3"/>
          <w:sz w:val="20"/>
        </w:rPr>
      </w:pPr>
      <w:r>
        <w:rPr>
          <w:rFonts w:ascii="Verdana" w:hAnsi="Verdana"/>
          <w:sz w:val="20"/>
        </w:rPr>
        <w:t>1. W ust. 2 po wyrażeniu „spółka prowadząca działalność” dodaje się wyrażenie „najpóźniej do dnia 31 grudnia 2024 r.”;</w:t>
      </w:r>
    </w:p>
    <w:p w14:paraId="4294DCC3" w14:textId="77777777" w:rsidR="0031070A" w:rsidRPr="00FA2D5D" w:rsidRDefault="0031070A" w:rsidP="00D35A1A">
      <w:pPr>
        <w:spacing w:line="276" w:lineRule="auto"/>
        <w:rPr>
          <w:rFonts w:ascii="Verdana" w:hAnsi="Verdana" w:cs="Arial"/>
          <w:bCs/>
          <w:spacing w:val="-3"/>
          <w:sz w:val="20"/>
          <w:lang w:val="nl-BE"/>
        </w:rPr>
      </w:pPr>
    </w:p>
    <w:p w14:paraId="09A4882C" w14:textId="3DA01114" w:rsidR="0031070A" w:rsidRPr="00FA2D5D" w:rsidRDefault="0031070A" w:rsidP="00D35A1A">
      <w:pPr>
        <w:spacing w:line="276" w:lineRule="auto"/>
        <w:rPr>
          <w:rFonts w:ascii="Verdana" w:hAnsi="Verdana" w:cs="Arial"/>
          <w:bCs/>
          <w:spacing w:val="-3"/>
          <w:sz w:val="20"/>
        </w:rPr>
      </w:pPr>
      <w:r>
        <w:rPr>
          <w:rFonts w:ascii="Verdana" w:hAnsi="Verdana"/>
          <w:sz w:val="20"/>
        </w:rPr>
        <w:t>2. W ust. 2 dodaje się zdanie w brzmieniu:</w:t>
      </w:r>
    </w:p>
    <w:p w14:paraId="444BDB6D" w14:textId="77777777" w:rsidR="0031070A" w:rsidRPr="00FA2D5D" w:rsidRDefault="0031070A" w:rsidP="00D35A1A">
      <w:pPr>
        <w:spacing w:line="276" w:lineRule="auto"/>
        <w:rPr>
          <w:rFonts w:ascii="Verdana" w:hAnsi="Verdana" w:cs="Arial"/>
          <w:bCs/>
          <w:spacing w:val="-3"/>
          <w:sz w:val="20"/>
          <w:lang w:val="nl-BE"/>
        </w:rPr>
      </w:pPr>
    </w:p>
    <w:p w14:paraId="4D74316E" w14:textId="73B8593B" w:rsidR="0031070A" w:rsidRPr="00FA2D5D" w:rsidRDefault="0031070A" w:rsidP="00D35A1A">
      <w:pPr>
        <w:spacing w:line="276" w:lineRule="auto"/>
        <w:rPr>
          <w:rFonts w:ascii="Verdana" w:hAnsi="Verdana" w:cs="Arial"/>
          <w:bCs/>
          <w:spacing w:val="-3"/>
          <w:sz w:val="20"/>
        </w:rPr>
      </w:pPr>
      <w:r>
        <w:rPr>
          <w:rFonts w:ascii="Verdana" w:hAnsi="Verdana"/>
          <w:sz w:val="20"/>
        </w:rPr>
        <w:t>„Operator sieci lub jego przedsiębiorstwo operacyjne może kontynuować świadczenie wyżej wymienionych usług rozpoczętych przed dniem 31 grudnia 2024 r. najpóźniej do dnia 31 grudnia 2027 r.”;</w:t>
      </w:r>
    </w:p>
    <w:p w14:paraId="4A25C348" w14:textId="77777777" w:rsidR="002A3EB7" w:rsidRPr="00FA2D5D" w:rsidRDefault="002A3EB7" w:rsidP="00D35A1A">
      <w:pPr>
        <w:spacing w:line="276" w:lineRule="auto"/>
        <w:rPr>
          <w:rFonts w:ascii="Verdana" w:hAnsi="Verdana" w:cs="Arial"/>
          <w:bCs/>
          <w:spacing w:val="-3"/>
          <w:sz w:val="20"/>
          <w:lang w:val="nl-BE"/>
        </w:rPr>
      </w:pPr>
    </w:p>
    <w:p w14:paraId="09480971" w14:textId="11D2B552" w:rsidR="002A3EB7" w:rsidRPr="00FA2D5D" w:rsidRDefault="007D6B9B" w:rsidP="00D35A1A">
      <w:pPr>
        <w:spacing w:line="276" w:lineRule="auto"/>
        <w:rPr>
          <w:rFonts w:ascii="Verdana" w:hAnsi="Verdana" w:cs="Arial"/>
          <w:bCs/>
          <w:spacing w:val="-3"/>
          <w:sz w:val="20"/>
        </w:rPr>
      </w:pPr>
      <w:r>
        <w:rPr>
          <w:rFonts w:ascii="Verdana" w:hAnsi="Verdana"/>
          <w:sz w:val="20"/>
        </w:rPr>
        <w:t>3. Skreśla się ust. 3;</w:t>
      </w:r>
    </w:p>
    <w:p w14:paraId="28C3FD0E" w14:textId="77777777" w:rsidR="0052374D" w:rsidRPr="00FA2D5D" w:rsidRDefault="0052374D" w:rsidP="00D35A1A">
      <w:pPr>
        <w:spacing w:line="276" w:lineRule="auto"/>
        <w:rPr>
          <w:rFonts w:ascii="Verdana" w:hAnsi="Verdana" w:cs="Arial"/>
          <w:b/>
          <w:spacing w:val="-3"/>
          <w:sz w:val="20"/>
          <w:lang w:val="nl-BE"/>
        </w:rPr>
      </w:pPr>
    </w:p>
    <w:p w14:paraId="7AC6FA40" w14:textId="77777777" w:rsidR="003B5D18" w:rsidRPr="0068475E" w:rsidRDefault="003B5D18" w:rsidP="003B5D18">
      <w:pPr>
        <w:spacing w:line="276" w:lineRule="auto"/>
        <w:jc w:val="both"/>
        <w:rPr>
          <w:rFonts w:ascii="Verdana" w:hAnsi="Verdana" w:cs="Arial"/>
          <w:bCs/>
          <w:spacing w:val="-3"/>
          <w:sz w:val="20"/>
        </w:rPr>
      </w:pPr>
      <w:r>
        <w:rPr>
          <w:rFonts w:ascii="Verdana" w:hAnsi="Verdana"/>
          <w:b/>
          <w:sz w:val="20"/>
        </w:rPr>
        <w:t>Artykuł 4.</w:t>
      </w:r>
      <w:r>
        <w:rPr>
          <w:rFonts w:ascii="Verdana" w:hAnsi="Verdana"/>
          <w:sz w:val="20"/>
        </w:rPr>
        <w:t xml:space="preserve"> W art. 4.1.8/6 tego samego dekretu, dodanym dekretem z dnia 2 kwietnia 2021 r., wprowadza się następujące zmiany:</w:t>
      </w:r>
    </w:p>
    <w:p w14:paraId="3E7B6375" w14:textId="77777777" w:rsidR="003B5D18" w:rsidRPr="0068475E" w:rsidRDefault="003B5D18" w:rsidP="003B5D18">
      <w:pPr>
        <w:spacing w:line="276" w:lineRule="auto"/>
        <w:jc w:val="both"/>
        <w:rPr>
          <w:rFonts w:ascii="Verdana" w:hAnsi="Verdana" w:cs="Arial"/>
          <w:bCs/>
          <w:spacing w:val="-3"/>
          <w:sz w:val="20"/>
          <w:lang w:val="nl-BE"/>
        </w:rPr>
      </w:pPr>
    </w:p>
    <w:p w14:paraId="1EA3633C"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rPr>
        <w:t xml:space="preserve">1. W ust. 1 wyrażenie „i ich spółka operacyjna może prowadzić działalność inną niż </w:t>
      </w:r>
      <w:r>
        <w:rPr>
          <w:rFonts w:ascii="Verdana" w:hAnsi="Verdana"/>
          <w:sz w:val="20"/>
          <w:shd w:val="clear" w:color="auto" w:fill="FFFFFF"/>
        </w:rPr>
        <w:t>zarządzanie danymi oraz działalność określoną w dziale IV, rozdział I, część III, podsekcja I, część IV, część V/1 podsekcja III, część VII i część VIII” zastępuje się wyrażeniem „prowadzenie działalności określonej w”;</w:t>
      </w:r>
    </w:p>
    <w:p w14:paraId="7D22C591" w14:textId="77777777" w:rsidR="003B5D18" w:rsidRPr="0068475E" w:rsidRDefault="003B5D18" w:rsidP="003B5D18">
      <w:pPr>
        <w:spacing w:line="276" w:lineRule="auto"/>
        <w:jc w:val="both"/>
        <w:rPr>
          <w:rFonts w:ascii="Verdana" w:hAnsi="Verdana" w:cs="Arial"/>
          <w:sz w:val="20"/>
          <w:shd w:val="clear" w:color="auto" w:fill="FFFFFF"/>
          <w:lang w:val="nl-BE"/>
        </w:rPr>
      </w:pPr>
    </w:p>
    <w:p w14:paraId="3A024489"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2. W ust. 1 skreśla się zwrot „</w:t>
      </w:r>
      <w:r>
        <w:rPr>
          <w:rFonts w:ascii="Verdana" w:hAnsi="Verdana"/>
          <w:color w:val="000000"/>
          <w:sz w:val="20"/>
        </w:rPr>
        <w:t>jeżeli działania te są niezbędne do wypełnienia wyżej wymienionych obowiązków oraz obowiązków wynikających z rozporządzenia (UE) 2019/943, a także jeżeli VREG oceniła potrzebę takiego odstępstwa”;</w:t>
      </w:r>
    </w:p>
    <w:p w14:paraId="040C152A" w14:textId="77777777" w:rsidR="003B5D18" w:rsidRPr="0068475E" w:rsidRDefault="003B5D18" w:rsidP="003B5D18">
      <w:pPr>
        <w:spacing w:line="276" w:lineRule="auto"/>
        <w:jc w:val="both"/>
        <w:rPr>
          <w:rFonts w:ascii="Verdana" w:hAnsi="Verdana" w:cs="Arial"/>
          <w:sz w:val="20"/>
          <w:shd w:val="clear" w:color="auto" w:fill="FFFFFF"/>
          <w:lang w:val="nl-BE"/>
        </w:rPr>
      </w:pPr>
    </w:p>
    <w:p w14:paraId="5E94941E"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3. Między ust. 1 i 2 dodaje się ustęp w brzmieniu:</w:t>
      </w:r>
    </w:p>
    <w:p w14:paraId="05033505"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w:t>
      </w:r>
      <w:r>
        <w:rPr>
          <w:rFonts w:ascii="Verdana" w:hAnsi="Verdana"/>
          <w:color w:val="000000"/>
          <w:sz w:val="20"/>
        </w:rPr>
        <w:t>Operatorzy systemów dystrybucyjnych i operator lokalnej sieci przesyłowej energii elektrycznej mogą prowadzić działania inne niż określone w ust. 1, jeżeli działania te są niezbędne do wypełnienia wyżej wymienionych obowiązków oraz obowiązków wynikających z rozporządzenia (UE) 2019/943, a także jeżeli VREG oceniła potrzebę takiego odstępstwa.</w:t>
      </w:r>
      <w:r>
        <w:rPr>
          <w:rFonts w:ascii="Verdana" w:hAnsi="Verdana"/>
          <w:sz w:val="20"/>
          <w:shd w:val="clear" w:color="auto" w:fill="FFFFFF"/>
        </w:rPr>
        <w:t>”;</w:t>
      </w:r>
    </w:p>
    <w:p w14:paraId="6715A66E" w14:textId="77777777" w:rsidR="003B5D18" w:rsidRPr="0068475E" w:rsidRDefault="003B5D18" w:rsidP="003B5D18">
      <w:pPr>
        <w:spacing w:line="276" w:lineRule="auto"/>
        <w:jc w:val="both"/>
        <w:rPr>
          <w:rFonts w:ascii="Verdana" w:hAnsi="Verdana" w:cs="Arial"/>
          <w:sz w:val="20"/>
          <w:shd w:val="clear" w:color="auto" w:fill="FFFFFF"/>
          <w:lang w:val="nl-BE"/>
        </w:rPr>
      </w:pPr>
    </w:p>
    <w:p w14:paraId="449EAAD8" w14:textId="0877E384"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 xml:space="preserve">4. W ust. 2, który staje się ust. 3, wyrażenie „, </w:t>
      </w:r>
      <w:r>
        <w:rPr>
          <w:rFonts w:ascii="Verdana" w:hAnsi="Verdana"/>
          <w:color w:val="000000"/>
          <w:sz w:val="20"/>
        </w:rPr>
        <w:t>operator lokalnej sieci przesyłowej energii elektrycznej i ich przedsiębiorstwo operacyjne</w:t>
      </w:r>
      <w:r>
        <w:rPr>
          <w:rFonts w:ascii="Verdana" w:hAnsi="Verdana"/>
          <w:sz w:val="20"/>
          <w:shd w:val="clear" w:color="auto" w:fill="FFFFFF"/>
        </w:rPr>
        <w:t xml:space="preserve">” zastępuje się wyrażeniem „i </w:t>
      </w:r>
      <w:r>
        <w:rPr>
          <w:rFonts w:ascii="Verdana" w:hAnsi="Verdana"/>
          <w:color w:val="000000"/>
          <w:sz w:val="20"/>
        </w:rPr>
        <w:t>operator lokalnej sieci przesyłowej energii elektrycznej”</w:t>
      </w:r>
      <w:r>
        <w:rPr>
          <w:rFonts w:ascii="Verdana" w:hAnsi="Verdana"/>
          <w:sz w:val="20"/>
          <w:shd w:val="clear" w:color="auto" w:fill="FFFFFF"/>
        </w:rPr>
        <w:t>;</w:t>
      </w:r>
    </w:p>
    <w:p w14:paraId="160CF4FE" w14:textId="77777777" w:rsidR="003B5D18" w:rsidRPr="0068475E" w:rsidRDefault="003B5D18" w:rsidP="003B5D18">
      <w:pPr>
        <w:spacing w:line="276" w:lineRule="auto"/>
        <w:jc w:val="both"/>
        <w:rPr>
          <w:rFonts w:ascii="Verdana" w:hAnsi="Verdana" w:cs="Arial"/>
          <w:sz w:val="20"/>
          <w:shd w:val="clear" w:color="auto" w:fill="FFFFFF"/>
          <w:lang w:val="nl-BE"/>
        </w:rPr>
      </w:pPr>
    </w:p>
    <w:p w14:paraId="0A1F638F"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5. W ust. 2, który staje się ust. 3, wyrazy „ust. 1” zastępuje się w każdym przypadku wyrazami „ust. 2”;</w:t>
      </w:r>
    </w:p>
    <w:p w14:paraId="713B09A9" w14:textId="77777777" w:rsidR="003B5D18" w:rsidRPr="0068475E" w:rsidRDefault="003B5D18" w:rsidP="003B5D18">
      <w:pPr>
        <w:spacing w:line="276" w:lineRule="auto"/>
        <w:jc w:val="both"/>
        <w:rPr>
          <w:rFonts w:ascii="Verdana" w:hAnsi="Verdana" w:cs="Arial"/>
          <w:sz w:val="20"/>
          <w:shd w:val="clear" w:color="auto" w:fill="FFFFFF"/>
          <w:lang w:val="nl-BE"/>
        </w:rPr>
      </w:pPr>
    </w:p>
    <w:p w14:paraId="00EE98C0"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6. W ust. 3, który staje się ust. 4, skreśla się wyrazy „i w art. 4.1.5”.</w:t>
      </w:r>
    </w:p>
    <w:p w14:paraId="77070FDA" w14:textId="77777777" w:rsidR="00A018BD" w:rsidRDefault="00A018BD" w:rsidP="00D35A1A">
      <w:pPr>
        <w:spacing w:line="276" w:lineRule="auto"/>
        <w:rPr>
          <w:rFonts w:ascii="Verdana" w:hAnsi="Verdana" w:cs="Arial"/>
          <w:sz w:val="20"/>
          <w:shd w:val="clear" w:color="auto" w:fill="FFFFFF"/>
          <w:lang w:val="nl-BE"/>
        </w:rPr>
      </w:pPr>
    </w:p>
    <w:p w14:paraId="1A8AC024" w14:textId="2798BEB2" w:rsidR="00A018BD" w:rsidRPr="00A018BD" w:rsidRDefault="00A018BD" w:rsidP="00D35A1A">
      <w:pPr>
        <w:spacing w:line="276" w:lineRule="auto"/>
        <w:rPr>
          <w:rFonts w:ascii="Verdana" w:hAnsi="Verdana" w:cs="Arial"/>
          <w:spacing w:val="-3"/>
          <w:sz w:val="20"/>
        </w:rPr>
      </w:pPr>
      <w:r>
        <w:rPr>
          <w:rFonts w:ascii="Verdana" w:hAnsi="Verdana"/>
          <w:b/>
          <w:sz w:val="20"/>
          <w:shd w:val="clear" w:color="auto" w:fill="FFFFFF"/>
        </w:rPr>
        <w:t>Artykuł 5.</w:t>
      </w:r>
      <w:r>
        <w:rPr>
          <w:rFonts w:ascii="Verdana" w:hAnsi="Verdana"/>
          <w:sz w:val="20"/>
          <w:shd w:val="clear" w:color="auto" w:fill="FFFFFF"/>
        </w:rPr>
        <w:t xml:space="preserve"> W art. 4.1.11/7 tego samego dekretu, dodanym dekretem z dnia 23 grudnia 2022 r., skreśla się wyrazy „złożenie oferty lub”.</w:t>
      </w:r>
    </w:p>
    <w:p w14:paraId="5F76CBE8" w14:textId="77777777" w:rsidR="00E41310" w:rsidRPr="00FA2D5D" w:rsidRDefault="00E41310" w:rsidP="00D35A1A">
      <w:pPr>
        <w:spacing w:line="276" w:lineRule="auto"/>
        <w:rPr>
          <w:rFonts w:ascii="Verdana" w:hAnsi="Verdana" w:cs="Arial"/>
          <w:spacing w:val="-3"/>
          <w:sz w:val="20"/>
          <w:lang w:val="nl-BE"/>
        </w:rPr>
      </w:pPr>
    </w:p>
    <w:p w14:paraId="6B795F84" w14:textId="6F65A020" w:rsidR="00E41310" w:rsidRPr="00FA2D5D" w:rsidRDefault="00E41310" w:rsidP="00D35A1A">
      <w:pPr>
        <w:spacing w:line="276" w:lineRule="auto"/>
        <w:rPr>
          <w:rFonts w:ascii="Verdana" w:hAnsi="Verdana" w:cs="Arial"/>
          <w:spacing w:val="-3"/>
          <w:sz w:val="20"/>
        </w:rPr>
      </w:pPr>
      <w:r>
        <w:rPr>
          <w:rFonts w:ascii="Verdana" w:hAnsi="Verdana"/>
          <w:b/>
          <w:sz w:val="20"/>
        </w:rPr>
        <w:t>Artykuł 6.</w:t>
      </w:r>
      <w:r>
        <w:rPr>
          <w:rFonts w:ascii="Verdana" w:hAnsi="Verdana"/>
          <w:sz w:val="20"/>
        </w:rPr>
        <w:t xml:space="preserve"> Skreśla się art. 4.1.13 tego samego dekretu, zmieniony dekretem z dnia 18 marca 2022 r.</w:t>
      </w:r>
    </w:p>
    <w:p w14:paraId="0A67C3EF" w14:textId="77777777" w:rsidR="00C6175D" w:rsidRPr="00FA2D5D" w:rsidRDefault="00C6175D" w:rsidP="00D35A1A">
      <w:pPr>
        <w:spacing w:line="276" w:lineRule="auto"/>
        <w:rPr>
          <w:rFonts w:ascii="Verdana" w:hAnsi="Verdana" w:cs="Arial"/>
          <w:spacing w:val="-3"/>
          <w:sz w:val="20"/>
          <w:lang w:val="nl-BE"/>
        </w:rPr>
      </w:pPr>
    </w:p>
    <w:p w14:paraId="0B0502B6" w14:textId="28BCEDDA" w:rsidR="00C6175D" w:rsidRPr="00FA2D5D" w:rsidRDefault="00C6175D" w:rsidP="00D35A1A">
      <w:pPr>
        <w:spacing w:line="276" w:lineRule="auto"/>
        <w:rPr>
          <w:rFonts w:ascii="Verdana" w:hAnsi="Verdana" w:cs="Arial"/>
          <w:bCs/>
          <w:spacing w:val="-3"/>
          <w:sz w:val="20"/>
        </w:rPr>
      </w:pPr>
      <w:r>
        <w:rPr>
          <w:rFonts w:ascii="Verdana" w:hAnsi="Verdana"/>
          <w:b/>
          <w:sz w:val="20"/>
        </w:rPr>
        <w:t>Artykuł 7.</w:t>
      </w:r>
      <w:r>
        <w:rPr>
          <w:rFonts w:ascii="Verdana" w:hAnsi="Verdana"/>
          <w:sz w:val="20"/>
        </w:rPr>
        <w:t xml:space="preserve"> W art. 4.1.16 ust. 1 tego samego dekretu, zastąpionym dekretem z dnia 10 marca 2017 r. i zmienionym dekretem z dnia 18 marca 2022 r., wyrażenie „Bez uszczerbku dla art. 4.1.13 w odniesieniu do rozbudowy sieci lub wzmocnienia sieci w celu podłączenia jednostki mieszkalnej lub budynku” zastępuje się wyrażeniem „W przypadku rozbudowy sieci lub wzmocnienia sieci w celu podłączenia jednostki mieszkalnej lub budynku”.</w:t>
      </w:r>
    </w:p>
    <w:p w14:paraId="099885BD" w14:textId="77777777" w:rsidR="003824B7" w:rsidRPr="00FA2D5D" w:rsidRDefault="003824B7" w:rsidP="00D35A1A">
      <w:pPr>
        <w:spacing w:line="276" w:lineRule="auto"/>
        <w:rPr>
          <w:rFonts w:ascii="Verdana" w:hAnsi="Verdana" w:cs="Arial"/>
          <w:b/>
          <w:spacing w:val="-3"/>
          <w:sz w:val="20"/>
          <w:lang w:val="nl-BE"/>
        </w:rPr>
      </w:pPr>
    </w:p>
    <w:p w14:paraId="6F91F714" w14:textId="72FD9258" w:rsidR="003824B7" w:rsidRPr="00FA2D5D" w:rsidRDefault="003824B7" w:rsidP="00D35A1A">
      <w:pPr>
        <w:spacing w:line="276" w:lineRule="auto"/>
        <w:rPr>
          <w:rFonts w:ascii="Verdana" w:hAnsi="Verdana" w:cs="Arial"/>
          <w:bCs/>
          <w:spacing w:val="-3"/>
          <w:sz w:val="20"/>
        </w:rPr>
      </w:pPr>
      <w:r>
        <w:rPr>
          <w:rFonts w:ascii="Verdana" w:hAnsi="Verdana"/>
          <w:b/>
          <w:sz w:val="20"/>
        </w:rPr>
        <w:t>Artykuł 8.</w:t>
      </w:r>
      <w:r>
        <w:rPr>
          <w:rFonts w:ascii="Verdana" w:hAnsi="Verdana"/>
          <w:sz w:val="20"/>
        </w:rPr>
        <w:t xml:space="preserve"> W art. 4.1.16/1 ust. 1 tego samego dekretu, dodanym dekretem z dnia 30 października 2020 r., skreśla się wyrażenie „art. 4.1.13”.</w:t>
      </w:r>
    </w:p>
    <w:p w14:paraId="46B35BF2" w14:textId="77777777" w:rsidR="003824B7" w:rsidRPr="00FA2D5D" w:rsidRDefault="003824B7" w:rsidP="00D35A1A">
      <w:pPr>
        <w:spacing w:line="276" w:lineRule="auto"/>
        <w:rPr>
          <w:rFonts w:ascii="Verdana" w:hAnsi="Verdana" w:cs="Arial"/>
          <w:b/>
          <w:spacing w:val="-3"/>
          <w:sz w:val="20"/>
          <w:lang w:val="nl-BE"/>
        </w:rPr>
      </w:pPr>
    </w:p>
    <w:p w14:paraId="18E63310" w14:textId="04E4251F" w:rsidR="003824B7" w:rsidRPr="00FA2D5D" w:rsidRDefault="003824B7" w:rsidP="00D35A1A">
      <w:pPr>
        <w:spacing w:line="276" w:lineRule="auto"/>
        <w:rPr>
          <w:rFonts w:ascii="Verdana" w:hAnsi="Verdana" w:cs="Arial"/>
          <w:bCs/>
          <w:spacing w:val="-3"/>
          <w:sz w:val="20"/>
        </w:rPr>
      </w:pPr>
      <w:r>
        <w:rPr>
          <w:rFonts w:ascii="Verdana" w:hAnsi="Verdana"/>
          <w:b/>
          <w:sz w:val="20"/>
        </w:rPr>
        <w:t>Artykuł 9.</w:t>
      </w:r>
      <w:r>
        <w:rPr>
          <w:rFonts w:ascii="Verdana" w:hAnsi="Verdana"/>
          <w:sz w:val="20"/>
        </w:rPr>
        <w:t xml:space="preserve"> W art. 4.1.16/2 tego samego dekretu, dodanym dekretem z dnia 18 marca 2022 r. i zmienionym dekretem z dnia 17 czerwca 2022 r., skreśla się wyrażenie „4.1.13”.</w:t>
      </w:r>
    </w:p>
    <w:p w14:paraId="7BAAF36E" w14:textId="77777777" w:rsidR="003E15DA" w:rsidRPr="00FA2D5D" w:rsidRDefault="003E15DA" w:rsidP="00D35A1A">
      <w:pPr>
        <w:spacing w:line="276" w:lineRule="auto"/>
        <w:rPr>
          <w:rFonts w:ascii="Verdana" w:hAnsi="Verdana" w:cs="Arial"/>
          <w:bCs/>
          <w:spacing w:val="-3"/>
          <w:sz w:val="20"/>
          <w:lang w:val="nl-BE"/>
        </w:rPr>
      </w:pPr>
    </w:p>
    <w:p w14:paraId="6E6F8F6B" w14:textId="3F70C026" w:rsidR="003E15DA" w:rsidRPr="00FA2D5D" w:rsidRDefault="003E15DA" w:rsidP="00D35A1A">
      <w:pPr>
        <w:spacing w:line="276" w:lineRule="auto"/>
        <w:rPr>
          <w:rFonts w:ascii="Verdana" w:hAnsi="Verdana" w:cs="Arial"/>
          <w:bCs/>
          <w:spacing w:val="-3"/>
          <w:sz w:val="20"/>
        </w:rPr>
      </w:pPr>
      <w:r>
        <w:rPr>
          <w:rFonts w:ascii="Verdana" w:hAnsi="Verdana"/>
          <w:b/>
          <w:sz w:val="20"/>
        </w:rPr>
        <w:t>Artykuł 10.</w:t>
      </w:r>
      <w:r>
        <w:rPr>
          <w:rFonts w:ascii="Verdana" w:hAnsi="Verdana"/>
          <w:sz w:val="20"/>
        </w:rPr>
        <w:t xml:space="preserve"> W art. 4.1.18/2 tego samego dekretu, dodanym dekretem z dnia 24 lutego 2017 r., wprowadza się następujące zmiany:</w:t>
      </w:r>
    </w:p>
    <w:p w14:paraId="07A104EB" w14:textId="77777777" w:rsidR="00313769" w:rsidRPr="00FA2D5D" w:rsidRDefault="00313769" w:rsidP="00D35A1A">
      <w:pPr>
        <w:spacing w:line="276" w:lineRule="auto"/>
        <w:rPr>
          <w:rFonts w:ascii="Verdana" w:hAnsi="Verdana" w:cs="Arial"/>
          <w:bCs/>
          <w:spacing w:val="-3"/>
          <w:sz w:val="20"/>
          <w:lang w:val="nl-BE"/>
        </w:rPr>
      </w:pPr>
    </w:p>
    <w:p w14:paraId="70D42676" w14:textId="643D6696" w:rsidR="00313769" w:rsidRPr="00FA2D5D" w:rsidRDefault="00313769" w:rsidP="00D35A1A">
      <w:pPr>
        <w:spacing w:line="276" w:lineRule="auto"/>
        <w:rPr>
          <w:rFonts w:ascii="Verdana" w:hAnsi="Verdana" w:cs="Arial"/>
          <w:bCs/>
          <w:spacing w:val="-3"/>
          <w:sz w:val="20"/>
        </w:rPr>
      </w:pPr>
      <w:r>
        <w:rPr>
          <w:rFonts w:ascii="Verdana" w:hAnsi="Verdana"/>
          <w:sz w:val="20"/>
        </w:rPr>
        <w:t>1. Między wyrazami „systemy energii odnawialnej” a wyrazem „miesiąc” dodaje się wyrazy „oraz instalatory instalacji magazynowych energii elektrycznej”;</w:t>
      </w:r>
    </w:p>
    <w:p w14:paraId="58884170" w14:textId="77777777" w:rsidR="008E5D15" w:rsidRPr="00FA2D5D" w:rsidRDefault="008E5D15" w:rsidP="00D35A1A">
      <w:pPr>
        <w:spacing w:line="276" w:lineRule="auto"/>
        <w:rPr>
          <w:rFonts w:ascii="Verdana" w:hAnsi="Verdana" w:cs="Arial"/>
          <w:bCs/>
          <w:spacing w:val="-3"/>
          <w:sz w:val="20"/>
          <w:lang w:val="nl-BE"/>
        </w:rPr>
      </w:pPr>
    </w:p>
    <w:p w14:paraId="755ECA69" w14:textId="48903825" w:rsidR="008E5D15" w:rsidRPr="00FA2D5D" w:rsidRDefault="008E5D15" w:rsidP="00D35A1A">
      <w:pPr>
        <w:spacing w:line="276" w:lineRule="auto"/>
        <w:rPr>
          <w:rFonts w:ascii="Verdana" w:hAnsi="Verdana" w:cs="Arial"/>
          <w:bCs/>
          <w:spacing w:val="-3"/>
          <w:sz w:val="20"/>
        </w:rPr>
      </w:pPr>
      <w:r>
        <w:rPr>
          <w:rFonts w:ascii="Verdana" w:hAnsi="Verdana"/>
          <w:sz w:val="20"/>
        </w:rPr>
        <w:t>2. Między wyrazami „zainstalowane przez nie” a wyrazami „produkcja energii elektrycznej” dodaje się wyrazy „oraz instalacje magazynowe energii elektrycznej”.</w:t>
      </w:r>
    </w:p>
    <w:p w14:paraId="678BD6FD" w14:textId="77777777" w:rsidR="00776947" w:rsidRPr="00FA2D5D" w:rsidRDefault="00776947" w:rsidP="00D35A1A">
      <w:pPr>
        <w:spacing w:line="276" w:lineRule="auto"/>
        <w:rPr>
          <w:rFonts w:ascii="Verdana" w:hAnsi="Verdana" w:cs="Arial"/>
          <w:bCs/>
          <w:spacing w:val="-3"/>
          <w:sz w:val="20"/>
          <w:lang w:val="nl-BE"/>
        </w:rPr>
      </w:pPr>
    </w:p>
    <w:p w14:paraId="4CC9946D" w14:textId="638839E2" w:rsidR="004176FD" w:rsidRPr="00FA2D5D" w:rsidRDefault="00776947" w:rsidP="00D35A1A">
      <w:pPr>
        <w:spacing w:line="276" w:lineRule="auto"/>
        <w:jc w:val="both"/>
        <w:rPr>
          <w:rFonts w:ascii="Verdana" w:hAnsi="Verdana" w:cs="Arial"/>
          <w:bCs/>
          <w:iCs/>
          <w:sz w:val="20"/>
        </w:rPr>
      </w:pPr>
      <w:r>
        <w:rPr>
          <w:rFonts w:ascii="Verdana" w:hAnsi="Verdana"/>
          <w:b/>
          <w:sz w:val="20"/>
        </w:rPr>
        <w:t xml:space="preserve">Artykuł 11. </w:t>
      </w:r>
      <w:r>
        <w:rPr>
          <w:rFonts w:ascii="Verdana" w:hAnsi="Verdana"/>
          <w:sz w:val="20"/>
        </w:rPr>
        <w:t xml:space="preserve">W tym samym dekrecie, ostatnio zmienionym dekretem z dnia 23 grudnia 2022 r., dodaje się art. 4.1.22/11/1 w brzmieniu: </w:t>
      </w:r>
    </w:p>
    <w:p w14:paraId="6C4FF66E" w14:textId="77777777" w:rsidR="004176FD" w:rsidRPr="00FA2D5D" w:rsidRDefault="004176FD" w:rsidP="00D35A1A">
      <w:pPr>
        <w:spacing w:line="276" w:lineRule="auto"/>
        <w:jc w:val="both"/>
        <w:rPr>
          <w:rFonts w:ascii="Verdana" w:hAnsi="Verdana" w:cs="Arial"/>
          <w:sz w:val="20"/>
          <w:lang w:val="nl-BE"/>
        </w:rPr>
      </w:pPr>
    </w:p>
    <w:p w14:paraId="52ADDC2F" w14:textId="3B98DAF8" w:rsidR="004176FD" w:rsidRPr="00FA2D5D" w:rsidRDefault="004176FD" w:rsidP="333511A9">
      <w:pPr>
        <w:spacing w:line="276" w:lineRule="auto"/>
        <w:jc w:val="both"/>
        <w:rPr>
          <w:rFonts w:ascii="Verdana" w:hAnsi="Verdana" w:cs="Arial"/>
          <w:sz w:val="20"/>
        </w:rPr>
      </w:pPr>
      <w:r>
        <w:rPr>
          <w:rFonts w:ascii="Verdana" w:hAnsi="Verdana"/>
          <w:sz w:val="20"/>
        </w:rPr>
        <w:t>„Artykuł 4.1.22/11/1. Zgodnie z art. 4.1.22/11 niniejszego dekretu operator systemu udziela Publicznym Ośrodkom Opieki Społecznej dostępu do danych technicznych, danych relacyjnych i danych pomiarowych klientów w następujących przypadkach w celu realizacji zadań nałożonych na Publiczne Ośrodki Opieki Społecznej na mocy niniejszego dekretu lub ustawy organicznej z dnia 8 lipca 1976 r. o Publicznych Ośrodkach Opieki Społecznej lub na ich podstawie:</w:t>
      </w:r>
    </w:p>
    <w:p w14:paraId="096DA8DA" w14:textId="31EBB6A7" w:rsidR="00C1152F" w:rsidRPr="00C72424" w:rsidRDefault="004176FD" w:rsidP="00C1152F">
      <w:pPr>
        <w:spacing w:line="276" w:lineRule="auto"/>
        <w:ind w:left="709" w:hanging="709"/>
        <w:rPr>
          <w:rFonts w:ascii="Verdana" w:hAnsi="Verdana" w:cs="Arial"/>
          <w:sz w:val="20"/>
        </w:rPr>
      </w:pPr>
      <w:r>
        <w:rPr>
          <w:rFonts w:ascii="Verdana" w:hAnsi="Verdana"/>
          <w:sz w:val="20"/>
        </w:rPr>
        <w:t>1.</w:t>
      </w:r>
      <w:r>
        <w:rPr>
          <w:rFonts w:ascii="Verdana" w:hAnsi="Verdana"/>
          <w:sz w:val="20"/>
        </w:rPr>
        <w:tab/>
        <w:t>Odbiorca nie doładowuje przedpłaconego cyfrowego licznika gazu ziemnego przez miesiąc i jest narażony na brak dostaw gazu ziemnego w ciągu 10 dni w okresie od listopada do marca;</w:t>
      </w:r>
    </w:p>
    <w:p w14:paraId="532EC4A4" w14:textId="527FE4F5" w:rsidR="004176FD" w:rsidRPr="00C72424" w:rsidRDefault="004176FD" w:rsidP="00C1152F">
      <w:pPr>
        <w:spacing w:line="276" w:lineRule="auto"/>
        <w:ind w:left="709" w:hanging="709"/>
        <w:rPr>
          <w:rFonts w:ascii="Verdana" w:hAnsi="Verdana" w:cs="Arial"/>
          <w:sz w:val="20"/>
        </w:rPr>
      </w:pPr>
      <w:r>
        <w:rPr>
          <w:rFonts w:ascii="Verdana" w:hAnsi="Verdana"/>
          <w:sz w:val="20"/>
        </w:rPr>
        <w:t>2.</w:t>
      </w:r>
      <w:r>
        <w:rPr>
          <w:rFonts w:ascii="Verdana" w:hAnsi="Verdana"/>
          <w:sz w:val="20"/>
        </w:rPr>
        <w:tab/>
        <w:t>Odbiorca energii elektrycznej posiadający przedpłacony cyfrowy licznik energii elektrycznej, w przypadku gdy ogranicznik mocy jest wyłączony, nie doładowuje go przez miesiąc i jest narażony na brak dostaw energii elektrycznej w ciągu 10 dni w okresie od listopada do marca;</w:t>
      </w:r>
    </w:p>
    <w:p w14:paraId="443A97D4" w14:textId="7F2E816B" w:rsidR="004176FD" w:rsidRPr="00FA2D5D" w:rsidRDefault="000A4A8D" w:rsidP="00C1152F">
      <w:pPr>
        <w:spacing w:line="276" w:lineRule="auto"/>
        <w:ind w:left="709" w:hanging="709"/>
        <w:rPr>
          <w:rFonts w:ascii="Verdana" w:hAnsi="Verdana" w:cs="Arial"/>
          <w:sz w:val="20"/>
        </w:rPr>
      </w:pPr>
      <w:r>
        <w:rPr>
          <w:rFonts w:ascii="Verdana" w:hAnsi="Verdana"/>
          <w:sz w:val="20"/>
        </w:rPr>
        <w:t>3.</w:t>
      </w:r>
      <w:r>
        <w:rPr>
          <w:rFonts w:ascii="Verdana" w:hAnsi="Verdana"/>
          <w:sz w:val="20"/>
        </w:rPr>
        <w:tab/>
        <w:t>Na początku września odbiorca został odłączony od dostaw energii elektrycznej lub gazu ziemnego z powodu braku płatności;</w:t>
      </w:r>
    </w:p>
    <w:p w14:paraId="16DF6819" w14:textId="3F3FE54F" w:rsidR="004176FD" w:rsidRPr="00FA2D5D" w:rsidRDefault="004176FD" w:rsidP="00C1152F">
      <w:pPr>
        <w:spacing w:line="276" w:lineRule="auto"/>
        <w:ind w:left="709" w:hanging="709"/>
        <w:rPr>
          <w:rFonts w:ascii="Verdana" w:hAnsi="Verdana" w:cs="Arial"/>
          <w:sz w:val="20"/>
        </w:rPr>
      </w:pPr>
      <w:r>
        <w:rPr>
          <w:rFonts w:ascii="Verdana" w:hAnsi="Verdana"/>
          <w:sz w:val="20"/>
        </w:rPr>
        <w:t>4.</w:t>
      </w:r>
      <w:r>
        <w:rPr>
          <w:rFonts w:ascii="Verdana" w:hAnsi="Verdana"/>
          <w:sz w:val="20"/>
        </w:rPr>
        <w:tab/>
        <w:t>Odbiorca jest zaopatrywany za pośrednictwem przedpłaconego cyfrowego licznika energii elektrycznej lub gazu ziemnego;</w:t>
      </w:r>
    </w:p>
    <w:p w14:paraId="13A956E2" w14:textId="7CFB9F33" w:rsidR="004176FD" w:rsidRPr="00FA2D5D" w:rsidRDefault="004176FD" w:rsidP="00C1152F">
      <w:pPr>
        <w:tabs>
          <w:tab w:val="left" w:pos="709"/>
        </w:tabs>
        <w:spacing w:line="276" w:lineRule="auto"/>
        <w:ind w:left="709" w:hanging="709"/>
        <w:rPr>
          <w:rFonts w:ascii="Verdana" w:hAnsi="Verdana" w:cs="Arial"/>
          <w:sz w:val="20"/>
        </w:rPr>
      </w:pPr>
      <w:r>
        <w:rPr>
          <w:rFonts w:ascii="Verdana" w:hAnsi="Verdana"/>
          <w:sz w:val="20"/>
        </w:rPr>
        <w:t>5.</w:t>
      </w:r>
      <w:r>
        <w:rPr>
          <w:rFonts w:ascii="Verdana" w:hAnsi="Verdana"/>
          <w:sz w:val="20"/>
        </w:rPr>
        <w:tab/>
        <w:t>Uzyskano pozytywną opinię dla odbiorcy od lokalnego komitetu doradczego, a dany odbiorca mógłby zostać odcięty od dostaw energii w nadchodzącym okresie;</w:t>
      </w:r>
    </w:p>
    <w:p w14:paraId="6276E0BC" w14:textId="1ECDB479" w:rsidR="004176FD" w:rsidRPr="00FA2D5D" w:rsidRDefault="004176FD" w:rsidP="00C1152F">
      <w:pPr>
        <w:tabs>
          <w:tab w:val="left" w:pos="709"/>
        </w:tabs>
        <w:spacing w:line="276" w:lineRule="auto"/>
        <w:ind w:left="709" w:hanging="709"/>
        <w:rPr>
          <w:rFonts w:ascii="Verdana" w:hAnsi="Verdana" w:cs="Arial"/>
          <w:sz w:val="20"/>
        </w:rPr>
      </w:pPr>
      <w:r>
        <w:rPr>
          <w:rFonts w:ascii="Verdana" w:hAnsi="Verdana"/>
          <w:sz w:val="20"/>
        </w:rPr>
        <w:t>6.</w:t>
      </w:r>
      <w:r>
        <w:rPr>
          <w:rFonts w:ascii="Verdana" w:hAnsi="Verdana"/>
          <w:sz w:val="20"/>
        </w:rPr>
        <w:tab/>
        <w:t>Uzyskano pozytywną opinię dla odbiorcy od lokalnego komitetu doradczego, a dany odbiorca został odcięty od dostaw energii w poprzednim tygodniu;</w:t>
      </w:r>
    </w:p>
    <w:p w14:paraId="059874D3" w14:textId="50CB3371" w:rsidR="004176FD" w:rsidRPr="00FA2D5D" w:rsidRDefault="004176FD" w:rsidP="00C1152F">
      <w:pPr>
        <w:tabs>
          <w:tab w:val="left" w:pos="709"/>
        </w:tabs>
        <w:spacing w:line="276" w:lineRule="auto"/>
        <w:ind w:left="709" w:hanging="709"/>
        <w:rPr>
          <w:rFonts w:ascii="Verdana" w:hAnsi="Verdana" w:cs="Arial"/>
          <w:sz w:val="20"/>
        </w:rPr>
      </w:pPr>
      <w:r>
        <w:rPr>
          <w:rFonts w:ascii="Verdana" w:hAnsi="Verdana"/>
          <w:sz w:val="20"/>
        </w:rPr>
        <w:lastRenderedPageBreak/>
        <w:t>7.</w:t>
      </w:r>
      <w:r>
        <w:rPr>
          <w:rFonts w:ascii="Verdana" w:hAnsi="Verdana"/>
          <w:sz w:val="20"/>
        </w:rPr>
        <w:tab/>
        <w:t>Uzyskano pozytywną opinię dla odbiorcy od lokalnego komitetu doradczego, a dany odbiorca został ponownie przyłączony do dostaw energii w poprzednim tygodniu.</w:t>
      </w:r>
    </w:p>
    <w:p w14:paraId="44C6850A" w14:textId="77777777" w:rsidR="004176FD" w:rsidRPr="00FA2D5D" w:rsidRDefault="004176FD" w:rsidP="00D35A1A">
      <w:pPr>
        <w:spacing w:line="276" w:lineRule="auto"/>
        <w:rPr>
          <w:rFonts w:ascii="Verdana" w:hAnsi="Verdana" w:cs="Arial"/>
          <w:sz w:val="20"/>
          <w:lang w:val="nl-BE"/>
        </w:rPr>
      </w:pPr>
    </w:p>
    <w:p w14:paraId="0EEAA7ED" w14:textId="77777777" w:rsidR="004176FD" w:rsidRPr="00FA2D5D" w:rsidRDefault="004176FD" w:rsidP="00567532">
      <w:pPr>
        <w:spacing w:line="276" w:lineRule="auto"/>
        <w:ind w:firstLine="709"/>
        <w:rPr>
          <w:rFonts w:ascii="Verdana" w:hAnsi="Verdana" w:cs="Arial"/>
          <w:sz w:val="20"/>
        </w:rPr>
      </w:pPr>
      <w:r>
        <w:rPr>
          <w:rFonts w:ascii="Verdana" w:hAnsi="Verdana"/>
          <w:sz w:val="20"/>
        </w:rPr>
        <w:t>Wszystkie dane techniczne, dane relacyjne i dane pomiarowe, o których mowa w ust. 1, mogą być również danymi osobowymi.</w:t>
      </w:r>
    </w:p>
    <w:p w14:paraId="5B38FA06" w14:textId="77777777" w:rsidR="004176FD" w:rsidRPr="00FA2D5D" w:rsidRDefault="004176FD" w:rsidP="00567532">
      <w:pPr>
        <w:spacing w:line="276" w:lineRule="auto"/>
        <w:ind w:firstLine="709"/>
        <w:rPr>
          <w:rFonts w:ascii="Verdana" w:hAnsi="Verdana" w:cs="Arial"/>
          <w:sz w:val="20"/>
          <w:lang w:val="nl-BE"/>
        </w:rPr>
      </w:pPr>
    </w:p>
    <w:p w14:paraId="33DCAA99" w14:textId="1F1E89FC" w:rsidR="004176FD" w:rsidRPr="00FA2D5D" w:rsidRDefault="004176FD" w:rsidP="00567532">
      <w:pPr>
        <w:spacing w:line="276" w:lineRule="auto"/>
        <w:ind w:firstLine="709"/>
        <w:rPr>
          <w:rFonts w:ascii="Verdana" w:hAnsi="Verdana" w:cs="Arial"/>
          <w:sz w:val="20"/>
        </w:rPr>
      </w:pPr>
      <w:r>
        <w:rPr>
          <w:rFonts w:ascii="Verdana" w:hAnsi="Verdana"/>
          <w:sz w:val="20"/>
        </w:rPr>
        <w:t>W przypadkach, o których mowa w ust. 1, operator systemu zapewnia Publicznemu Ośrodkowi Opieki Społecznej dostęp do wszystkich następujących danych osobowych odbiorcy:</w:t>
      </w:r>
    </w:p>
    <w:p w14:paraId="752C38CE" w14:textId="64716C62" w:rsidR="00DA699D" w:rsidRPr="00FA2D5D" w:rsidRDefault="00C222C0" w:rsidP="00A24568">
      <w:pPr>
        <w:tabs>
          <w:tab w:val="left" w:pos="709"/>
        </w:tabs>
        <w:spacing w:line="276" w:lineRule="auto"/>
        <w:jc w:val="both"/>
        <w:rPr>
          <w:rFonts w:ascii="Verdana" w:hAnsi="Verdana" w:cs="Arial"/>
          <w:sz w:val="20"/>
        </w:rPr>
      </w:pPr>
      <w:r>
        <w:rPr>
          <w:rFonts w:ascii="Verdana" w:hAnsi="Verdana"/>
          <w:sz w:val="20"/>
        </w:rPr>
        <w:t>1.</w:t>
      </w:r>
      <w:r>
        <w:rPr>
          <w:rFonts w:ascii="Verdana" w:hAnsi="Verdana"/>
          <w:sz w:val="20"/>
        </w:rPr>
        <w:tab/>
        <w:t>Imię i nazwisko;</w:t>
      </w:r>
    </w:p>
    <w:p w14:paraId="3AC38FF0" w14:textId="3904A8CD"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2.</w:t>
      </w:r>
      <w:r>
        <w:rPr>
          <w:rFonts w:ascii="Verdana" w:hAnsi="Verdana"/>
          <w:sz w:val="20"/>
        </w:rPr>
        <w:tab/>
        <w:t>Adres;</w:t>
      </w:r>
    </w:p>
    <w:p w14:paraId="7B75C034" w14:textId="7BDBDCAA"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3.</w:t>
      </w:r>
      <w:r>
        <w:rPr>
          <w:rFonts w:ascii="Verdana" w:hAnsi="Verdana"/>
          <w:sz w:val="20"/>
        </w:rPr>
        <w:tab/>
        <w:t>Osobisty numer identyfikacyjny;</w:t>
      </w:r>
    </w:p>
    <w:p w14:paraId="6F5B78CF" w14:textId="64472A5E"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4.</w:t>
      </w:r>
      <w:r>
        <w:rPr>
          <w:rFonts w:ascii="Verdana" w:hAnsi="Verdana"/>
          <w:sz w:val="20"/>
        </w:rPr>
        <w:tab/>
        <w:t>Numer EAN;</w:t>
      </w:r>
    </w:p>
    <w:p w14:paraId="23368906" w14:textId="10A219B6"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5.</w:t>
      </w:r>
      <w:r>
        <w:rPr>
          <w:rFonts w:ascii="Verdana" w:hAnsi="Verdana"/>
          <w:sz w:val="20"/>
        </w:rPr>
        <w:tab/>
        <w:t>Nośnik energii;</w:t>
      </w:r>
    </w:p>
    <w:p w14:paraId="7E336D57" w14:textId="6CFBA8AE"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6.</w:t>
      </w:r>
      <w:r>
        <w:rPr>
          <w:rFonts w:ascii="Verdana" w:hAnsi="Verdana"/>
          <w:sz w:val="20"/>
        </w:rPr>
        <w:tab/>
        <w:t>Typ taryfy: społeczna lub standardowa.</w:t>
      </w:r>
    </w:p>
    <w:p w14:paraId="4344E46C" w14:textId="77777777" w:rsidR="007F2C9F" w:rsidRPr="003D074F" w:rsidRDefault="007F2C9F" w:rsidP="003E2A04">
      <w:pPr>
        <w:spacing w:line="276" w:lineRule="auto"/>
        <w:ind w:firstLine="709"/>
        <w:rPr>
          <w:rFonts w:ascii="Verdana" w:hAnsi="Verdana" w:cs="Arial"/>
          <w:sz w:val="20"/>
          <w:lang w:val="nl-BE"/>
        </w:rPr>
      </w:pPr>
    </w:p>
    <w:p w14:paraId="3C2CB3B4" w14:textId="40365A5A" w:rsidR="00776947" w:rsidRPr="009C0733" w:rsidRDefault="00326519" w:rsidP="0051266C">
      <w:pPr>
        <w:spacing w:line="276" w:lineRule="auto"/>
        <w:ind w:firstLine="709"/>
        <w:rPr>
          <w:rFonts w:ascii="Verdana" w:hAnsi="Verdana" w:cs="Arial"/>
          <w:sz w:val="20"/>
        </w:rPr>
      </w:pPr>
      <w:r>
        <w:rPr>
          <w:rFonts w:ascii="Verdana" w:hAnsi="Verdana"/>
          <w:sz w:val="20"/>
        </w:rPr>
        <w:t>Publiczne Ośrodki Opieki Społecznej przetwarzają dane, o których mowa w ust. 1 i 3, w celu realizacji zadań nałożonych na nie na mocy niniejszego dekretu lub ustawy organicznej z dnia 8 lipca 1976 r. o Publicznych Ośrodkach Opieki Społecznej. W celu przetwarzania danych osobowych do wyżej wymienionych celów, Publiczny Ośrodek Opieki Społecznej jest administratorem, o którym mowa w art. 4 ust. 7 ogólnego rozporządzenia o ochronie danych. Wyżej wymienione dane osobowe są przechowywane przez 24 miesiące”.</w:t>
      </w:r>
    </w:p>
    <w:p w14:paraId="6A332C50" w14:textId="77777777" w:rsidR="009F553C" w:rsidRPr="00FA2D5D" w:rsidRDefault="009F553C" w:rsidP="00D35A1A">
      <w:pPr>
        <w:spacing w:line="276" w:lineRule="auto"/>
        <w:rPr>
          <w:rFonts w:ascii="Verdana" w:hAnsi="Verdana" w:cs="Arial"/>
          <w:bCs/>
          <w:spacing w:val="-3"/>
          <w:sz w:val="20"/>
          <w:lang w:val="nl-BE"/>
        </w:rPr>
      </w:pPr>
    </w:p>
    <w:p w14:paraId="26B2F3C1" w14:textId="2D9BBA57" w:rsidR="009F553C" w:rsidRPr="005E0405" w:rsidRDefault="0077415E" w:rsidP="00D35A1A">
      <w:pPr>
        <w:spacing w:line="276" w:lineRule="auto"/>
        <w:rPr>
          <w:rFonts w:ascii="Verdana" w:hAnsi="Verdana" w:cs="Arial"/>
          <w:spacing w:val="-3"/>
          <w:sz w:val="20"/>
        </w:rPr>
      </w:pPr>
      <w:r>
        <w:rPr>
          <w:rFonts w:ascii="Verdana" w:hAnsi="Verdana"/>
          <w:b/>
          <w:sz w:val="20"/>
        </w:rPr>
        <w:t>Artykuł 12.</w:t>
      </w:r>
      <w:r>
        <w:rPr>
          <w:rFonts w:ascii="Verdana" w:hAnsi="Verdana"/>
          <w:sz w:val="20"/>
        </w:rPr>
        <w:t xml:space="preserve"> Do art. 4.5.1 ust. 2 tego samego dekretu, dodanego dekretem z dnia 16 listopada 2018 r., dodaje się ust. 7–9 w brzmieniu:</w:t>
      </w:r>
    </w:p>
    <w:p w14:paraId="2B7B443D" w14:textId="77777777" w:rsidR="00C25B0E" w:rsidRPr="005E0405" w:rsidRDefault="00C25B0E" w:rsidP="00D35A1A">
      <w:pPr>
        <w:spacing w:line="276" w:lineRule="auto"/>
        <w:rPr>
          <w:rFonts w:ascii="Verdana" w:hAnsi="Verdana" w:cs="Arial"/>
          <w:spacing w:val="-3"/>
          <w:sz w:val="20"/>
          <w:lang w:val="nl-BE"/>
        </w:rPr>
      </w:pPr>
    </w:p>
    <w:p w14:paraId="7C99511D" w14:textId="077BA501" w:rsidR="005112F8" w:rsidRPr="005E0405" w:rsidRDefault="005112F8" w:rsidP="00D35A1A">
      <w:pPr>
        <w:spacing w:line="276" w:lineRule="auto"/>
        <w:rPr>
          <w:rFonts w:ascii="Verdana" w:hAnsi="Verdana"/>
          <w:sz w:val="20"/>
        </w:rPr>
      </w:pPr>
      <w:r>
        <w:rPr>
          <w:rFonts w:ascii="Verdana" w:hAnsi="Verdana"/>
          <w:sz w:val="20"/>
        </w:rPr>
        <w:t>„Decyzja o zezwoleniu na bezpośrednią linię lub rurociąg przekraczające granice ich własnego terenu, w przypadku braku oddania do eksploatacji, wygasa automatycznie po upływie pięciu lat od daty wydania decyzji o udzieleniu zezwolenia.</w:t>
      </w:r>
    </w:p>
    <w:p w14:paraId="2BC0113F" w14:textId="77777777" w:rsidR="000F024B" w:rsidRPr="005E0405" w:rsidRDefault="000F024B" w:rsidP="00D35A1A">
      <w:pPr>
        <w:spacing w:line="276" w:lineRule="auto"/>
        <w:rPr>
          <w:rFonts w:ascii="Verdana" w:hAnsi="Verdana"/>
          <w:sz w:val="20"/>
          <w:lang w:val="nl-BE"/>
        </w:rPr>
      </w:pPr>
    </w:p>
    <w:p w14:paraId="7DBA6056" w14:textId="39540E8B" w:rsidR="0028034D" w:rsidRDefault="005112F8" w:rsidP="0028034D">
      <w:pPr>
        <w:spacing w:line="276" w:lineRule="auto"/>
        <w:ind w:firstLine="709"/>
        <w:rPr>
          <w:rFonts w:ascii="Verdana" w:hAnsi="Verdana"/>
          <w:sz w:val="20"/>
        </w:rPr>
      </w:pPr>
      <w:r>
        <w:rPr>
          <w:rFonts w:ascii="Verdana" w:hAnsi="Verdana"/>
          <w:sz w:val="20"/>
        </w:rPr>
        <w:t>VREG uchyla decyzję o zezwoleniu na bezpośrednią linię lub rurociąg przekraczające granice własnego terenu w następujących przypadkach:</w:t>
      </w:r>
      <w:r>
        <w:rPr>
          <w:rFonts w:ascii="Verdana" w:hAnsi="Verdana"/>
          <w:sz w:val="20"/>
        </w:rPr>
        <w:br/>
        <w:t>1.</w:t>
      </w:r>
      <w:r>
        <w:rPr>
          <w:rFonts w:ascii="Verdana" w:hAnsi="Verdana"/>
          <w:sz w:val="20"/>
        </w:rPr>
        <w:tab/>
        <w:t>W każdym z przypadków, o których mowa w ust. 3;</w:t>
      </w:r>
    </w:p>
    <w:p w14:paraId="3C33152A" w14:textId="28A8A845" w:rsidR="0028034D" w:rsidRDefault="005112F8" w:rsidP="002C79BB">
      <w:pPr>
        <w:spacing w:line="276" w:lineRule="auto"/>
        <w:ind w:left="709" w:hanging="709"/>
        <w:rPr>
          <w:rFonts w:ascii="Verdana" w:hAnsi="Verdana"/>
          <w:sz w:val="20"/>
        </w:rPr>
      </w:pPr>
      <w:r>
        <w:rPr>
          <w:rFonts w:ascii="Verdana" w:hAnsi="Verdana"/>
          <w:sz w:val="20"/>
        </w:rPr>
        <w:t>2.</w:t>
      </w:r>
      <w:r>
        <w:rPr>
          <w:rFonts w:ascii="Verdana" w:hAnsi="Verdana"/>
          <w:sz w:val="20"/>
        </w:rPr>
        <w:tab/>
        <w:t>Jeżeli linia bezpośrednia lub rurociąg nie przekraczają już granic własnego terenu;</w:t>
      </w:r>
    </w:p>
    <w:p w14:paraId="7C44828C" w14:textId="2A10A666" w:rsidR="00FF54B8" w:rsidRPr="005E0405" w:rsidRDefault="005112F8" w:rsidP="002C79BB">
      <w:pPr>
        <w:spacing w:line="276" w:lineRule="auto"/>
        <w:rPr>
          <w:rFonts w:ascii="Verdana" w:hAnsi="Verdana"/>
          <w:sz w:val="20"/>
        </w:rPr>
      </w:pPr>
      <w:r>
        <w:rPr>
          <w:rFonts w:ascii="Verdana" w:hAnsi="Verdana"/>
          <w:sz w:val="20"/>
        </w:rPr>
        <w:t>3.</w:t>
      </w:r>
      <w:r>
        <w:rPr>
          <w:rFonts w:ascii="Verdana" w:hAnsi="Verdana"/>
          <w:sz w:val="20"/>
        </w:rPr>
        <w:tab/>
        <w:t>Po likwidacji linii bezpośredniej lub rurociągu.</w:t>
      </w:r>
    </w:p>
    <w:p w14:paraId="3A49A24C" w14:textId="77777777" w:rsidR="002E7763" w:rsidRPr="005E0405" w:rsidRDefault="002E7763" w:rsidP="002C79BB">
      <w:pPr>
        <w:spacing w:line="276" w:lineRule="auto"/>
        <w:rPr>
          <w:rFonts w:ascii="Verdana" w:hAnsi="Verdana"/>
          <w:sz w:val="20"/>
          <w:lang w:val="nl-BE"/>
        </w:rPr>
      </w:pPr>
    </w:p>
    <w:p w14:paraId="0B10E0B1" w14:textId="74B739B5" w:rsidR="002E7763" w:rsidRPr="005E0405" w:rsidRDefault="007831CC" w:rsidP="007C0F8E">
      <w:pPr>
        <w:spacing w:line="276" w:lineRule="auto"/>
        <w:ind w:firstLine="709"/>
        <w:rPr>
          <w:rFonts w:ascii="Verdana" w:hAnsi="Verdana"/>
          <w:sz w:val="20"/>
        </w:rPr>
      </w:pPr>
      <w:r>
        <w:rPr>
          <w:rFonts w:ascii="Verdana" w:hAnsi="Verdana"/>
          <w:sz w:val="20"/>
        </w:rPr>
        <w:t>W drodze odstępstwa od ust. 1, bezpośrednia linia lub rurociąg, które zostały uprzednio zatwierdzone, ale decyzja o zezwoleniu na nie została uchylona zgodnie z ust. 8, pkt 2, i które bez przejścia jakiejkolwiek innej zmiany ponownie przekraczają granice własnego terenu, są dozwolone z mocy prawa.”.</w:t>
      </w:r>
    </w:p>
    <w:p w14:paraId="01C01725" w14:textId="77777777" w:rsidR="00442C98" w:rsidRPr="005E0405" w:rsidRDefault="00442C98" w:rsidP="00D35A1A">
      <w:pPr>
        <w:spacing w:line="276" w:lineRule="auto"/>
        <w:rPr>
          <w:rFonts w:ascii="Verdana" w:hAnsi="Verdana"/>
          <w:sz w:val="20"/>
          <w:lang w:val="nl-BE"/>
        </w:rPr>
      </w:pPr>
    </w:p>
    <w:p w14:paraId="19DC4B84" w14:textId="554210F4" w:rsidR="00442C98" w:rsidRPr="005E0405" w:rsidRDefault="00442C98" w:rsidP="00D35A1A">
      <w:pPr>
        <w:spacing w:line="276" w:lineRule="auto"/>
        <w:rPr>
          <w:rStyle w:val="normaltextrun"/>
          <w:rFonts w:ascii="Verdana" w:hAnsi="Verdana" w:cs="Calibri"/>
          <w:sz w:val="20"/>
        </w:rPr>
      </w:pPr>
      <w:r>
        <w:rPr>
          <w:rStyle w:val="normaltextrun"/>
          <w:rFonts w:ascii="Verdana" w:hAnsi="Verdana"/>
          <w:b/>
          <w:sz w:val="20"/>
        </w:rPr>
        <w:t>Artykuł 13.</w:t>
      </w:r>
      <w:r>
        <w:rPr>
          <w:rStyle w:val="normaltextrun"/>
          <w:rFonts w:ascii="Verdana" w:hAnsi="Verdana"/>
          <w:sz w:val="20"/>
        </w:rPr>
        <w:t xml:space="preserve"> W</w:t>
      </w:r>
      <w:r>
        <w:rPr>
          <w:rFonts w:ascii="Verdana" w:hAnsi="Verdana"/>
          <w:sz w:val="20"/>
        </w:rPr>
        <w:t xml:space="preserve"> art. 4.5.2 tego samego dekretu, dodanym dekretem z dnia 8 lipca 2011 r., </w:t>
      </w:r>
      <w:r>
        <w:rPr>
          <w:rStyle w:val="normaltextrun"/>
          <w:rFonts w:ascii="Verdana" w:hAnsi="Verdana"/>
          <w:sz w:val="20"/>
        </w:rPr>
        <w:t>dodaje się punkt 4. i punkt 5. w brzmieniu:</w:t>
      </w:r>
    </w:p>
    <w:p w14:paraId="45CD8F4F" w14:textId="77777777" w:rsidR="00442C98" w:rsidRPr="005E0405" w:rsidRDefault="00442C98" w:rsidP="00D35A1A">
      <w:pPr>
        <w:spacing w:line="276" w:lineRule="auto"/>
        <w:rPr>
          <w:rStyle w:val="normaltextrun"/>
          <w:rFonts w:ascii="Verdana" w:hAnsi="Verdana" w:cs="Calibri"/>
          <w:sz w:val="20"/>
          <w:lang w:val="nl-BE"/>
        </w:rPr>
      </w:pPr>
    </w:p>
    <w:p w14:paraId="1A8B22E8" w14:textId="28D4C7FA" w:rsidR="00CE38CC" w:rsidRDefault="00442C98" w:rsidP="00D35A1A">
      <w:pPr>
        <w:spacing w:line="276" w:lineRule="auto"/>
        <w:rPr>
          <w:rStyle w:val="normaltextrun"/>
          <w:rFonts w:ascii="Verdana" w:hAnsi="Verdana" w:cs="Calibri"/>
          <w:sz w:val="20"/>
        </w:rPr>
      </w:pPr>
      <w:r>
        <w:rPr>
          <w:rStyle w:val="normaltextrun"/>
          <w:rFonts w:ascii="Verdana" w:hAnsi="Verdana"/>
          <w:sz w:val="20"/>
        </w:rPr>
        <w:t xml:space="preserve">„4. informowanie VREG o dacie uruchomienia i likwidacji linii bezpośredniej lub rurociągu, </w:t>
      </w:r>
      <w:r>
        <w:rPr>
          <w:rFonts w:ascii="Verdana" w:hAnsi="Verdana"/>
          <w:sz w:val="20"/>
        </w:rPr>
        <w:t xml:space="preserve">która/który przekracza granice własnego terenu, </w:t>
      </w:r>
      <w:r>
        <w:rPr>
          <w:rStyle w:val="normaltextrun"/>
          <w:rFonts w:ascii="Verdana" w:hAnsi="Verdana"/>
          <w:sz w:val="20"/>
        </w:rPr>
        <w:t xml:space="preserve">w ciągu 30 dni od </w:t>
      </w:r>
      <w:r>
        <w:rPr>
          <w:rStyle w:val="normaltextrun"/>
          <w:rFonts w:ascii="Verdana" w:hAnsi="Verdana"/>
          <w:sz w:val="20"/>
        </w:rPr>
        <w:lastRenderedPageBreak/>
        <w:t>uruchomienia lub likwidacji;</w:t>
      </w:r>
      <w:r>
        <w:rPr>
          <w:rFonts w:ascii="Verdana" w:hAnsi="Verdana"/>
          <w:sz w:val="20"/>
        </w:rPr>
        <w:br/>
      </w:r>
      <w:r>
        <w:rPr>
          <w:rStyle w:val="normaltextrun"/>
          <w:rFonts w:ascii="Verdana" w:hAnsi="Verdana"/>
          <w:sz w:val="20"/>
        </w:rPr>
        <w:t>5. Informowanie VREG, w ciągu 30 dni, o:</w:t>
      </w:r>
    </w:p>
    <w:p w14:paraId="7DA88445" w14:textId="3E7099E7" w:rsidR="00A370E8" w:rsidRPr="00A370E8" w:rsidRDefault="0057203C" w:rsidP="00A370E8">
      <w:pPr>
        <w:pStyle w:val="ListParagraph"/>
        <w:numPr>
          <w:ilvl w:val="0"/>
          <w:numId w:val="4"/>
        </w:numPr>
        <w:spacing w:line="276" w:lineRule="auto"/>
        <w:rPr>
          <w:rFonts w:ascii="Verdana" w:hAnsi="Verdana" w:cs="Calibri"/>
          <w:sz w:val="20"/>
        </w:rPr>
      </w:pPr>
      <w:r>
        <w:rPr>
          <w:rStyle w:val="normaltextrun"/>
          <w:rFonts w:ascii="Verdana" w:hAnsi="Verdana"/>
          <w:sz w:val="20"/>
        </w:rPr>
        <w:t xml:space="preserve">Wszelkich zmianach własności lub zarządzania bezpośrednią linią lub rurociągiem, </w:t>
      </w:r>
      <w:r>
        <w:rPr>
          <w:rFonts w:ascii="Verdana" w:hAnsi="Verdana"/>
          <w:sz w:val="20"/>
        </w:rPr>
        <w:t>które przekraczają granice własnego terenu;</w:t>
      </w:r>
    </w:p>
    <w:p w14:paraId="69B28B5A" w14:textId="61358FDD" w:rsidR="00A370E8" w:rsidRDefault="0057203C" w:rsidP="00A370E8">
      <w:pPr>
        <w:pStyle w:val="ListParagraph"/>
        <w:numPr>
          <w:ilvl w:val="0"/>
          <w:numId w:val="4"/>
        </w:numPr>
        <w:spacing w:line="276" w:lineRule="auto"/>
        <w:rPr>
          <w:rStyle w:val="normaltextrun"/>
          <w:rFonts w:ascii="Verdana" w:hAnsi="Verdana" w:cs="Calibri"/>
          <w:sz w:val="20"/>
        </w:rPr>
      </w:pPr>
      <w:r>
        <w:rPr>
          <w:rFonts w:ascii="Verdana" w:hAnsi="Verdana"/>
          <w:sz w:val="20"/>
        </w:rPr>
        <w:t>Wszelkich zmianach własności lub zarządzania działkami katastralnymi, na których znajduje się bezpośrednia linia lub rurociąg</w:t>
      </w:r>
      <w:r>
        <w:rPr>
          <w:rStyle w:val="normaltextrun"/>
        </w:rPr>
        <w:t>;</w:t>
      </w:r>
    </w:p>
    <w:p w14:paraId="3E67A6AC" w14:textId="5E8241C9" w:rsidR="00C63B6E" w:rsidRDefault="0057203C" w:rsidP="00A370E8">
      <w:pPr>
        <w:pStyle w:val="ListParagraph"/>
        <w:numPr>
          <w:ilvl w:val="0"/>
          <w:numId w:val="4"/>
        </w:numPr>
        <w:spacing w:line="276" w:lineRule="auto"/>
        <w:rPr>
          <w:rStyle w:val="normaltextrun"/>
          <w:rFonts w:ascii="Verdana" w:hAnsi="Verdana" w:cs="Calibri"/>
          <w:sz w:val="20"/>
        </w:rPr>
      </w:pPr>
      <w:r>
        <w:rPr>
          <w:rStyle w:val="normaltextrun"/>
          <w:rFonts w:ascii="Verdana" w:hAnsi="Verdana"/>
          <w:sz w:val="20"/>
        </w:rPr>
        <w:t xml:space="preserve">Wszelkich zmianach dotyczących klientów podłączonych do linii bezpośredniej lub rurociągu, </w:t>
      </w:r>
      <w:r>
        <w:rPr>
          <w:rFonts w:ascii="Verdana" w:hAnsi="Verdana"/>
          <w:sz w:val="20"/>
        </w:rPr>
        <w:t>która/który przekracza granice własnego terenu</w:t>
      </w:r>
      <w:r>
        <w:rPr>
          <w:rStyle w:val="normaltextrun"/>
          <w:rFonts w:ascii="Verdana" w:hAnsi="Verdana"/>
          <w:sz w:val="20"/>
        </w:rPr>
        <w:t>;</w:t>
      </w:r>
    </w:p>
    <w:p w14:paraId="3349CF1C" w14:textId="578D6138" w:rsidR="00442C98" w:rsidRPr="00A370E8" w:rsidRDefault="0057203C" w:rsidP="00C63B6E">
      <w:pPr>
        <w:pStyle w:val="ListParagraph"/>
        <w:numPr>
          <w:ilvl w:val="0"/>
          <w:numId w:val="4"/>
        </w:numPr>
        <w:spacing w:line="276" w:lineRule="auto"/>
        <w:rPr>
          <w:rStyle w:val="normaltextrun"/>
          <w:rFonts w:ascii="Verdana" w:hAnsi="Verdana" w:cs="Calibri"/>
          <w:sz w:val="20"/>
        </w:rPr>
      </w:pPr>
      <w:r>
        <w:rPr>
          <w:rStyle w:val="normaltextrun"/>
          <w:rFonts w:ascii="Verdana" w:hAnsi="Verdana"/>
          <w:sz w:val="20"/>
        </w:rPr>
        <w:t>Wszelkich zmianach połączenia z siecią</w:t>
      </w:r>
      <w:r>
        <w:rPr>
          <w:rFonts w:ascii="Verdana" w:hAnsi="Verdana"/>
          <w:sz w:val="20"/>
        </w:rPr>
        <w:t>.</w:t>
      </w:r>
      <w:r>
        <w:rPr>
          <w:rStyle w:val="normaltextrun"/>
          <w:rFonts w:ascii="Verdana" w:hAnsi="Verdana"/>
          <w:sz w:val="20"/>
        </w:rPr>
        <w:t>”.</w:t>
      </w:r>
    </w:p>
    <w:p w14:paraId="3CC00180" w14:textId="77777777" w:rsidR="000B310E" w:rsidRDefault="000B310E" w:rsidP="00D35A1A">
      <w:pPr>
        <w:spacing w:line="276" w:lineRule="auto"/>
        <w:rPr>
          <w:rStyle w:val="normaltextrun"/>
          <w:rFonts w:ascii="Verdana" w:hAnsi="Verdana" w:cs="Calibri"/>
          <w:sz w:val="20"/>
          <w:lang w:val="nl-BE"/>
        </w:rPr>
      </w:pPr>
    </w:p>
    <w:p w14:paraId="3E03B404" w14:textId="629137EE" w:rsidR="000B310E" w:rsidRDefault="000B310E" w:rsidP="00D35A1A">
      <w:pPr>
        <w:spacing w:line="276" w:lineRule="auto"/>
        <w:rPr>
          <w:rFonts w:ascii="Verdana" w:hAnsi="Verdana"/>
          <w:sz w:val="20"/>
        </w:rPr>
      </w:pPr>
      <w:r>
        <w:rPr>
          <w:rFonts w:ascii="Verdana" w:hAnsi="Verdana"/>
          <w:b/>
          <w:sz w:val="20"/>
        </w:rPr>
        <w:t>Artykuł 14.</w:t>
      </w:r>
      <w:r>
        <w:rPr>
          <w:rFonts w:ascii="Verdana" w:hAnsi="Verdana"/>
          <w:sz w:val="20"/>
        </w:rPr>
        <w:t xml:space="preserve"> W art. 4.6.1 tego samego dekretu, dodanym dekretem z dnia 8 lipca 2011 r. i ostatnio zmienionym dekretem z dnia 18 marca 2022 r., wprowadza się następujące zmiany:</w:t>
      </w:r>
    </w:p>
    <w:p w14:paraId="40F1F42A" w14:textId="77777777" w:rsidR="00AE5475" w:rsidRPr="00E94207" w:rsidRDefault="00AE5475" w:rsidP="00D35A1A">
      <w:pPr>
        <w:spacing w:line="276" w:lineRule="auto"/>
        <w:rPr>
          <w:rFonts w:ascii="Verdana" w:eastAsia="Calibri" w:hAnsi="Verdana" w:cs="Calibri"/>
          <w:i/>
          <w:sz w:val="20"/>
          <w:lang w:val="nl-BE"/>
        </w:rPr>
      </w:pPr>
    </w:p>
    <w:p w14:paraId="2F1DD51F" w14:textId="5573362A" w:rsidR="000B310E" w:rsidRDefault="000B310E" w:rsidP="00D35A1A">
      <w:pPr>
        <w:spacing w:line="276" w:lineRule="auto"/>
        <w:rPr>
          <w:rFonts w:ascii="Verdana" w:eastAsia="Calibri" w:hAnsi="Verdana" w:cs="Calibri"/>
          <w:sz w:val="20"/>
        </w:rPr>
      </w:pPr>
      <w:r>
        <w:rPr>
          <w:rFonts w:ascii="Verdana" w:hAnsi="Verdana"/>
          <w:sz w:val="20"/>
        </w:rPr>
        <w:t>1. W ust. 4 wyrażenie „spełnia warunki określone w art. 1.1.3, 56/2” zastępuje się wyrażeniem „jest zgłaszane zgodnie z ust. 1 lub dozwolone zgodnie z ust. 2”;</w:t>
      </w:r>
    </w:p>
    <w:p w14:paraId="1710800B" w14:textId="77777777" w:rsidR="00842335" w:rsidRPr="00E94207" w:rsidRDefault="00842335" w:rsidP="00D35A1A">
      <w:pPr>
        <w:spacing w:line="276" w:lineRule="auto"/>
        <w:rPr>
          <w:rFonts w:ascii="Verdana" w:eastAsia="Calibri" w:hAnsi="Verdana" w:cs="Calibri"/>
          <w:sz w:val="20"/>
          <w:lang w:val="nl-BE"/>
        </w:rPr>
      </w:pPr>
    </w:p>
    <w:p w14:paraId="2685CDAC" w14:textId="439B3B34" w:rsidR="000B310E" w:rsidRDefault="000B310E" w:rsidP="00D35A1A">
      <w:pPr>
        <w:spacing w:line="276" w:lineRule="auto"/>
        <w:rPr>
          <w:rFonts w:ascii="Verdana" w:eastAsia="Calibri" w:hAnsi="Verdana" w:cs="Calibri"/>
          <w:sz w:val="20"/>
        </w:rPr>
      </w:pPr>
      <w:r>
        <w:rPr>
          <w:rFonts w:ascii="Verdana" w:hAnsi="Verdana"/>
          <w:sz w:val="20"/>
        </w:rPr>
        <w:t>2. Dodaje się nowy ust. 5, który ma następujące brzmienie:</w:t>
      </w:r>
    </w:p>
    <w:p w14:paraId="7C917474" w14:textId="77777777" w:rsidR="008121DA" w:rsidRPr="00E94207" w:rsidRDefault="008121DA" w:rsidP="00D35A1A">
      <w:pPr>
        <w:spacing w:line="276" w:lineRule="auto"/>
        <w:rPr>
          <w:rFonts w:ascii="Verdana" w:eastAsia="Calibri" w:hAnsi="Verdana" w:cs="Calibri"/>
          <w:sz w:val="20"/>
          <w:lang w:val="nl-BE"/>
        </w:rPr>
      </w:pPr>
    </w:p>
    <w:p w14:paraId="37DB85DD" w14:textId="08D644C8" w:rsidR="00AD7A79" w:rsidRDefault="000B310E" w:rsidP="00195650">
      <w:pPr>
        <w:spacing w:line="276" w:lineRule="auto"/>
        <w:rPr>
          <w:rFonts w:ascii="Verdana" w:eastAsia="Calibri" w:hAnsi="Verdana" w:cs="Calibri"/>
          <w:sz w:val="20"/>
        </w:rPr>
      </w:pPr>
      <w:r>
        <w:rPr>
          <w:rFonts w:ascii="Verdana" w:hAnsi="Verdana"/>
          <w:sz w:val="20"/>
        </w:rPr>
        <w:t>„§5. VREG może zwolnić operatorów zamkniętej sieci dystrybucyjnej gazu ziemnego z obowiązku wykonywania następujących zadań i obowiązków. Takie zwolnienie przyznaje się, jeżeli zamknięta sieć dystrybucyjna gazu ziemnego została zgłoszona zgodnie z ust. 1 lub jest dozwolona zgodnie z ust. 2:</w:t>
      </w:r>
    </w:p>
    <w:p w14:paraId="552B7B68" w14:textId="293F6468" w:rsidR="00195650" w:rsidRDefault="000B310E" w:rsidP="00D7185F">
      <w:pPr>
        <w:spacing w:line="276" w:lineRule="auto"/>
        <w:ind w:left="709" w:hanging="709"/>
        <w:rPr>
          <w:rFonts w:ascii="Verdana" w:eastAsia="Calibri" w:hAnsi="Verdana" w:cs="Calibri"/>
          <w:sz w:val="20"/>
        </w:rPr>
      </w:pPr>
      <w:r>
        <w:rPr>
          <w:rFonts w:ascii="Verdana" w:hAnsi="Verdana"/>
          <w:sz w:val="20"/>
        </w:rPr>
        <w:t>1.</w:t>
      </w:r>
      <w:r>
        <w:rPr>
          <w:rFonts w:ascii="Verdana" w:hAnsi="Verdana"/>
          <w:sz w:val="20"/>
        </w:rPr>
        <w:tab/>
        <w:t>Wymóg zatwierdzenia przez VREG stawek lub metod ich obliczania, o których mowa w art. 4.6.10 ust. 2, przed ich wejściem w życie;</w:t>
      </w:r>
    </w:p>
    <w:p w14:paraId="663FF0BF" w14:textId="77FCC2E6" w:rsidR="000B310E" w:rsidRPr="00E94207" w:rsidRDefault="000B310E" w:rsidP="00195650">
      <w:pPr>
        <w:spacing w:line="276" w:lineRule="auto"/>
        <w:ind w:left="709" w:hanging="709"/>
        <w:rPr>
          <w:rStyle w:val="normaltextrun"/>
          <w:rFonts w:ascii="Verdana" w:hAnsi="Verdana" w:cs="Calibri"/>
          <w:sz w:val="20"/>
        </w:rPr>
      </w:pPr>
      <w:r>
        <w:rPr>
          <w:rFonts w:ascii="Verdana" w:hAnsi="Verdana"/>
          <w:sz w:val="20"/>
        </w:rPr>
        <w:t>2.</w:t>
      </w:r>
      <w:r>
        <w:rPr>
          <w:rFonts w:ascii="Verdana" w:hAnsi="Verdana"/>
          <w:sz w:val="20"/>
        </w:rPr>
        <w:tab/>
        <w:t>Wymóg rozwijania zamkniętej sieci dystrybucyjnej na podstawie planu inwestycyjnego, o którym mowa w art. 4.6.3 ust. 1, pkt 16.”.</w:t>
      </w:r>
    </w:p>
    <w:p w14:paraId="2A523BCC" w14:textId="77777777" w:rsidR="00E41310" w:rsidRPr="007C2130" w:rsidRDefault="00E41310" w:rsidP="00D35A1A">
      <w:pPr>
        <w:spacing w:line="276" w:lineRule="auto"/>
        <w:rPr>
          <w:rFonts w:ascii="Verdana" w:hAnsi="Verdana" w:cs="Arial"/>
          <w:spacing w:val="-3"/>
          <w:sz w:val="20"/>
          <w:lang w:val="nl-BE"/>
        </w:rPr>
      </w:pPr>
    </w:p>
    <w:p w14:paraId="25073807" w14:textId="3AF2CF71" w:rsidR="006A39BC" w:rsidRDefault="006A39BC" w:rsidP="006A39BC">
      <w:pPr>
        <w:spacing w:line="276" w:lineRule="auto"/>
        <w:rPr>
          <w:rFonts w:ascii="Verdana" w:hAnsi="Verdana" w:cs="Arial"/>
          <w:spacing w:val="-3"/>
          <w:sz w:val="20"/>
        </w:rPr>
      </w:pPr>
      <w:r>
        <w:rPr>
          <w:rFonts w:ascii="Verdana" w:hAnsi="Verdana"/>
          <w:b/>
          <w:sz w:val="20"/>
        </w:rPr>
        <w:t>Artykuł 15.</w:t>
      </w:r>
      <w:r>
        <w:rPr>
          <w:rFonts w:ascii="Verdana" w:hAnsi="Verdana"/>
          <w:sz w:val="20"/>
        </w:rPr>
        <w:t xml:space="preserve"> W art. 4/1.1.13 ust. 2 tego samego dekretu, dodanym dekretem z dnia 10 marca 2017 r. i zmienionym dekretem z dnia 18 marca 2022 r., wprowadza się następujące zmiany:</w:t>
      </w:r>
    </w:p>
    <w:p w14:paraId="20FD1852" w14:textId="77777777" w:rsidR="006A39BC" w:rsidRDefault="006A39BC" w:rsidP="006A39BC">
      <w:pPr>
        <w:spacing w:line="276" w:lineRule="auto"/>
        <w:rPr>
          <w:rFonts w:ascii="Verdana" w:hAnsi="Verdana" w:cs="Arial"/>
          <w:spacing w:val="-3"/>
          <w:sz w:val="20"/>
          <w:lang w:val="nl-BE"/>
        </w:rPr>
      </w:pPr>
    </w:p>
    <w:p w14:paraId="289AC8F9" w14:textId="77777777" w:rsidR="006A39BC" w:rsidRDefault="006A39BC" w:rsidP="006A39BC">
      <w:pPr>
        <w:spacing w:line="276" w:lineRule="auto"/>
        <w:rPr>
          <w:rFonts w:ascii="Verdana" w:hAnsi="Verdana" w:cs="Arial"/>
          <w:spacing w:val="-3"/>
          <w:sz w:val="20"/>
        </w:rPr>
      </w:pPr>
      <w:r>
        <w:rPr>
          <w:rFonts w:ascii="Verdana" w:hAnsi="Verdana"/>
          <w:sz w:val="20"/>
        </w:rPr>
        <w:t>1. W ust. 1 wyrazy „pozwolenie na planowanie” zastępuje się w każdym przypadku wyrazami „pozwolenie środowiskowe na działania związane z rozwojem obszarów miejskich”;</w:t>
      </w:r>
    </w:p>
    <w:p w14:paraId="551CC15C" w14:textId="77777777" w:rsidR="006A39BC" w:rsidRDefault="006A39BC" w:rsidP="006A39BC">
      <w:pPr>
        <w:spacing w:line="276" w:lineRule="auto"/>
        <w:rPr>
          <w:rFonts w:ascii="Verdana" w:hAnsi="Verdana" w:cs="Arial"/>
          <w:spacing w:val="-3"/>
          <w:sz w:val="20"/>
          <w:lang w:val="nl-BE"/>
        </w:rPr>
      </w:pPr>
    </w:p>
    <w:p w14:paraId="4B32DC82" w14:textId="77777777" w:rsidR="006A39BC" w:rsidRPr="005E0405" w:rsidRDefault="006A39BC" w:rsidP="006A39BC">
      <w:pPr>
        <w:spacing w:line="276" w:lineRule="auto"/>
        <w:rPr>
          <w:rFonts w:ascii="Verdana" w:hAnsi="Verdana" w:cs="Arial"/>
          <w:spacing w:val="-3"/>
          <w:sz w:val="20"/>
        </w:rPr>
      </w:pPr>
      <w:r>
        <w:rPr>
          <w:rFonts w:ascii="Verdana" w:hAnsi="Verdana"/>
          <w:sz w:val="20"/>
        </w:rPr>
        <w:t>2. W ust. 4 wyrazy „pozwolenie na planowanie” zastępuje się wyrazami „pozwolenie środowiskowe na działania związane z rozwojem obszarów miejskich”;</w:t>
      </w:r>
    </w:p>
    <w:p w14:paraId="79424B41" w14:textId="77777777" w:rsidR="006A39BC" w:rsidRPr="005E0405" w:rsidRDefault="006A39BC" w:rsidP="006A39BC">
      <w:pPr>
        <w:spacing w:line="276" w:lineRule="auto"/>
        <w:rPr>
          <w:rFonts w:ascii="Verdana" w:hAnsi="Verdana" w:cs="Arial"/>
          <w:spacing w:val="-3"/>
          <w:sz w:val="20"/>
          <w:lang w:val="nl-BE"/>
        </w:rPr>
      </w:pPr>
    </w:p>
    <w:p w14:paraId="4E47E738" w14:textId="100CF3F3" w:rsidR="000D5D6D" w:rsidRPr="000D5D6D" w:rsidRDefault="006F5815" w:rsidP="00D35A1A">
      <w:pPr>
        <w:spacing w:line="276" w:lineRule="auto"/>
        <w:rPr>
          <w:rFonts w:ascii="Verdana" w:hAnsi="Verdana" w:cs="Arial"/>
          <w:bCs/>
          <w:spacing w:val="-3"/>
          <w:sz w:val="20"/>
        </w:rPr>
      </w:pPr>
      <w:r>
        <w:rPr>
          <w:rFonts w:ascii="Verdana" w:hAnsi="Verdana"/>
          <w:b/>
          <w:sz w:val="20"/>
        </w:rPr>
        <w:t>Artykuł 16.</w:t>
      </w:r>
      <w:r>
        <w:rPr>
          <w:rFonts w:ascii="Verdana" w:hAnsi="Verdana"/>
          <w:sz w:val="20"/>
        </w:rPr>
        <w:t xml:space="preserve"> W art. 7.1.1 ust. 2 pkt 6 tego samego dekretu, dodanym dekretem z dnia 26 kwietnia 2019 r. i zmienionym dekretami z dnia 17 grudnia 2021 r. i z dnia 18 marca 2022 r., między wyrazami „od dnia 1 września 2019 r.” a wyrazami „oddany do użytku” dodaje się wyrażenie „do dnia 31 grudnia 2022 r.”.</w:t>
      </w:r>
    </w:p>
    <w:p w14:paraId="01977D05" w14:textId="7DAF998D" w:rsidR="000818BB" w:rsidRPr="000D5D6D" w:rsidRDefault="000818BB" w:rsidP="00D35A1A">
      <w:pPr>
        <w:spacing w:line="276" w:lineRule="auto"/>
        <w:rPr>
          <w:rFonts w:ascii="Verdana" w:hAnsi="Verdana" w:cs="Arial"/>
          <w:bCs/>
          <w:spacing w:val="-3"/>
          <w:sz w:val="20"/>
          <w:lang w:val="nl-BE"/>
        </w:rPr>
      </w:pPr>
    </w:p>
    <w:p w14:paraId="7E774536" w14:textId="5BF77935" w:rsidR="000818BB" w:rsidRDefault="007707FD" w:rsidP="00D35A1A">
      <w:pPr>
        <w:spacing w:line="276" w:lineRule="auto"/>
        <w:rPr>
          <w:rFonts w:ascii="Verdana" w:hAnsi="Verdana" w:cs="Arial"/>
          <w:spacing w:val="-3"/>
          <w:sz w:val="20"/>
        </w:rPr>
      </w:pPr>
      <w:r>
        <w:rPr>
          <w:rFonts w:ascii="Verdana" w:hAnsi="Verdana"/>
          <w:b/>
          <w:sz w:val="20"/>
        </w:rPr>
        <w:t>Artykuł 17.</w:t>
      </w:r>
      <w:r>
        <w:rPr>
          <w:rFonts w:ascii="Verdana" w:hAnsi="Verdana"/>
          <w:sz w:val="20"/>
        </w:rPr>
        <w:t xml:space="preserve"> W art. 7.5.1 ust. 2 tego samego dekretu, dodanym dekretem z dnia 12 lipca 2013 r., dodaje się zdanie w brzmieniu:</w:t>
      </w:r>
    </w:p>
    <w:p w14:paraId="08F2D72B" w14:textId="77777777" w:rsidR="00431E06" w:rsidRDefault="00431E06" w:rsidP="00D35A1A">
      <w:pPr>
        <w:spacing w:line="276" w:lineRule="auto"/>
        <w:rPr>
          <w:rFonts w:ascii="Verdana" w:hAnsi="Verdana" w:cs="Arial"/>
          <w:spacing w:val="-3"/>
          <w:sz w:val="20"/>
          <w:lang w:val="nl-BE"/>
        </w:rPr>
      </w:pPr>
    </w:p>
    <w:p w14:paraId="23C52EEA" w14:textId="488CCBED" w:rsidR="00D46BDE" w:rsidRDefault="00431E06" w:rsidP="00D35A1A">
      <w:pPr>
        <w:spacing w:line="276" w:lineRule="auto"/>
        <w:rPr>
          <w:rFonts w:ascii="Verdana" w:hAnsi="Verdana" w:cs="Arial"/>
          <w:spacing w:val="-3"/>
          <w:sz w:val="20"/>
        </w:rPr>
      </w:pPr>
      <w:r>
        <w:rPr>
          <w:rFonts w:ascii="Verdana" w:hAnsi="Verdana"/>
          <w:sz w:val="20"/>
        </w:rPr>
        <w:t>„Ww. dane obejmują co najmniej:</w:t>
      </w:r>
    </w:p>
    <w:p w14:paraId="73AB5C52" w14:textId="09341B42" w:rsidR="00D46BDE" w:rsidRPr="009C0733" w:rsidRDefault="00D46BDE" w:rsidP="00D35A1A">
      <w:pPr>
        <w:spacing w:line="276" w:lineRule="auto"/>
        <w:rPr>
          <w:rFonts w:ascii="Verdana" w:eastAsia="Times New Roman" w:hAnsi="Verdana" w:cs="Arial"/>
          <w:sz w:val="20"/>
        </w:rPr>
      </w:pPr>
      <w:r>
        <w:rPr>
          <w:rFonts w:ascii="Verdana" w:hAnsi="Verdana"/>
          <w:sz w:val="20"/>
        </w:rPr>
        <w:t>1.</w:t>
      </w:r>
      <w:r>
        <w:rPr>
          <w:rFonts w:ascii="Verdana" w:hAnsi="Verdana"/>
          <w:sz w:val="20"/>
        </w:rPr>
        <w:tab/>
        <w:t>Dane identyfikacyjne i kontaktowe klienta;</w:t>
      </w:r>
    </w:p>
    <w:p w14:paraId="3E5073A3" w14:textId="2F065BAA" w:rsidR="00C53EFA" w:rsidRPr="009C0733" w:rsidRDefault="00C53EFA" w:rsidP="00D35A1A">
      <w:pPr>
        <w:spacing w:line="276" w:lineRule="auto"/>
        <w:rPr>
          <w:rFonts w:ascii="Verdana" w:eastAsia="Times New Roman" w:hAnsi="Verdana" w:cs="Arial"/>
          <w:sz w:val="20"/>
        </w:rPr>
      </w:pPr>
      <w:r>
        <w:rPr>
          <w:rFonts w:ascii="Verdana" w:hAnsi="Verdana"/>
          <w:sz w:val="20"/>
        </w:rPr>
        <w:t>2.</w:t>
      </w:r>
      <w:r>
        <w:rPr>
          <w:rFonts w:ascii="Verdana" w:hAnsi="Verdana"/>
          <w:sz w:val="20"/>
        </w:rPr>
        <w:tab/>
        <w:t>Kod EAN;</w:t>
      </w:r>
    </w:p>
    <w:p w14:paraId="02671F8F" w14:textId="21F75470" w:rsidR="00431E06" w:rsidRDefault="00C53EFA" w:rsidP="00D35A1A">
      <w:pPr>
        <w:spacing w:line="276" w:lineRule="auto"/>
        <w:rPr>
          <w:rFonts w:ascii="Verdana" w:eastAsia="Times New Roman" w:hAnsi="Verdana" w:cs="Arial"/>
          <w:sz w:val="20"/>
        </w:rPr>
      </w:pPr>
      <w:r>
        <w:rPr>
          <w:rFonts w:ascii="Verdana" w:hAnsi="Verdana"/>
          <w:sz w:val="20"/>
        </w:rPr>
        <w:lastRenderedPageBreak/>
        <w:t>3.</w:t>
      </w:r>
      <w:r>
        <w:rPr>
          <w:rFonts w:ascii="Verdana" w:hAnsi="Verdana"/>
          <w:sz w:val="20"/>
        </w:rPr>
        <w:tab/>
        <w:t>Kategorię klienta.”.</w:t>
      </w:r>
    </w:p>
    <w:p w14:paraId="091ED929" w14:textId="77777777" w:rsidR="000D5D6D" w:rsidRDefault="000D5D6D" w:rsidP="00D35A1A">
      <w:pPr>
        <w:spacing w:line="276" w:lineRule="auto"/>
        <w:rPr>
          <w:rFonts w:ascii="Verdana" w:eastAsia="Times New Roman" w:hAnsi="Verdana" w:cs="Arial"/>
          <w:sz w:val="20"/>
          <w:lang w:val="nl-BE"/>
        </w:rPr>
      </w:pPr>
    </w:p>
    <w:p w14:paraId="14739B8C" w14:textId="3C781300" w:rsidR="000D5D6D" w:rsidRDefault="00333A99" w:rsidP="00D35A1A">
      <w:pPr>
        <w:spacing w:line="276" w:lineRule="auto"/>
        <w:rPr>
          <w:rFonts w:ascii="Verdana" w:eastAsia="Times New Roman" w:hAnsi="Verdana" w:cs="Arial"/>
          <w:sz w:val="20"/>
        </w:rPr>
      </w:pPr>
      <w:r>
        <w:rPr>
          <w:rFonts w:ascii="Verdana" w:hAnsi="Verdana"/>
          <w:b/>
          <w:sz w:val="20"/>
        </w:rPr>
        <w:t xml:space="preserve">Artykuł 18. </w:t>
      </w:r>
      <w:r>
        <w:rPr>
          <w:rFonts w:ascii="Verdana" w:hAnsi="Verdana"/>
          <w:sz w:val="20"/>
        </w:rPr>
        <w:t>W art. 7.7.3 ust. 1 pkt 6 tego samego dekretu, dodanym dekretem z dnia 25 listopada 2022 r., dodaje się zdanie w brzmieniu:</w:t>
      </w:r>
    </w:p>
    <w:p w14:paraId="6FCFAF85" w14:textId="77777777" w:rsidR="00575D33" w:rsidRDefault="00575D33" w:rsidP="00D35A1A">
      <w:pPr>
        <w:spacing w:line="276" w:lineRule="auto"/>
        <w:rPr>
          <w:rFonts w:ascii="Verdana" w:eastAsia="Times New Roman" w:hAnsi="Verdana" w:cs="Arial"/>
          <w:sz w:val="20"/>
          <w:lang w:val="nl-BE"/>
        </w:rPr>
      </w:pPr>
    </w:p>
    <w:p w14:paraId="04A0EBD4" w14:textId="2535BBB2" w:rsidR="00575D33" w:rsidRDefault="00575D33" w:rsidP="00D35A1A">
      <w:pPr>
        <w:spacing w:line="276" w:lineRule="auto"/>
        <w:rPr>
          <w:rFonts w:ascii="Verdana" w:eastAsia="Times New Roman" w:hAnsi="Verdana" w:cs="Arial"/>
          <w:sz w:val="20"/>
        </w:rPr>
      </w:pPr>
      <w:r>
        <w:rPr>
          <w:rFonts w:ascii="Verdana" w:hAnsi="Verdana"/>
          <w:sz w:val="20"/>
        </w:rPr>
        <w:t>„Ww. odroczenie wygasa również w przypadku, gdy w ciągu pięciu lat od dnia wejścia w życie odroczenia przyznanego wnioskodawcy budynek nie został rozebrany lub dach nie został wymieniony.”.</w:t>
      </w:r>
    </w:p>
    <w:p w14:paraId="3452BDEE" w14:textId="77777777" w:rsidR="00A0390C" w:rsidRDefault="00A0390C" w:rsidP="00D35A1A">
      <w:pPr>
        <w:spacing w:line="276" w:lineRule="auto"/>
        <w:rPr>
          <w:rFonts w:ascii="Verdana" w:eastAsia="Times New Roman" w:hAnsi="Verdana" w:cs="Arial"/>
          <w:sz w:val="20"/>
          <w:lang w:val="nl-BE"/>
        </w:rPr>
      </w:pPr>
    </w:p>
    <w:p w14:paraId="6F05C44A" w14:textId="210E5341" w:rsidR="00586E84" w:rsidRPr="00586E84" w:rsidRDefault="00A0390C" w:rsidP="00586E84">
      <w:pPr>
        <w:rPr>
          <w:rFonts w:ascii="Verdana" w:hAnsi="Verdana"/>
          <w:bCs/>
          <w:sz w:val="20"/>
        </w:rPr>
      </w:pPr>
      <w:r>
        <w:rPr>
          <w:rFonts w:ascii="Verdana" w:hAnsi="Verdana"/>
          <w:b/>
          <w:sz w:val="20"/>
        </w:rPr>
        <w:t>Artykuł 19.</w:t>
      </w:r>
      <w:r>
        <w:rPr>
          <w:rFonts w:ascii="Verdana" w:hAnsi="Verdana"/>
          <w:sz w:val="20"/>
        </w:rPr>
        <w:t xml:space="preserve"> W art. 7.9.1 tego samego dekretu, dodanym dekretem z dnia 26 kwietnia 2019 r., dodaje się ust. 2, który ma następujące brzmienie: </w:t>
      </w:r>
    </w:p>
    <w:p w14:paraId="4B484876" w14:textId="77777777" w:rsidR="00586E84" w:rsidRPr="00A75CC2" w:rsidRDefault="00586E84" w:rsidP="00586E84">
      <w:pPr>
        <w:rPr>
          <w:rFonts w:ascii="Verdana" w:hAnsi="Verdana"/>
          <w:sz w:val="20"/>
          <w:lang w:val="nl-BE"/>
        </w:rPr>
      </w:pPr>
    </w:p>
    <w:p w14:paraId="7EE31CA2" w14:textId="3FF1CE7B" w:rsidR="00F32510" w:rsidRPr="00586E84" w:rsidRDefault="00586E84" w:rsidP="00586E84">
      <w:pPr>
        <w:spacing w:line="276" w:lineRule="auto"/>
        <w:rPr>
          <w:rFonts w:ascii="Verdana" w:eastAsia="Times New Roman" w:hAnsi="Verdana" w:cs="Arial"/>
          <w:sz w:val="20"/>
        </w:rPr>
      </w:pPr>
      <w:r>
        <w:rPr>
          <w:rFonts w:ascii="Verdana" w:hAnsi="Verdana"/>
          <w:sz w:val="20"/>
        </w:rPr>
        <w:t>„Zadania mające na celu zachęcanie do racjonalnego zarządzania energią mogą przybrać formę przyznawania wsparcia na projekty renowacji energetycznej w domach awaryjnych. W takim przypadku Publiczny Ośrodek Opieki Społecznej, który udzielił wsparcia na renowację energetyczną domu awaryjnego, ma prawo pierwokupu tej nieruchomości przez okres obowiązywania umowy pożyczki. Do tego prawa pierwokupu zastosowanie ma dekret z dnia 25 maja 2007 r. harmonizujący procedury dotyczące praw pierwokupu.”.</w:t>
      </w:r>
    </w:p>
    <w:p w14:paraId="3F4FEAA1" w14:textId="77777777" w:rsidR="000E3C8E" w:rsidRPr="009C0733" w:rsidRDefault="000E3C8E" w:rsidP="00D35A1A">
      <w:pPr>
        <w:spacing w:line="276" w:lineRule="auto"/>
        <w:rPr>
          <w:rFonts w:ascii="Verdana" w:eastAsia="Times New Roman" w:hAnsi="Verdana" w:cs="Arial"/>
          <w:sz w:val="20"/>
          <w:lang w:val="nl-BE"/>
        </w:rPr>
      </w:pPr>
    </w:p>
    <w:p w14:paraId="000AA7CF" w14:textId="3A8B1190" w:rsidR="00BB403E" w:rsidRPr="009C0733" w:rsidRDefault="000E3C8E" w:rsidP="00D35A1A">
      <w:pPr>
        <w:spacing w:line="276" w:lineRule="auto"/>
        <w:jc w:val="both"/>
        <w:rPr>
          <w:rFonts w:ascii="Verdana" w:eastAsia="Times New Roman" w:hAnsi="Verdana" w:cs="Arial"/>
          <w:sz w:val="20"/>
        </w:rPr>
      </w:pPr>
      <w:r>
        <w:rPr>
          <w:rFonts w:ascii="Verdana" w:hAnsi="Verdana"/>
          <w:b/>
          <w:sz w:val="20"/>
        </w:rPr>
        <w:t xml:space="preserve">Artykuł 20. </w:t>
      </w:r>
      <w:r>
        <w:rPr>
          <w:rFonts w:ascii="Verdana" w:hAnsi="Verdana"/>
          <w:sz w:val="20"/>
        </w:rPr>
        <w:t>W art. 9.1.4 tego samego dekretu, przywróconym dekretem z dnia 2 kwietnia 2021 r. i zmienionym dekretami z dnia 6 maja 2022 r. i z dnia 23 grudnia 2022 r., dodaje się ust. 4 w brzmieniu:</w:t>
      </w:r>
    </w:p>
    <w:p w14:paraId="33D44D7F" w14:textId="77777777" w:rsidR="00BB403E" w:rsidRPr="009C0733" w:rsidRDefault="00BB403E" w:rsidP="00D35A1A">
      <w:pPr>
        <w:spacing w:line="276" w:lineRule="auto"/>
        <w:jc w:val="both"/>
        <w:rPr>
          <w:rFonts w:ascii="Verdana" w:eastAsia="Times New Roman" w:hAnsi="Verdana" w:cs="Arial"/>
          <w:sz w:val="20"/>
          <w:lang w:val="nl-BE"/>
        </w:rPr>
      </w:pPr>
    </w:p>
    <w:p w14:paraId="337E7048" w14:textId="286F11B3" w:rsidR="002D1FC3" w:rsidRPr="009C0733" w:rsidRDefault="00BB403E" w:rsidP="00D35A1A">
      <w:pPr>
        <w:spacing w:line="276" w:lineRule="auto"/>
        <w:rPr>
          <w:rFonts w:ascii="Verdana" w:eastAsia="Times New Roman" w:hAnsi="Verdana" w:cs="Arial"/>
          <w:sz w:val="20"/>
        </w:rPr>
      </w:pPr>
      <w:r>
        <w:rPr>
          <w:rFonts w:ascii="Verdana" w:hAnsi="Verdana"/>
          <w:sz w:val="20"/>
        </w:rPr>
        <w:t>„§4. W kontekście wykonywania swoich zadań, o których mowa w art. 9.1.1, pkt 2, 3. i 4, Domy energetyczne [Energiehuizen] mogą żądać następujących danych osobowych lub kategorii danych osobowych od swoich klientów oraz przetwarzać je w swoim zakresie:</w:t>
      </w:r>
    </w:p>
    <w:p w14:paraId="12D626B6" w14:textId="3791371D"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1.</w:t>
      </w:r>
      <w:r>
        <w:rPr>
          <w:rFonts w:ascii="Verdana" w:hAnsi="Verdana"/>
          <w:sz w:val="20"/>
        </w:rPr>
        <w:tab/>
        <w:t>Dane dotyczące połączenia z siecią dystrybucyjną energii elektrycznej z zastosowaniem taryfy nocnej;</w:t>
      </w:r>
    </w:p>
    <w:p w14:paraId="3C97C280" w14:textId="45CD7A44"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2.</w:t>
      </w:r>
      <w:r>
        <w:rPr>
          <w:rFonts w:ascii="Verdana" w:hAnsi="Verdana"/>
          <w:sz w:val="20"/>
        </w:rPr>
        <w:tab/>
        <w:t>Dane dotyczące premii przyznawanych za prace w budynkach lub na urządzenia wytwarzające energię, a mianowicie kategorie prac, za które premia została przyznana;</w:t>
      </w:r>
    </w:p>
    <w:p w14:paraId="250D6CB0" w14:textId="02E52704"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3.</w:t>
      </w:r>
      <w:r>
        <w:rPr>
          <w:rFonts w:ascii="Verdana" w:hAnsi="Verdana"/>
          <w:sz w:val="20"/>
        </w:rPr>
        <w:tab/>
        <w:t>Kod EAN i identyfikator jednostki budowlanej nieruchomości;</w:t>
      </w:r>
    </w:p>
    <w:p w14:paraId="0F0F5AA8" w14:textId="76D85BDD"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4.</w:t>
      </w:r>
      <w:r>
        <w:rPr>
          <w:rFonts w:ascii="Verdana" w:hAnsi="Verdana"/>
          <w:sz w:val="20"/>
        </w:rPr>
        <w:tab/>
        <w:t>Dane dotyczące miesięcznego zużycia energii w ich domu w ciągu ostatnich pięciu lat;</w:t>
      </w:r>
    </w:p>
    <w:p w14:paraId="5B1593C8" w14:textId="65493354" w:rsidR="00BB403E" w:rsidRPr="009C0733" w:rsidRDefault="00BB403E" w:rsidP="00D35A1A">
      <w:pPr>
        <w:spacing w:line="276" w:lineRule="auto"/>
        <w:rPr>
          <w:rFonts w:ascii="Verdana" w:eastAsia="Times New Roman" w:hAnsi="Verdana" w:cs="Arial"/>
          <w:sz w:val="20"/>
        </w:rPr>
      </w:pPr>
      <w:r>
        <w:rPr>
          <w:rFonts w:ascii="Verdana" w:hAnsi="Verdana"/>
          <w:sz w:val="20"/>
        </w:rPr>
        <w:t>5.</w:t>
      </w:r>
      <w:r>
        <w:rPr>
          <w:rFonts w:ascii="Verdana" w:hAnsi="Verdana"/>
          <w:sz w:val="20"/>
        </w:rPr>
        <w:tab/>
        <w:t>Dane dotyczące przynależności do jednej z następujących grup docelowych:</w:t>
      </w:r>
    </w:p>
    <w:p w14:paraId="65D334B3" w14:textId="5D98B05C" w:rsidR="00BB403E" w:rsidRPr="009C0733" w:rsidRDefault="00BB403E" w:rsidP="00D35A1A">
      <w:pPr>
        <w:spacing w:line="276" w:lineRule="auto"/>
        <w:ind w:firstLine="708"/>
        <w:rPr>
          <w:rFonts w:ascii="Verdana" w:eastAsia="Times New Roman" w:hAnsi="Verdana" w:cs="Arial"/>
          <w:sz w:val="20"/>
        </w:rPr>
      </w:pPr>
      <w:r>
        <w:rPr>
          <w:rFonts w:ascii="Verdana" w:hAnsi="Verdana"/>
          <w:sz w:val="20"/>
        </w:rPr>
        <w:t>a)</w:t>
      </w:r>
      <w:r>
        <w:rPr>
          <w:rFonts w:ascii="Verdana" w:hAnsi="Verdana"/>
          <w:sz w:val="20"/>
        </w:rPr>
        <w:tab/>
        <w:t>Chronionego klienta;</w:t>
      </w:r>
    </w:p>
    <w:p w14:paraId="72999715" w14:textId="70CDABBB" w:rsidR="00BB403E" w:rsidRPr="009C0733" w:rsidRDefault="00BB403E" w:rsidP="00D35A1A">
      <w:pPr>
        <w:spacing w:line="276" w:lineRule="auto"/>
        <w:ind w:firstLine="708"/>
        <w:rPr>
          <w:rFonts w:ascii="Verdana" w:eastAsia="Times New Roman" w:hAnsi="Verdana" w:cs="Arial"/>
          <w:sz w:val="20"/>
        </w:rPr>
      </w:pPr>
      <w:r>
        <w:rPr>
          <w:rFonts w:ascii="Verdana" w:hAnsi="Verdana"/>
          <w:sz w:val="20"/>
        </w:rPr>
        <w:t>b)</w:t>
      </w:r>
      <w:r>
        <w:rPr>
          <w:rFonts w:ascii="Verdana" w:hAnsi="Verdana"/>
          <w:sz w:val="20"/>
        </w:rPr>
        <w:tab/>
        <w:t>Pomiaru w systemie przedpłat;</w:t>
      </w:r>
    </w:p>
    <w:p w14:paraId="0945FB97" w14:textId="0B97D87C" w:rsidR="00BB403E" w:rsidRPr="009C0733" w:rsidRDefault="00BB403E" w:rsidP="00421842">
      <w:pPr>
        <w:spacing w:line="276" w:lineRule="auto"/>
        <w:ind w:left="1418" w:hanging="709"/>
        <w:rPr>
          <w:rFonts w:ascii="Verdana" w:eastAsia="Times New Roman" w:hAnsi="Verdana" w:cs="Arial"/>
          <w:sz w:val="20"/>
        </w:rPr>
      </w:pPr>
      <w:r>
        <w:rPr>
          <w:rFonts w:ascii="Verdana" w:hAnsi="Verdana"/>
          <w:sz w:val="20"/>
        </w:rPr>
        <w:t>c)</w:t>
      </w:r>
      <w:r>
        <w:rPr>
          <w:rFonts w:ascii="Verdana" w:hAnsi="Verdana"/>
          <w:sz w:val="20"/>
        </w:rPr>
        <w:tab/>
        <w:t>Doradztwa lokalnego komitetu doradczego w sprawie odłączenia lub ponownego podłączenia energii elektrycznej, gazu ziemnego lub wody.</w:t>
      </w:r>
    </w:p>
    <w:p w14:paraId="5CD1862D" w14:textId="77777777" w:rsidR="00BB403E" w:rsidRPr="009C0733" w:rsidRDefault="00BB403E" w:rsidP="00D35A1A">
      <w:pPr>
        <w:spacing w:line="276" w:lineRule="auto"/>
        <w:rPr>
          <w:rFonts w:ascii="Verdana" w:eastAsia="Times New Roman" w:hAnsi="Verdana" w:cs="Arial"/>
          <w:sz w:val="20"/>
          <w:lang w:val="nl-BE"/>
        </w:rPr>
      </w:pPr>
    </w:p>
    <w:p w14:paraId="6D1560A2" w14:textId="6E8AEAFA" w:rsidR="00BB403E" w:rsidRPr="009C0733" w:rsidRDefault="00BB403E" w:rsidP="00C63028">
      <w:pPr>
        <w:spacing w:line="276" w:lineRule="auto"/>
        <w:ind w:firstLine="709"/>
        <w:rPr>
          <w:rFonts w:ascii="Verdana" w:eastAsia="Times New Roman" w:hAnsi="Verdana" w:cs="Arial"/>
          <w:sz w:val="20"/>
        </w:rPr>
      </w:pPr>
      <w:r>
        <w:rPr>
          <w:rFonts w:ascii="Verdana" w:hAnsi="Verdana"/>
          <w:sz w:val="20"/>
        </w:rPr>
        <w:t>W przypadku przetwarzania danych osobowych, o których mowa w ust. 1, Domy energetyczne są administratorem, o którym mowa w art. 4 ust. 7 ogólnego rozporządzenia o ochronie danych.</w:t>
      </w:r>
    </w:p>
    <w:p w14:paraId="68292375" w14:textId="77777777" w:rsidR="00BB403E" w:rsidRPr="009C0733" w:rsidRDefault="00BB403E" w:rsidP="00C63028">
      <w:pPr>
        <w:spacing w:line="276" w:lineRule="auto"/>
        <w:ind w:firstLine="709"/>
        <w:rPr>
          <w:rFonts w:ascii="Verdana" w:eastAsia="Times New Roman" w:hAnsi="Verdana" w:cs="Arial"/>
          <w:sz w:val="20"/>
          <w:lang w:val="nl-BE"/>
        </w:rPr>
      </w:pPr>
    </w:p>
    <w:p w14:paraId="41024A3B" w14:textId="788AF314" w:rsidR="000E3C8E" w:rsidRPr="009C0733" w:rsidRDefault="00BB403E" w:rsidP="00C63028">
      <w:pPr>
        <w:spacing w:line="276" w:lineRule="auto"/>
        <w:ind w:firstLine="709"/>
        <w:rPr>
          <w:rFonts w:ascii="Verdana" w:eastAsia="Times New Roman" w:hAnsi="Verdana" w:cs="Arial"/>
          <w:sz w:val="20"/>
        </w:rPr>
      </w:pPr>
      <w:r>
        <w:rPr>
          <w:rFonts w:ascii="Verdana" w:hAnsi="Verdana"/>
          <w:sz w:val="20"/>
        </w:rPr>
        <w:t xml:space="preserve">Dane, o których mowa w ust. 1, 1, 2. i 5, przechowuje się przez okres pięciu lat. Dane, o których mowa w ust. 1, 3. i 4, przechowuje się przez okres </w:t>
      </w:r>
      <w:r>
        <w:rPr>
          <w:rFonts w:ascii="Verdana" w:hAnsi="Verdana"/>
          <w:sz w:val="20"/>
        </w:rPr>
        <w:lastRenderedPageBreak/>
        <w:t>piętnastu lat. Po upływie wyżej wymienionego 15-letniego okresu dane osobowe są anonimizowane.”;</w:t>
      </w:r>
    </w:p>
    <w:p w14:paraId="6B2FD6AD" w14:textId="77777777" w:rsidR="00EF3153" w:rsidRPr="009C0733" w:rsidRDefault="00EF3153" w:rsidP="00D35A1A">
      <w:pPr>
        <w:spacing w:line="276" w:lineRule="auto"/>
        <w:jc w:val="both"/>
        <w:rPr>
          <w:rFonts w:ascii="Verdana" w:eastAsia="Times New Roman" w:hAnsi="Verdana" w:cs="Arial"/>
          <w:sz w:val="20"/>
          <w:lang w:val="nl-BE"/>
        </w:rPr>
      </w:pPr>
    </w:p>
    <w:p w14:paraId="0C57760B" w14:textId="042D82BB" w:rsidR="000A4895" w:rsidRPr="009C0733" w:rsidRDefault="000A4895" w:rsidP="001A58D5">
      <w:pPr>
        <w:spacing w:line="276" w:lineRule="auto"/>
        <w:rPr>
          <w:rFonts w:ascii="Verdana" w:hAnsi="Verdana"/>
          <w:sz w:val="20"/>
        </w:rPr>
      </w:pPr>
      <w:r>
        <w:rPr>
          <w:rFonts w:ascii="Verdana" w:hAnsi="Verdana"/>
          <w:b/>
          <w:sz w:val="20"/>
        </w:rPr>
        <w:t xml:space="preserve">Artykuł 21. </w:t>
      </w:r>
      <w:r>
        <w:rPr>
          <w:rFonts w:ascii="Verdana" w:hAnsi="Verdana"/>
          <w:sz w:val="20"/>
        </w:rPr>
        <w:t>W art. 11.1/1.3 ust. 2 tego samego dekretu, dodanym dekretem z dnia 22 października 2021 r., wyrazy „jeżeli na ulicy nie ma sieci gazu ziemnego” zastępuje się wyrazami „jeżeli na ulicy nie jest dostępna sieć gazu ziemnego na poziomie budynku lub jeżeli budynek nie może być podłączony do gazociągu gazu ziemnego po drugiej stronie ulicy przez przewiercenie się pod spodem”.</w:t>
      </w:r>
    </w:p>
    <w:p w14:paraId="5DB6AA3B" w14:textId="77777777" w:rsidR="000A4895" w:rsidRPr="009C0733" w:rsidRDefault="000A4895" w:rsidP="00D35A1A">
      <w:pPr>
        <w:spacing w:line="276" w:lineRule="auto"/>
        <w:jc w:val="both"/>
        <w:rPr>
          <w:rFonts w:ascii="Verdana" w:hAnsi="Verdana"/>
          <w:sz w:val="20"/>
          <w:lang w:val="nl-BE"/>
        </w:rPr>
      </w:pPr>
    </w:p>
    <w:p w14:paraId="6294C767" w14:textId="60FCE300" w:rsidR="00EF3153" w:rsidRPr="009C0733" w:rsidRDefault="00EF3153" w:rsidP="00D35A1A">
      <w:pPr>
        <w:spacing w:line="276" w:lineRule="auto"/>
        <w:jc w:val="both"/>
        <w:rPr>
          <w:rFonts w:ascii="Verdana" w:eastAsia="Times New Roman" w:hAnsi="Verdana" w:cs="Arial"/>
          <w:sz w:val="20"/>
        </w:rPr>
      </w:pPr>
      <w:r>
        <w:rPr>
          <w:rFonts w:ascii="Verdana" w:hAnsi="Verdana"/>
          <w:b/>
          <w:sz w:val="20"/>
        </w:rPr>
        <w:t xml:space="preserve">Artykuł 22. </w:t>
      </w:r>
      <w:r>
        <w:rPr>
          <w:rFonts w:ascii="Verdana" w:hAnsi="Verdana"/>
          <w:sz w:val="20"/>
        </w:rPr>
        <w:t xml:space="preserve">W art. 11.2.3 ust. 3 pkt 1 tego samego dekretu, dodanym dekretem z dnia 18 listopada 2011 r. i zmienionym dekretami z dnia 27 listopada 2015 r. i z dnia 30 października 2020 r., pomiędzy wyrażeniem „usługi rządu flamandzkiego” a wyrazami „zainteresowana gmina” dodaje się wyrażenie „zainteresowany dom energetyczny”.  </w:t>
      </w:r>
    </w:p>
    <w:p w14:paraId="2BA51625" w14:textId="77777777" w:rsidR="00676859" w:rsidRPr="00FA2D5D" w:rsidRDefault="00676859" w:rsidP="00D35A1A">
      <w:pPr>
        <w:spacing w:line="276" w:lineRule="auto"/>
        <w:rPr>
          <w:rFonts w:ascii="Verdana" w:hAnsi="Verdana" w:cs="Arial"/>
          <w:bCs/>
          <w:spacing w:val="-3"/>
          <w:sz w:val="20"/>
          <w:lang w:val="nl-BE"/>
        </w:rPr>
      </w:pPr>
    </w:p>
    <w:p w14:paraId="4542D83E" w14:textId="609D5123" w:rsidR="00D46947" w:rsidRDefault="00D46947" w:rsidP="00D46947">
      <w:pPr>
        <w:spacing w:line="276" w:lineRule="auto"/>
        <w:rPr>
          <w:rFonts w:ascii="Verdana" w:hAnsi="Verdana" w:cs="Arial"/>
          <w:spacing w:val="-3"/>
          <w:sz w:val="20"/>
        </w:rPr>
      </w:pPr>
      <w:r>
        <w:rPr>
          <w:rFonts w:ascii="Verdana" w:hAnsi="Verdana"/>
          <w:b/>
          <w:sz w:val="20"/>
        </w:rPr>
        <w:t>Artykuł 23.</w:t>
      </w:r>
      <w:r>
        <w:rPr>
          <w:rFonts w:ascii="Verdana" w:hAnsi="Verdana"/>
          <w:sz w:val="20"/>
        </w:rPr>
        <w:t xml:space="preserve"> W tym samym dekrecie, ostatnio zmienionym dekretem z dnia 23 grudnia 2022 r., dodaje się art. 12.3.2 w brzmieniu:</w:t>
      </w:r>
    </w:p>
    <w:p w14:paraId="306E8AAE" w14:textId="77777777" w:rsidR="00D46947" w:rsidRDefault="00D46947" w:rsidP="00D46947">
      <w:pPr>
        <w:spacing w:line="276" w:lineRule="auto"/>
        <w:rPr>
          <w:rFonts w:ascii="Verdana" w:hAnsi="Verdana" w:cs="Arial"/>
          <w:spacing w:val="-3"/>
          <w:sz w:val="20"/>
          <w:lang w:val="nl-BE"/>
        </w:rPr>
      </w:pPr>
    </w:p>
    <w:p w14:paraId="45002594" w14:textId="0B29E079" w:rsidR="00CF0E68" w:rsidRDefault="00D46947" w:rsidP="00D46947">
      <w:pPr>
        <w:spacing w:line="276" w:lineRule="auto"/>
        <w:rPr>
          <w:rFonts w:ascii="Verdana" w:hAnsi="Verdana" w:cs="Arial"/>
          <w:spacing w:val="-3"/>
          <w:sz w:val="20"/>
        </w:rPr>
      </w:pPr>
      <w:r>
        <w:rPr>
          <w:rFonts w:ascii="Verdana" w:hAnsi="Verdana"/>
          <w:sz w:val="20"/>
        </w:rPr>
        <w:t>„Artykuł 12.3.2. §1. Każda organizacja publiczna udostępnia publicznie za pośrednictwem platformy dane dotyczące zużycia energii i jej produkcji oraz, jeżeli są dostępne, właściwości fizyczne obiektów i budynków, których jest użytkownikiem, jako otwarte dane, które mogą być swobodnie wykorzystywane, ponownie wykorzystywane i udostępniane przez każdego. Powyższe dane są aktualizowane co najmniej raz w miesiącu.</w:t>
      </w:r>
    </w:p>
    <w:p w14:paraId="0B811910" w14:textId="77777777" w:rsidR="00CF0E68" w:rsidRDefault="00CF0E68" w:rsidP="00D46947">
      <w:pPr>
        <w:spacing w:line="276" w:lineRule="auto"/>
        <w:rPr>
          <w:rFonts w:ascii="Verdana" w:hAnsi="Verdana" w:cs="Arial"/>
          <w:spacing w:val="-3"/>
          <w:sz w:val="20"/>
          <w:lang w:val="nl-BE"/>
        </w:rPr>
      </w:pPr>
    </w:p>
    <w:p w14:paraId="4857F2A3" w14:textId="60952BC4" w:rsidR="00DF14E1" w:rsidRPr="00326C33" w:rsidRDefault="00D46947" w:rsidP="00374FF2">
      <w:pPr>
        <w:spacing w:line="276" w:lineRule="auto"/>
        <w:ind w:firstLine="709"/>
        <w:rPr>
          <w:rFonts w:ascii="Verdana" w:hAnsi="Verdana" w:cs="Arial"/>
          <w:spacing w:val="-3"/>
          <w:sz w:val="20"/>
        </w:rPr>
      </w:pPr>
      <w:r>
        <w:rPr>
          <w:rFonts w:ascii="Verdana" w:hAnsi="Verdana"/>
          <w:sz w:val="20"/>
        </w:rPr>
        <w:t>Rząd flamandzki może określić szczegółowe zasady udostępniania danych, sposobu ich udostępniania oraz funkcjonowania platformy, o której mowa w ust. 1.</w:t>
      </w:r>
    </w:p>
    <w:p w14:paraId="57975CB2" w14:textId="77777777" w:rsidR="00D46947" w:rsidRDefault="00D46947" w:rsidP="00374FF2">
      <w:pPr>
        <w:spacing w:line="276" w:lineRule="auto"/>
        <w:ind w:firstLine="709"/>
        <w:rPr>
          <w:rFonts w:ascii="Verdana" w:hAnsi="Verdana" w:cs="Arial"/>
          <w:spacing w:val="-3"/>
          <w:sz w:val="20"/>
          <w:lang w:val="nl-BE"/>
        </w:rPr>
      </w:pPr>
    </w:p>
    <w:p w14:paraId="64CC0190" w14:textId="77777777" w:rsidR="00D46947" w:rsidRDefault="00D46947" w:rsidP="00374FF2">
      <w:pPr>
        <w:spacing w:line="276" w:lineRule="auto"/>
        <w:ind w:firstLine="709"/>
        <w:rPr>
          <w:rFonts w:ascii="Verdana" w:hAnsi="Verdana" w:cs="Arial"/>
          <w:spacing w:val="-3"/>
          <w:sz w:val="20"/>
        </w:rPr>
      </w:pPr>
      <w:r>
        <w:rPr>
          <w:rFonts w:ascii="Verdana" w:hAnsi="Verdana"/>
          <w:sz w:val="20"/>
        </w:rPr>
        <w:t>Dane dotyczące zużycia i produkcji energii, o których mowa w ust. 1, obejmują co najmniej:</w:t>
      </w:r>
    </w:p>
    <w:p w14:paraId="0164D68B" w14:textId="42E3BD9B" w:rsidR="00D46947" w:rsidRPr="00EF0B4B" w:rsidRDefault="00E913FC" w:rsidP="00402D1C">
      <w:pPr>
        <w:spacing w:line="276" w:lineRule="auto"/>
        <w:ind w:left="709" w:hanging="709"/>
        <w:rPr>
          <w:rFonts w:ascii="Verdana" w:hAnsi="Verdana" w:cs="Arial"/>
          <w:bCs/>
          <w:spacing w:val="-3"/>
          <w:sz w:val="20"/>
        </w:rPr>
      </w:pPr>
      <w:r>
        <w:rPr>
          <w:rFonts w:ascii="Verdana" w:hAnsi="Verdana"/>
          <w:sz w:val="20"/>
        </w:rPr>
        <w:t>1.</w:t>
      </w:r>
      <w:r>
        <w:rPr>
          <w:rFonts w:ascii="Verdana" w:hAnsi="Verdana"/>
          <w:sz w:val="20"/>
        </w:rPr>
        <w:tab/>
      </w:r>
      <w:r>
        <w:rPr>
          <w:rFonts w:ascii="Verdana" w:hAnsi="Verdana"/>
          <w:sz w:val="20"/>
          <w:shd w:val="clear" w:color="auto" w:fill="FFFFFF"/>
        </w:rPr>
        <w:t>Kwartalne wartości wyczerpania i dostawy energii elektrycznej, wartości godzinowe dla gazu</w:t>
      </w:r>
      <w:r>
        <w:rPr>
          <w:rFonts w:ascii="Verdana" w:hAnsi="Verdana"/>
          <w:sz w:val="20"/>
        </w:rPr>
        <w:t>, miesięczne szczyty i nominalna wydajność istniejących zdecentralizowanych jednostek produkcyjnych dla punktów dostępu, względem których organizacja publiczna jest posiadaczem i użytkownikiem sieci;</w:t>
      </w:r>
    </w:p>
    <w:p w14:paraId="042965D7" w14:textId="63A5EB0B" w:rsidR="007E308A" w:rsidRPr="002F1471" w:rsidRDefault="00E913FC" w:rsidP="00402D1C">
      <w:pPr>
        <w:spacing w:line="276" w:lineRule="auto"/>
        <w:ind w:left="709" w:hanging="709"/>
        <w:rPr>
          <w:rFonts w:ascii="Verdana" w:hAnsi="Verdana" w:cs="Arial"/>
          <w:spacing w:val="-3"/>
          <w:sz w:val="20"/>
        </w:rPr>
      </w:pPr>
      <w:r>
        <w:rPr>
          <w:rFonts w:ascii="Verdana" w:hAnsi="Verdana"/>
          <w:sz w:val="20"/>
        </w:rPr>
        <w:t>2.</w:t>
      </w:r>
      <w:r>
        <w:rPr>
          <w:rFonts w:ascii="Verdana" w:hAnsi="Verdana"/>
          <w:sz w:val="20"/>
        </w:rPr>
        <w:tab/>
        <w:t xml:space="preserve">Zużycie energii do celów ogrzewania lub chłodzenia, w tym oleju opałowego, granulatu, zużycie energii z sieci chłodniczej lub grzewczej, rozłożone na podstawie zużycia faktycznie mierzonego lub oszacowanego w możliwie realistyczny sposób, co najmniej w ujęciu miesięcznym. </w:t>
      </w:r>
    </w:p>
    <w:p w14:paraId="387192CD" w14:textId="77777777" w:rsidR="00291796" w:rsidRDefault="00291796" w:rsidP="00374FF2">
      <w:pPr>
        <w:spacing w:line="276" w:lineRule="auto"/>
        <w:ind w:firstLine="709"/>
        <w:rPr>
          <w:rFonts w:ascii="Verdana" w:hAnsi="Verdana" w:cs="Arial"/>
          <w:spacing w:val="-3"/>
          <w:sz w:val="20"/>
        </w:rPr>
      </w:pPr>
      <w:bookmarkStart w:id="1" w:name="_Hlk121736064"/>
    </w:p>
    <w:p w14:paraId="5B2CAE7A" w14:textId="0E17B9A5" w:rsidR="00F67CD2" w:rsidRDefault="00F67CD2" w:rsidP="00374FF2">
      <w:pPr>
        <w:spacing w:line="276" w:lineRule="auto"/>
        <w:ind w:firstLine="709"/>
        <w:rPr>
          <w:rFonts w:ascii="Verdana" w:hAnsi="Verdana" w:cs="Arial"/>
          <w:spacing w:val="-3"/>
          <w:sz w:val="20"/>
        </w:rPr>
      </w:pPr>
      <w:r>
        <w:rPr>
          <w:rFonts w:ascii="Verdana" w:hAnsi="Verdana"/>
          <w:sz w:val="20"/>
        </w:rPr>
        <w:t>Właściwości fizyczne instalacji i budynków, o których mowa w ust. 1, obejmują co najmniej powierzchnię podłogi w m</w:t>
      </w:r>
      <w:r>
        <w:rPr>
          <w:rFonts w:ascii="Verdana" w:hAnsi="Verdana"/>
          <w:sz w:val="20"/>
          <w:vertAlign w:val="superscript"/>
        </w:rPr>
        <w:t>2</w:t>
      </w:r>
      <w:r>
        <w:rPr>
          <w:rFonts w:ascii="Verdana" w:hAnsi="Verdana"/>
          <w:sz w:val="20"/>
        </w:rPr>
        <w:t>, charakterystykę energetyczną i inne przydatne dane dotyczące energii.</w:t>
      </w:r>
    </w:p>
    <w:p w14:paraId="17107676" w14:textId="77777777" w:rsidR="00F67CD2" w:rsidRDefault="00F67CD2" w:rsidP="00291796">
      <w:pPr>
        <w:spacing w:line="276" w:lineRule="auto"/>
        <w:rPr>
          <w:rFonts w:ascii="Verdana" w:hAnsi="Verdana" w:cs="Arial"/>
          <w:spacing w:val="-3"/>
          <w:sz w:val="20"/>
          <w:lang w:val="nl-BE"/>
        </w:rPr>
      </w:pPr>
    </w:p>
    <w:bookmarkEnd w:id="1"/>
    <w:p w14:paraId="3ED8BDFA" w14:textId="7FA405AB" w:rsidR="00276D62" w:rsidRDefault="0094276B" w:rsidP="008F6998">
      <w:pPr>
        <w:spacing w:line="276" w:lineRule="auto"/>
        <w:rPr>
          <w:rFonts w:ascii="Verdana" w:hAnsi="Verdana" w:cs="Arial"/>
          <w:spacing w:val="-3"/>
          <w:sz w:val="20"/>
        </w:rPr>
      </w:pPr>
      <w:r>
        <w:rPr>
          <w:rFonts w:ascii="Verdana" w:hAnsi="Verdana"/>
          <w:sz w:val="20"/>
        </w:rPr>
        <w:t>§2. Obowiązki określone w ust. 1 nie mają zastosowania do budynków przeznaczonych do obronności.</w:t>
      </w:r>
    </w:p>
    <w:p w14:paraId="546FA9A4" w14:textId="77777777" w:rsidR="00276D62" w:rsidRDefault="00276D62" w:rsidP="008F6998">
      <w:pPr>
        <w:spacing w:line="276" w:lineRule="auto"/>
        <w:rPr>
          <w:rFonts w:ascii="Verdana" w:hAnsi="Verdana" w:cs="Arial"/>
          <w:spacing w:val="-3"/>
          <w:sz w:val="20"/>
          <w:lang w:val="nl-BE"/>
        </w:rPr>
      </w:pPr>
    </w:p>
    <w:p w14:paraId="57C73023" w14:textId="32076990" w:rsidR="008F6998" w:rsidRPr="000372B6" w:rsidRDefault="00556390" w:rsidP="004F1C4F">
      <w:pPr>
        <w:spacing w:line="276" w:lineRule="auto"/>
        <w:ind w:firstLine="709"/>
        <w:rPr>
          <w:rFonts w:ascii="Verdana" w:hAnsi="Verdana" w:cs="Arial"/>
          <w:spacing w:val="-3"/>
          <w:sz w:val="20"/>
        </w:rPr>
      </w:pPr>
      <w:r>
        <w:rPr>
          <w:rFonts w:ascii="Verdana" w:hAnsi="Verdana"/>
          <w:sz w:val="20"/>
        </w:rPr>
        <w:t>Obowiązek publicznego udostępniania właściwości fizycznych instalacji i budynków jako otwartych danych nie ma zastosowania do więzień.”;</w:t>
      </w:r>
    </w:p>
    <w:p w14:paraId="5FE8BED3" w14:textId="77777777" w:rsidR="00AC04D3" w:rsidRDefault="00AC04D3">
      <w:pPr>
        <w:spacing w:line="276" w:lineRule="auto"/>
        <w:rPr>
          <w:rFonts w:ascii="Verdana" w:hAnsi="Verdana" w:cs="Arial"/>
          <w:spacing w:val="-3"/>
          <w:sz w:val="20"/>
          <w:lang w:val="nl-BE"/>
        </w:rPr>
      </w:pPr>
    </w:p>
    <w:p w14:paraId="3936DEE0" w14:textId="128A6840" w:rsidR="00AF7BC9" w:rsidRDefault="00AC04D3">
      <w:pPr>
        <w:spacing w:line="276" w:lineRule="auto"/>
        <w:rPr>
          <w:rFonts w:ascii="Verdana" w:hAnsi="Verdana"/>
          <w:sz w:val="20"/>
        </w:rPr>
      </w:pPr>
      <w:r>
        <w:rPr>
          <w:rFonts w:ascii="Verdana" w:hAnsi="Verdana"/>
          <w:b/>
          <w:sz w:val="20"/>
        </w:rPr>
        <w:lastRenderedPageBreak/>
        <w:t>Artykuł 24.</w:t>
      </w:r>
      <w:r>
        <w:rPr>
          <w:rFonts w:ascii="Verdana" w:hAnsi="Verdana"/>
          <w:sz w:val="20"/>
        </w:rPr>
        <w:t xml:space="preserve"> W art. 12.5.1 ust. 1 pkt 2 tego samego dekretu, dodanym dekretem z dnia 22 października 2021 r. i zmienionym dekretami z dnia 25 listopada 2022 r. i z dnia 23 grudnia 2022 r., wprowadza się następujące zmiany:</w:t>
      </w:r>
    </w:p>
    <w:p w14:paraId="6BEB7DE3" w14:textId="77777777" w:rsidR="00AF7BC9" w:rsidRDefault="00AF7BC9">
      <w:pPr>
        <w:spacing w:line="276" w:lineRule="auto"/>
        <w:rPr>
          <w:rFonts w:ascii="Verdana" w:hAnsi="Verdana"/>
          <w:sz w:val="20"/>
          <w:lang w:val="nl-BE"/>
        </w:rPr>
      </w:pPr>
    </w:p>
    <w:p w14:paraId="779EDF01" w14:textId="7720347C" w:rsidR="00AC04D3" w:rsidRDefault="00506451">
      <w:pPr>
        <w:spacing w:line="276" w:lineRule="auto"/>
        <w:rPr>
          <w:rFonts w:ascii="Verdana" w:hAnsi="Verdana"/>
          <w:sz w:val="20"/>
        </w:rPr>
      </w:pPr>
      <w:r>
        <w:rPr>
          <w:rFonts w:ascii="Verdana" w:hAnsi="Verdana"/>
          <w:sz w:val="20"/>
        </w:rPr>
        <w:t>1. W pkt 10. i 11. przed wyrazem „niemieszkalne” dodaje się wyrazy „mieszkalne i”;</w:t>
      </w:r>
    </w:p>
    <w:p w14:paraId="3E4975CB" w14:textId="77777777" w:rsidR="005777E5" w:rsidRDefault="005777E5">
      <w:pPr>
        <w:spacing w:line="276" w:lineRule="auto"/>
        <w:rPr>
          <w:rFonts w:ascii="Verdana" w:hAnsi="Verdana"/>
          <w:sz w:val="20"/>
          <w:lang w:val="nl-BE"/>
        </w:rPr>
      </w:pPr>
    </w:p>
    <w:p w14:paraId="53C85E6E" w14:textId="217ABEC9" w:rsidR="005777E5" w:rsidRDefault="005777E5">
      <w:pPr>
        <w:spacing w:line="276" w:lineRule="auto"/>
        <w:rPr>
          <w:rFonts w:ascii="Verdana" w:hAnsi="Verdana"/>
          <w:sz w:val="20"/>
        </w:rPr>
      </w:pPr>
      <w:r>
        <w:rPr>
          <w:rFonts w:ascii="Verdana" w:hAnsi="Verdana"/>
          <w:sz w:val="20"/>
        </w:rPr>
        <w:t>2. W pkt 12. między wyrazami „świadectwo charakterystyki energetycznej” a wyrazem „niemieszkalne” dodaje się wyrazy „mieszkalne i”;</w:t>
      </w:r>
    </w:p>
    <w:p w14:paraId="04ACAB0C" w14:textId="77777777" w:rsidR="00813C42" w:rsidRDefault="00813C42">
      <w:pPr>
        <w:spacing w:line="276" w:lineRule="auto"/>
        <w:rPr>
          <w:rFonts w:ascii="Verdana" w:hAnsi="Verdana"/>
          <w:sz w:val="20"/>
          <w:lang w:val="nl-BE"/>
        </w:rPr>
      </w:pPr>
    </w:p>
    <w:p w14:paraId="50924F9F" w14:textId="2A7D8403" w:rsidR="00813C42" w:rsidRPr="001A58D5" w:rsidRDefault="00813C42">
      <w:pPr>
        <w:spacing w:line="276" w:lineRule="auto"/>
        <w:rPr>
          <w:rFonts w:ascii="Verdana" w:hAnsi="Verdana" w:cs="Arial"/>
          <w:spacing w:val="-3"/>
          <w:sz w:val="20"/>
        </w:rPr>
      </w:pPr>
      <w:r>
        <w:rPr>
          <w:rFonts w:ascii="Verdana" w:hAnsi="Verdana"/>
          <w:sz w:val="20"/>
        </w:rPr>
        <w:t>3. W pkt 13. i 14. przed wyrazem „niemieszkalne” dodaje się wyrazy „mieszkalne i”.</w:t>
      </w:r>
    </w:p>
    <w:p w14:paraId="2FA08291" w14:textId="77777777" w:rsidR="00996042" w:rsidRPr="00AF7BC9" w:rsidRDefault="00996042">
      <w:pPr>
        <w:spacing w:line="276" w:lineRule="auto"/>
        <w:rPr>
          <w:rFonts w:ascii="Verdana" w:hAnsi="Verdana" w:cs="Arial"/>
          <w:spacing w:val="-3"/>
          <w:sz w:val="20"/>
          <w:lang w:val="nl-BE"/>
        </w:rPr>
      </w:pPr>
    </w:p>
    <w:p w14:paraId="10448285" w14:textId="62CE089C" w:rsidR="00996042" w:rsidRDefault="00996042">
      <w:pPr>
        <w:spacing w:line="276" w:lineRule="auto"/>
        <w:rPr>
          <w:rFonts w:ascii="Verdana" w:hAnsi="Verdana" w:cs="Arial"/>
          <w:spacing w:val="-3"/>
          <w:sz w:val="20"/>
        </w:rPr>
      </w:pPr>
      <w:r>
        <w:rPr>
          <w:rFonts w:ascii="Verdana" w:hAnsi="Verdana"/>
          <w:b/>
          <w:sz w:val="20"/>
        </w:rPr>
        <w:t>Artykuł 25.</w:t>
      </w:r>
      <w:r>
        <w:rPr>
          <w:rFonts w:ascii="Verdana" w:hAnsi="Verdana"/>
          <w:sz w:val="20"/>
        </w:rPr>
        <w:t xml:space="preserve"> W art. 13.1.2 ust. 2 pkt 2 tego samego dekretu, ostatnio zmienionego dekretem z dnia 30 października 2020 r., między wyrazem „do” a wyrazem „budynki” dodaje się wyraz „zamieszkane”.</w:t>
      </w:r>
    </w:p>
    <w:p w14:paraId="2F22FA3D" w14:textId="77777777" w:rsidR="009476D6" w:rsidRDefault="009476D6" w:rsidP="00D35A1A">
      <w:pPr>
        <w:spacing w:line="276" w:lineRule="auto"/>
        <w:rPr>
          <w:rFonts w:ascii="Verdana" w:hAnsi="Verdana" w:cs="Arial"/>
          <w:spacing w:val="-3"/>
          <w:sz w:val="20"/>
          <w:lang w:val="nl-BE"/>
        </w:rPr>
      </w:pPr>
    </w:p>
    <w:p w14:paraId="2C0D37B5" w14:textId="152D2CB4" w:rsidR="009476D6" w:rsidRPr="002D0676" w:rsidRDefault="009476D6" w:rsidP="00D35A1A">
      <w:pPr>
        <w:spacing w:line="276" w:lineRule="auto"/>
        <w:rPr>
          <w:rFonts w:ascii="Verdana" w:hAnsi="Verdana"/>
          <w:sz w:val="20"/>
        </w:rPr>
      </w:pPr>
      <w:r>
        <w:rPr>
          <w:rFonts w:ascii="Verdana" w:hAnsi="Verdana"/>
          <w:b/>
          <w:sz w:val="20"/>
        </w:rPr>
        <w:t>Artykuł 26.</w:t>
      </w:r>
      <w:r>
        <w:rPr>
          <w:rFonts w:ascii="Verdana" w:hAnsi="Verdana"/>
          <w:sz w:val="20"/>
        </w:rPr>
        <w:t xml:space="preserve"> W art. 13.4.10 tego samego dekretu, ostatnio zmienionego dekretem z dnia 18 marca 2022 r., wprowadza się następujące zmiany:</w:t>
      </w:r>
    </w:p>
    <w:p w14:paraId="121EF26C" w14:textId="77777777" w:rsidR="009476D6" w:rsidRPr="002D0676" w:rsidRDefault="009476D6" w:rsidP="00D35A1A">
      <w:pPr>
        <w:spacing w:line="276" w:lineRule="auto"/>
        <w:rPr>
          <w:rFonts w:ascii="Verdana" w:hAnsi="Verdana"/>
          <w:sz w:val="20"/>
          <w:lang w:val="nl-BE"/>
        </w:rPr>
      </w:pPr>
    </w:p>
    <w:p w14:paraId="4846E0A4" w14:textId="6AFED30B" w:rsidR="009476D6" w:rsidRPr="002D0676" w:rsidRDefault="009476D6" w:rsidP="00D35A1A">
      <w:pPr>
        <w:spacing w:line="276" w:lineRule="auto"/>
        <w:rPr>
          <w:rFonts w:ascii="Verdana" w:hAnsi="Verdana"/>
          <w:sz w:val="20"/>
        </w:rPr>
      </w:pPr>
      <w:r>
        <w:rPr>
          <w:rFonts w:ascii="Verdana" w:hAnsi="Verdana"/>
          <w:sz w:val="20"/>
        </w:rPr>
        <w:t>1. W ust. 1 skreśla się pkt 3;</w:t>
      </w:r>
    </w:p>
    <w:p w14:paraId="6224D163" w14:textId="77777777" w:rsidR="009476D6" w:rsidRPr="002D0676" w:rsidRDefault="009476D6" w:rsidP="00D35A1A">
      <w:pPr>
        <w:spacing w:line="276" w:lineRule="auto"/>
        <w:rPr>
          <w:rFonts w:ascii="Verdana" w:hAnsi="Verdana"/>
          <w:sz w:val="20"/>
          <w:lang w:val="nl-BE"/>
        </w:rPr>
      </w:pPr>
    </w:p>
    <w:p w14:paraId="3981ACB0" w14:textId="36AF3DB0" w:rsidR="009476D6" w:rsidRPr="002D0676" w:rsidRDefault="009476D6" w:rsidP="00D35A1A">
      <w:pPr>
        <w:spacing w:line="276" w:lineRule="auto"/>
        <w:rPr>
          <w:rFonts w:ascii="Verdana" w:hAnsi="Verdana"/>
          <w:sz w:val="20"/>
        </w:rPr>
      </w:pPr>
      <w:r>
        <w:rPr>
          <w:rFonts w:ascii="Verdana" w:hAnsi="Verdana"/>
          <w:sz w:val="20"/>
        </w:rPr>
        <w:t>2. Dodaje się ust. 1/0 oraz ust. 1/0/1 w brzmieniu:</w:t>
      </w:r>
    </w:p>
    <w:p w14:paraId="3ECAC117" w14:textId="77777777" w:rsidR="009476D6" w:rsidRPr="002D0676" w:rsidRDefault="009476D6" w:rsidP="00D35A1A">
      <w:pPr>
        <w:spacing w:line="276" w:lineRule="auto"/>
        <w:rPr>
          <w:rFonts w:ascii="Verdana" w:hAnsi="Verdana"/>
          <w:sz w:val="20"/>
          <w:lang w:val="nl-BE"/>
        </w:rPr>
      </w:pPr>
    </w:p>
    <w:p w14:paraId="035E7171" w14:textId="07059C3D" w:rsidR="009476D6" w:rsidRPr="002D0676" w:rsidRDefault="009476D6" w:rsidP="00D35A1A">
      <w:pPr>
        <w:spacing w:line="276" w:lineRule="auto"/>
        <w:rPr>
          <w:rFonts w:ascii="Verdana" w:hAnsi="Verdana"/>
          <w:sz w:val="20"/>
        </w:rPr>
      </w:pPr>
      <w:r>
        <w:rPr>
          <w:rFonts w:ascii="Verdana" w:hAnsi="Verdana"/>
          <w:sz w:val="20"/>
        </w:rPr>
        <w:t>„§1/0. Jeżeli VEKA stwierdzi, że świadectwo charakterystyki energetycznej nie jest zgodne z rzeczywistością lub z ustaleniami audytu, VEKA zobowiąże eksperta ds. energii do sporządzenia nowego świadectwa charakterystyki energetycznej zgodnego z ustaleniami audytu w ciągu 30 dni kalendarzowych oraz wydania tego nowego świadectwa charakterystyki energetycznej właścicielowi lub użytkownikowi budynku. Jeżeli wyżej wymieniony budynek jest wynajmowany, właściciel przekazuje najemcy kopię nowego świadectwa charakterystyki energetycznej. Koszt sporządzenia świadectwa charakterystyki energetycznej ponosi w całości ekspert ds. energii.</w:t>
      </w:r>
    </w:p>
    <w:p w14:paraId="5932A69C" w14:textId="77777777" w:rsidR="009476D6" w:rsidRPr="002D0676" w:rsidRDefault="009476D6" w:rsidP="00D35A1A">
      <w:pPr>
        <w:spacing w:line="276" w:lineRule="auto"/>
        <w:rPr>
          <w:rFonts w:ascii="Verdana" w:hAnsi="Verdana"/>
          <w:sz w:val="20"/>
          <w:lang w:val="nl-BE"/>
        </w:rPr>
      </w:pPr>
    </w:p>
    <w:p w14:paraId="2517D91C" w14:textId="3D04A534" w:rsidR="009476D6" w:rsidRPr="002D0676" w:rsidRDefault="009476D6" w:rsidP="00D35A1A">
      <w:pPr>
        <w:spacing w:line="276" w:lineRule="auto"/>
        <w:rPr>
          <w:rFonts w:ascii="Verdana" w:hAnsi="Verdana"/>
          <w:sz w:val="20"/>
        </w:rPr>
      </w:pPr>
      <w:r>
        <w:rPr>
          <w:rFonts w:ascii="Verdana" w:hAnsi="Verdana"/>
          <w:sz w:val="20"/>
        </w:rPr>
        <w:t>§1/0/1. W przypadku stwierdzenia naruszenia obowiązku, o którym mowa w ust. 1 pkt 2 lub w ust. 1/0, VEKA powiadamia eksperta ds. energii o konieczności wywiązania się z obowiązków w określonym terminie. Jeżeli ekspert ds. energii nie dotrzyma powyższego terminu, VEKA nakłada grzywnę administracyjną w wysokości 500 EUR. VEKA wyznacza również nowy termin wykonania obowiązku określonego w ust. 1 pkt 2 lub w ust. 1/0.</w:t>
      </w:r>
    </w:p>
    <w:p w14:paraId="1EF0D001" w14:textId="77777777" w:rsidR="009476D6" w:rsidRPr="002D0676" w:rsidRDefault="009476D6" w:rsidP="00D35A1A">
      <w:pPr>
        <w:spacing w:line="276" w:lineRule="auto"/>
        <w:rPr>
          <w:rFonts w:ascii="Verdana" w:hAnsi="Verdana"/>
          <w:sz w:val="20"/>
          <w:lang w:val="nl-BE"/>
        </w:rPr>
      </w:pPr>
    </w:p>
    <w:p w14:paraId="0D9BC625" w14:textId="00E04C6B" w:rsidR="009476D6" w:rsidRDefault="009476D6" w:rsidP="00527731">
      <w:pPr>
        <w:spacing w:line="276" w:lineRule="auto"/>
        <w:ind w:firstLine="709"/>
        <w:rPr>
          <w:rFonts w:ascii="Verdana" w:hAnsi="Verdana"/>
          <w:sz w:val="20"/>
        </w:rPr>
      </w:pPr>
      <w:r>
        <w:rPr>
          <w:rFonts w:ascii="Verdana" w:hAnsi="Verdana"/>
          <w:sz w:val="20"/>
        </w:rPr>
        <w:t>Jeżeli ekspert ds. energii nie dotrzyma terminu określonego w akapicie pierwszym in fine, VEKA nakłada na eksperta ds. energii grzywnę administracyjną w formie okresowej kary pieniężnej. Wyżej wymieniona okresowa kara pieniężna wynosi 10 EUR za dzień kalendarzowy po przekroczeniu terminu określonego w ust. 1.”;</w:t>
      </w:r>
    </w:p>
    <w:p w14:paraId="472D9226" w14:textId="77777777" w:rsidR="00A24490" w:rsidRDefault="00A24490" w:rsidP="00D35A1A">
      <w:pPr>
        <w:spacing w:line="276" w:lineRule="auto"/>
        <w:rPr>
          <w:rFonts w:ascii="Verdana" w:hAnsi="Verdana"/>
          <w:sz w:val="20"/>
          <w:lang w:val="nl-BE"/>
        </w:rPr>
      </w:pPr>
    </w:p>
    <w:p w14:paraId="236FB380" w14:textId="4216143F" w:rsidR="007E6B77" w:rsidRPr="007E6B77" w:rsidRDefault="00A24490" w:rsidP="00D35A1A">
      <w:pPr>
        <w:spacing w:line="276" w:lineRule="auto"/>
        <w:rPr>
          <w:rFonts w:ascii="Verdana" w:hAnsi="Verdana"/>
          <w:sz w:val="20"/>
        </w:rPr>
      </w:pPr>
      <w:r>
        <w:rPr>
          <w:rFonts w:ascii="Verdana" w:hAnsi="Verdana"/>
          <w:sz w:val="20"/>
        </w:rPr>
        <w:t>3. Dodaje się ust. 3/1/1 w brzmieniu:</w:t>
      </w:r>
    </w:p>
    <w:p w14:paraId="0F460620" w14:textId="77777777" w:rsidR="007E6B77" w:rsidRPr="007E6B77" w:rsidRDefault="007E6B77" w:rsidP="00D35A1A">
      <w:pPr>
        <w:spacing w:line="276" w:lineRule="auto"/>
        <w:rPr>
          <w:rFonts w:ascii="Verdana" w:hAnsi="Verdana"/>
          <w:sz w:val="20"/>
          <w:lang w:val="nl-BE"/>
        </w:rPr>
      </w:pPr>
    </w:p>
    <w:p w14:paraId="0C65BE30" w14:textId="2159D33F" w:rsidR="007E6B77" w:rsidRPr="007E6B77" w:rsidRDefault="007E6B77" w:rsidP="00D35A1A">
      <w:pPr>
        <w:spacing w:line="276" w:lineRule="auto"/>
        <w:rPr>
          <w:rFonts w:ascii="Verdana" w:hAnsi="Verdana"/>
          <w:sz w:val="20"/>
        </w:rPr>
      </w:pPr>
      <w:r>
        <w:rPr>
          <w:rFonts w:ascii="Verdana" w:hAnsi="Verdana"/>
          <w:sz w:val="20"/>
        </w:rPr>
        <w:lastRenderedPageBreak/>
        <w:t>„§3/1/1. W przypadku stwierdzenia, że właściciel, posiadacz prawa rzeczowego lub użytkownik budynku, który jest zobowiązany do uzyskania etykiety minimalnej charakterystyki energetycznej zgodnie z art. 11.2.1 ust. 1 pkt 4, nie posiada ważnego świadectwa charakterystyki energetycznej z wymaganą etykietą energetyczną, VEKA nakłada grzywnę administracyjną w wysokości co najmniej 500 EUR i maksymalnie 200 000 EUR, pod warunkiem że właściciel lub użytkownik został wysłuchany lub należycie wezwany.</w:t>
      </w:r>
    </w:p>
    <w:p w14:paraId="363DF2A2" w14:textId="77777777" w:rsidR="007E6B77" w:rsidRPr="007E6B77" w:rsidRDefault="007E6B77" w:rsidP="00D35A1A">
      <w:pPr>
        <w:spacing w:line="276" w:lineRule="auto"/>
        <w:rPr>
          <w:rFonts w:ascii="Verdana" w:hAnsi="Verdana"/>
          <w:sz w:val="20"/>
          <w:lang w:val="nl-BE"/>
        </w:rPr>
      </w:pPr>
    </w:p>
    <w:p w14:paraId="0191F75D" w14:textId="50A64F28" w:rsidR="007E6B77" w:rsidRPr="007E6B77" w:rsidRDefault="007E6B77" w:rsidP="00CD2B29">
      <w:pPr>
        <w:spacing w:line="276" w:lineRule="auto"/>
        <w:ind w:firstLine="709"/>
        <w:rPr>
          <w:rFonts w:ascii="Verdana" w:hAnsi="Verdana"/>
          <w:sz w:val="20"/>
        </w:rPr>
      </w:pPr>
      <w:r>
        <w:rPr>
          <w:rFonts w:ascii="Verdana" w:hAnsi="Verdana"/>
          <w:sz w:val="20"/>
        </w:rPr>
        <w:t>VEKA wyznacza również nowy termin, w którym wyżej wymieniony właściciel lub użytkownik musi uzyskać ważne świadectwo charakterystyki energetycznej z wymaganą etykietą energetyczną.</w:t>
      </w:r>
    </w:p>
    <w:p w14:paraId="57CB5B56" w14:textId="77777777" w:rsidR="007E6B77" w:rsidRPr="007E6B77" w:rsidRDefault="007E6B77" w:rsidP="00CD2B29">
      <w:pPr>
        <w:spacing w:line="276" w:lineRule="auto"/>
        <w:ind w:firstLine="709"/>
        <w:rPr>
          <w:rFonts w:ascii="Verdana" w:hAnsi="Verdana"/>
          <w:sz w:val="20"/>
          <w:lang w:val="nl-BE"/>
        </w:rPr>
      </w:pPr>
    </w:p>
    <w:p w14:paraId="2F7BE70F" w14:textId="6CD1D6A3" w:rsidR="007E6B77" w:rsidRPr="007E6B77" w:rsidRDefault="007E6B77" w:rsidP="00CD2B29">
      <w:pPr>
        <w:spacing w:line="276" w:lineRule="auto"/>
        <w:ind w:firstLine="709"/>
        <w:rPr>
          <w:rFonts w:ascii="Verdana" w:hAnsi="Verdana"/>
          <w:sz w:val="20"/>
        </w:rPr>
      </w:pPr>
      <w:r>
        <w:rPr>
          <w:rFonts w:ascii="Verdana" w:hAnsi="Verdana"/>
          <w:sz w:val="20"/>
        </w:rPr>
        <w:t>Jeżeli osoba fizyczna lub prawna nadal narusza prawo w chwili upływu terminu określonego w ust. 2, VEKA może nałożyć na nią nową grzywnę administracyjną, jak określono w ust. 1. VEKA wyznacza również nowy termin wykonania obowiązku określonego w ust. 1. Powyższa procedura jest powtarzana do czasu wypełnienia obowiązku ustanowionego zgodnie z art. 11.2.1 ust. 1 pkt 4.</w:t>
      </w:r>
    </w:p>
    <w:p w14:paraId="3F5BF035" w14:textId="77777777" w:rsidR="007E6B77" w:rsidRPr="007E6B77" w:rsidRDefault="007E6B77" w:rsidP="00CD2B29">
      <w:pPr>
        <w:spacing w:line="276" w:lineRule="auto"/>
        <w:ind w:firstLine="709"/>
        <w:rPr>
          <w:rFonts w:ascii="Verdana" w:hAnsi="Verdana"/>
          <w:sz w:val="20"/>
          <w:lang w:val="nl-BE"/>
        </w:rPr>
      </w:pPr>
    </w:p>
    <w:p w14:paraId="24CE26DE" w14:textId="08E5192D" w:rsidR="00A24490" w:rsidRDefault="007E6B77" w:rsidP="00CD2B29">
      <w:pPr>
        <w:spacing w:line="276" w:lineRule="auto"/>
        <w:ind w:firstLine="709"/>
        <w:rPr>
          <w:rFonts w:ascii="Verdana" w:hAnsi="Verdana"/>
          <w:sz w:val="20"/>
        </w:rPr>
      </w:pPr>
      <w:r>
        <w:rPr>
          <w:rFonts w:ascii="Verdana" w:hAnsi="Verdana"/>
          <w:sz w:val="20"/>
        </w:rPr>
        <w:t>Wspomnianej grzywny administracyjnej nie można łączyć z karami, o których mowa w ust. 2 lub art. 13.4.9/1.”.</w:t>
      </w:r>
    </w:p>
    <w:p w14:paraId="5A84F367" w14:textId="77777777" w:rsidR="008851B5" w:rsidRDefault="008851B5" w:rsidP="00D35A1A">
      <w:pPr>
        <w:spacing w:line="276" w:lineRule="auto"/>
        <w:rPr>
          <w:rFonts w:ascii="Verdana" w:hAnsi="Verdana"/>
          <w:sz w:val="20"/>
          <w:lang w:val="nl-BE"/>
        </w:rPr>
      </w:pPr>
    </w:p>
    <w:p w14:paraId="2FF9CEC2" w14:textId="0118BBAD" w:rsidR="008851B5" w:rsidRPr="002D0676" w:rsidRDefault="00BA72FD" w:rsidP="00D35A1A">
      <w:pPr>
        <w:spacing w:line="276" w:lineRule="auto"/>
        <w:rPr>
          <w:rFonts w:ascii="Verdana" w:hAnsi="Verdana" w:cs="Arial"/>
          <w:spacing w:val="-3"/>
          <w:sz w:val="20"/>
        </w:rPr>
      </w:pPr>
      <w:r>
        <w:rPr>
          <w:rFonts w:ascii="Verdana" w:hAnsi="Verdana"/>
          <w:b/>
          <w:sz w:val="20"/>
        </w:rPr>
        <w:t>Artykuł 27.</w:t>
      </w:r>
      <w:r>
        <w:rPr>
          <w:rFonts w:ascii="Verdana" w:hAnsi="Verdana"/>
          <w:sz w:val="20"/>
        </w:rPr>
        <w:t xml:space="preserve"> W tytule XIII rozdział IV tego samego dekretu, ostatnio zmienionego dekretem z dnia 23 grudnia 2022 r., w nagłówku części V wyrazy „nieprzestrzeganie obowiązków w zakresie zarządzania siecią” zastępuje się wyrazami „nadużycie energetyczne”.</w:t>
      </w:r>
    </w:p>
    <w:p w14:paraId="3B315A7B" w14:textId="77777777" w:rsidR="006F5815" w:rsidRDefault="006F5815" w:rsidP="00D35A1A">
      <w:pPr>
        <w:spacing w:line="276" w:lineRule="auto"/>
        <w:rPr>
          <w:rFonts w:ascii="Verdana" w:hAnsi="Verdana" w:cs="Arial"/>
          <w:spacing w:val="-3"/>
          <w:sz w:val="20"/>
          <w:lang w:val="nl-BE"/>
        </w:rPr>
      </w:pPr>
    </w:p>
    <w:p w14:paraId="30D53CE7" w14:textId="2CE49DDC" w:rsidR="005A7955" w:rsidRDefault="00C20321" w:rsidP="00D14065">
      <w:pPr>
        <w:spacing w:line="276" w:lineRule="auto"/>
        <w:rPr>
          <w:rFonts w:ascii="Verdana" w:eastAsiaTheme="minorHAnsi" w:hAnsi="Verdana"/>
          <w:sz w:val="20"/>
        </w:rPr>
      </w:pPr>
      <w:r>
        <w:rPr>
          <w:rFonts w:ascii="Verdana" w:hAnsi="Verdana"/>
          <w:b/>
          <w:sz w:val="20"/>
        </w:rPr>
        <w:t>Artykuł 28.</w:t>
      </w:r>
      <w:r>
        <w:rPr>
          <w:rFonts w:ascii="Verdana" w:hAnsi="Verdana"/>
          <w:sz w:val="20"/>
        </w:rPr>
        <w:t xml:space="preserve"> W tym samym dekrecie, ostatnio zmienionym dekretem z dnia 23 grudnia 2022 r., dodaje się art. 13.4.15 w brzmieniu:</w:t>
      </w:r>
    </w:p>
    <w:p w14:paraId="7F8E2E19" w14:textId="77777777" w:rsidR="005A7955" w:rsidRPr="00C20321" w:rsidRDefault="005A7955" w:rsidP="00D14065">
      <w:pPr>
        <w:spacing w:line="276" w:lineRule="auto"/>
        <w:rPr>
          <w:rFonts w:ascii="Verdana" w:hAnsi="Verdana"/>
          <w:sz w:val="20"/>
          <w:lang w:val="nl-BE"/>
        </w:rPr>
      </w:pPr>
    </w:p>
    <w:p w14:paraId="0C8B8087" w14:textId="7262A654" w:rsidR="005A7955" w:rsidRPr="009C0733" w:rsidRDefault="005A7955" w:rsidP="00D14065">
      <w:pPr>
        <w:spacing w:line="276" w:lineRule="auto"/>
        <w:rPr>
          <w:rFonts w:ascii="Verdana" w:hAnsi="Verdana"/>
          <w:sz w:val="20"/>
        </w:rPr>
      </w:pPr>
      <w:r>
        <w:rPr>
          <w:rFonts w:ascii="Verdana" w:hAnsi="Verdana"/>
          <w:sz w:val="20"/>
        </w:rPr>
        <w:t>„Artykuł 13.4.15. §1. Jeżeli VEKA stwierdzi, że obowiązek i termin określony w art. 7.7.3 ust. 1 nie zostały dotrzymane, VEKA nakłada na osobę fizyczną lub prawną podlegającą wyżej wymienionemu obowiązkowi grzywnę administracyjną w wysokości 400 EUR za każdy kilowat szczytu mocy brakujący w momencie wypełnienia obowiązku określonego w art. 7.7.3 ust. 1.</w:t>
      </w:r>
    </w:p>
    <w:p w14:paraId="5ECE6FDE" w14:textId="77777777" w:rsidR="005A7955" w:rsidRPr="009C0733" w:rsidRDefault="005A7955" w:rsidP="00D14065">
      <w:pPr>
        <w:spacing w:line="276" w:lineRule="auto"/>
        <w:rPr>
          <w:rFonts w:ascii="Verdana" w:hAnsi="Verdana"/>
          <w:sz w:val="20"/>
          <w:lang w:val="nl-BE"/>
        </w:rPr>
      </w:pPr>
    </w:p>
    <w:p w14:paraId="30A673A9" w14:textId="585E1C4D" w:rsidR="005A7955" w:rsidRDefault="005A7955" w:rsidP="00D14065">
      <w:pPr>
        <w:spacing w:line="276" w:lineRule="auto"/>
        <w:ind w:firstLine="709"/>
        <w:rPr>
          <w:rFonts w:ascii="Verdana" w:hAnsi="Verdana"/>
          <w:sz w:val="20"/>
          <w:shd w:val="clear" w:color="auto" w:fill="FFFFFF"/>
        </w:rPr>
      </w:pPr>
      <w:r>
        <w:rPr>
          <w:rFonts w:ascii="Verdana" w:hAnsi="Verdana"/>
          <w:sz w:val="20"/>
          <w:shd w:val="clear" w:color="auto" w:fill="FFFFFF"/>
        </w:rPr>
        <w:t xml:space="preserve">Jeżeli </w:t>
      </w:r>
      <w:r>
        <w:rPr>
          <w:rFonts w:ascii="Verdana" w:hAnsi="Verdana"/>
          <w:sz w:val="20"/>
        </w:rPr>
        <w:t>osoba fizyczna lub prawna, o której mowa w pkt 1, nie wywiąże się z obowiązku określonego w art. 7.7.3 ust. 1 w ciągu dwóch lat od zakończenia okresu, w którym obowiązek, o którym mowa w art. 7.7.3 ust. 1, musi zostać spełniony,</w:t>
      </w:r>
      <w:r>
        <w:rPr>
          <w:rFonts w:ascii="Verdana" w:hAnsi="Verdana"/>
          <w:sz w:val="20"/>
          <w:shd w:val="clear" w:color="auto" w:fill="FFFFFF"/>
        </w:rPr>
        <w:t xml:space="preserve"> VEKA nałoży nową grzywnę administracyjną na osobę fizyczną lub prawną, o której mowa w pkt 1. VEKA zastosuje również nowy dwuletni okres, w którym obowiązek ten musi zostać wypełniony. Powyższa procedura jest powtarzana do czasu wypełnienia obowiązku, o którym mowa w art. 7.7.3 ust. 1.</w:t>
      </w:r>
    </w:p>
    <w:p w14:paraId="17C33113" w14:textId="77777777" w:rsidR="005A7955" w:rsidRPr="009A08B1" w:rsidRDefault="005A7955" w:rsidP="00D14065">
      <w:pPr>
        <w:spacing w:line="276" w:lineRule="auto"/>
        <w:rPr>
          <w:rFonts w:ascii="Verdana" w:hAnsi="Verdana"/>
          <w:sz w:val="20"/>
          <w:lang w:val="nl-BE"/>
        </w:rPr>
      </w:pPr>
    </w:p>
    <w:p w14:paraId="143BF19D" w14:textId="479C5DDA" w:rsidR="00996AFD" w:rsidRDefault="00DB0D91" w:rsidP="00D14065">
      <w:pPr>
        <w:spacing w:line="276" w:lineRule="auto"/>
        <w:rPr>
          <w:rFonts w:ascii="Verdana" w:hAnsi="Verdana" w:cs="Arial"/>
          <w:sz w:val="20"/>
          <w:shd w:val="clear" w:color="auto" w:fill="FFFFFF"/>
        </w:rPr>
      </w:pPr>
      <w:r>
        <w:rPr>
          <w:rFonts w:ascii="Verdana" w:hAnsi="Verdana"/>
          <w:sz w:val="20"/>
        </w:rPr>
        <w:t xml:space="preserve">§2. Jeżeli VEKA stwierdzi, że powiadomienia, o których mowa w art. 7.7.3 ust. 2, 3 lub 4, nie zostały zrealizowane, </w:t>
      </w:r>
      <w:r>
        <w:rPr>
          <w:rFonts w:ascii="Verdana" w:hAnsi="Verdana"/>
          <w:sz w:val="20"/>
          <w:shd w:val="clear" w:color="auto" w:fill="FFFFFF"/>
        </w:rPr>
        <w:t xml:space="preserve">VEKA powiadomi </w:t>
      </w:r>
      <w:r>
        <w:rPr>
          <w:rFonts w:ascii="Verdana" w:hAnsi="Verdana"/>
          <w:sz w:val="20"/>
        </w:rPr>
        <w:t>osobę fizyczną lub prawną podlegającą wyżej wymienionemu obowiązkowi powiadomienia</w:t>
      </w:r>
      <w:r>
        <w:rPr>
          <w:rFonts w:ascii="Verdana" w:hAnsi="Verdana"/>
          <w:sz w:val="20"/>
          <w:shd w:val="clear" w:color="auto" w:fill="FFFFFF"/>
        </w:rPr>
        <w:t xml:space="preserve"> o konieczności wypełnienia tego obowiązku w określonym terminie.</w:t>
      </w:r>
    </w:p>
    <w:p w14:paraId="4EAB72AE" w14:textId="77777777" w:rsidR="00996AFD" w:rsidRDefault="00996AFD" w:rsidP="00D14065">
      <w:pPr>
        <w:spacing w:line="276" w:lineRule="auto"/>
        <w:rPr>
          <w:rFonts w:ascii="Verdana" w:hAnsi="Verdana" w:cs="Arial"/>
          <w:sz w:val="20"/>
          <w:shd w:val="clear" w:color="auto" w:fill="FFFFFF"/>
          <w:lang w:val="nl-BE"/>
        </w:rPr>
      </w:pPr>
    </w:p>
    <w:p w14:paraId="6F85DCD6" w14:textId="466C07B1" w:rsidR="00836034" w:rsidRDefault="00CD14F0" w:rsidP="00D14065">
      <w:pPr>
        <w:spacing w:line="276" w:lineRule="auto"/>
        <w:ind w:firstLine="709"/>
        <w:rPr>
          <w:rFonts w:ascii="Verdana" w:hAnsi="Verdana"/>
          <w:sz w:val="20"/>
        </w:rPr>
      </w:pPr>
      <w:r>
        <w:rPr>
          <w:rFonts w:ascii="Verdana" w:hAnsi="Verdana"/>
          <w:sz w:val="20"/>
          <w:shd w:val="clear" w:color="auto" w:fill="FFFFFF"/>
        </w:rPr>
        <w:t>Na zasadzie</w:t>
      </w:r>
      <w:r>
        <w:rPr>
          <w:rFonts w:ascii="Verdana" w:hAnsi="Verdana"/>
          <w:sz w:val="20"/>
        </w:rPr>
        <w:t xml:space="preserve"> odstępstwa od art. 13.4.11 ust. 1 pkt 3, jeżeli osoba fizyczna lub prawna podlegająca wyżej wymienionemu obowiązkowi powiadomienia nadal </w:t>
      </w:r>
      <w:r>
        <w:rPr>
          <w:rFonts w:ascii="Verdana" w:hAnsi="Verdana"/>
          <w:sz w:val="20"/>
        </w:rPr>
        <w:lastRenderedPageBreak/>
        <w:t>narusza przepisy</w:t>
      </w:r>
      <w:r>
        <w:rPr>
          <w:rFonts w:ascii="Verdana" w:hAnsi="Verdana"/>
          <w:sz w:val="20"/>
          <w:shd w:val="clear" w:color="auto" w:fill="FFFFFF"/>
        </w:rPr>
        <w:t xml:space="preserve"> po upływie terminu określonego w ust. 1, VEKA nakłada grzywnę administracyjną w formie okresowej kary pieniężnej na osobę fizyczną lub prawną podlegającą wyżej wymienionemu obowiązkowi powiadomienia. Wyżej wymieniona okresowa kara pieniężna wynosi 100 EUR za dzień kalendarzowy po przekroczeniu terminu określonego w ust. 1.</w:t>
      </w:r>
    </w:p>
    <w:p w14:paraId="06CADA8F" w14:textId="77777777" w:rsidR="007D6E07" w:rsidRDefault="007D6E07" w:rsidP="00D14065">
      <w:pPr>
        <w:spacing w:line="276" w:lineRule="auto"/>
        <w:rPr>
          <w:rFonts w:ascii="Verdana" w:hAnsi="Verdana"/>
          <w:sz w:val="20"/>
          <w:lang w:val="nl-BE"/>
        </w:rPr>
      </w:pPr>
    </w:p>
    <w:p w14:paraId="30D0135B" w14:textId="6EBFC8F2" w:rsidR="00836034" w:rsidRDefault="00836034" w:rsidP="00D14065">
      <w:pPr>
        <w:spacing w:line="276" w:lineRule="auto"/>
        <w:rPr>
          <w:rFonts w:ascii="Verdana" w:hAnsi="Verdana"/>
          <w:sz w:val="20"/>
        </w:rPr>
      </w:pPr>
      <w:r>
        <w:rPr>
          <w:rFonts w:ascii="Verdana" w:hAnsi="Verdana"/>
          <w:sz w:val="20"/>
        </w:rPr>
        <w:t xml:space="preserve">§3. Ust. 1 i 2 </w:t>
      </w:r>
      <w:r>
        <w:rPr>
          <w:rFonts w:ascii="Verdana" w:hAnsi="Verdana"/>
          <w:sz w:val="20"/>
          <w:shd w:val="clear" w:color="auto" w:fill="FFFFFF"/>
        </w:rPr>
        <w:t>nie mają zastosowania do osób fizycznych lub prawnych, które są zobowiązane do zaprzestania działalności istniejącej w budynkach.</w:t>
      </w:r>
      <w:r>
        <w:rPr>
          <w:rFonts w:ascii="Verdana" w:hAnsi="Verdana"/>
          <w:sz w:val="20"/>
        </w:rPr>
        <w:t>”.</w:t>
      </w:r>
    </w:p>
    <w:p w14:paraId="4C3B8690" w14:textId="77777777" w:rsidR="00A05071" w:rsidRDefault="00A05071" w:rsidP="00D14065">
      <w:pPr>
        <w:spacing w:line="276" w:lineRule="auto"/>
        <w:rPr>
          <w:rFonts w:ascii="Verdana" w:hAnsi="Verdana"/>
          <w:sz w:val="20"/>
          <w:lang w:val="nl-BE"/>
        </w:rPr>
      </w:pPr>
    </w:p>
    <w:p w14:paraId="5BC07CC0" w14:textId="4E8CCF6B" w:rsidR="00A05071" w:rsidRPr="00FA2D5D" w:rsidRDefault="00A05071" w:rsidP="00D14065">
      <w:pPr>
        <w:spacing w:line="276" w:lineRule="auto"/>
        <w:rPr>
          <w:rFonts w:ascii="Verdana" w:hAnsi="Verdana"/>
          <w:sz w:val="20"/>
        </w:rPr>
      </w:pPr>
      <w:r>
        <w:rPr>
          <w:rFonts w:ascii="Verdana" w:hAnsi="Verdana"/>
          <w:sz w:val="20"/>
        </w:rPr>
        <w:t>§4. Procedurę, o której mowa w art. 13.4.8, stosuje się mutatis mutandis.</w:t>
      </w:r>
    </w:p>
    <w:p w14:paraId="4FC94A2D" w14:textId="77777777" w:rsidR="00552AB9" w:rsidRPr="009C0733" w:rsidRDefault="00552AB9" w:rsidP="00D14065">
      <w:pPr>
        <w:spacing w:line="276" w:lineRule="auto"/>
        <w:rPr>
          <w:rFonts w:ascii="Verdana" w:hAnsi="Verdana"/>
          <w:sz w:val="20"/>
          <w:lang w:val="nl-BE"/>
        </w:rPr>
      </w:pPr>
    </w:p>
    <w:p w14:paraId="539FB061" w14:textId="5C6C7917" w:rsidR="00552AB9" w:rsidRDefault="00141568" w:rsidP="00D35A1A">
      <w:pPr>
        <w:spacing w:line="276" w:lineRule="auto"/>
        <w:jc w:val="both"/>
        <w:rPr>
          <w:rFonts w:ascii="Verdana" w:hAnsi="Verdana"/>
          <w:sz w:val="20"/>
        </w:rPr>
      </w:pPr>
      <w:r>
        <w:rPr>
          <w:rFonts w:ascii="Verdana" w:hAnsi="Verdana"/>
          <w:b/>
          <w:sz w:val="20"/>
        </w:rPr>
        <w:t>Artykuł 29.</w:t>
      </w:r>
      <w:r>
        <w:rPr>
          <w:rFonts w:ascii="Verdana" w:hAnsi="Verdana"/>
          <w:sz w:val="20"/>
        </w:rPr>
        <w:t xml:space="preserve"> Do działu XIII rozdziału IV tego samego dekretu, ostatnio zmienionego dekretem z dnia 23 grudnia 2022 r., dodaje się część IX w brzmieniu:</w:t>
      </w:r>
    </w:p>
    <w:p w14:paraId="21C679A5" w14:textId="77777777" w:rsidR="00B6446E" w:rsidRDefault="00B6446E" w:rsidP="00D35A1A">
      <w:pPr>
        <w:spacing w:line="276" w:lineRule="auto"/>
        <w:jc w:val="both"/>
        <w:rPr>
          <w:rFonts w:ascii="Verdana" w:hAnsi="Verdana"/>
          <w:sz w:val="20"/>
          <w:lang w:val="nl-BE"/>
        </w:rPr>
      </w:pPr>
    </w:p>
    <w:p w14:paraId="5D5A6302" w14:textId="046B54EA" w:rsidR="00B6446E" w:rsidRDefault="00B6446E" w:rsidP="00D35A1A">
      <w:pPr>
        <w:spacing w:line="276" w:lineRule="auto"/>
        <w:jc w:val="both"/>
        <w:rPr>
          <w:rFonts w:ascii="Verdana" w:hAnsi="Verdana"/>
          <w:sz w:val="20"/>
        </w:rPr>
      </w:pPr>
      <w:r>
        <w:rPr>
          <w:rFonts w:ascii="Verdana" w:hAnsi="Verdana"/>
          <w:sz w:val="20"/>
        </w:rPr>
        <w:t>„Część IX. Kary administracyjne za nieprzestrzeganie obowiązków dotyczących publicznego udostępniania danych przez organizacje publiczne”.</w:t>
      </w:r>
    </w:p>
    <w:p w14:paraId="75673CDE" w14:textId="77777777" w:rsidR="00872024" w:rsidRDefault="00872024" w:rsidP="00D35A1A">
      <w:pPr>
        <w:spacing w:line="276" w:lineRule="auto"/>
        <w:jc w:val="both"/>
        <w:rPr>
          <w:rFonts w:ascii="Verdana" w:hAnsi="Verdana"/>
          <w:sz w:val="20"/>
          <w:lang w:val="nl-BE"/>
        </w:rPr>
      </w:pPr>
    </w:p>
    <w:p w14:paraId="035FC215" w14:textId="4AAAD71C" w:rsidR="00872024" w:rsidRDefault="00872024" w:rsidP="00BD2EC5">
      <w:pPr>
        <w:spacing w:line="276" w:lineRule="auto"/>
        <w:rPr>
          <w:rFonts w:ascii="Verdana" w:hAnsi="Verdana" w:cs="Arial"/>
          <w:sz w:val="20"/>
        </w:rPr>
      </w:pPr>
      <w:r>
        <w:rPr>
          <w:rFonts w:ascii="Verdana" w:hAnsi="Verdana"/>
          <w:b/>
          <w:sz w:val="20"/>
        </w:rPr>
        <w:t>Artykuł 30.</w:t>
      </w:r>
      <w:r>
        <w:rPr>
          <w:rFonts w:ascii="Verdana" w:hAnsi="Verdana"/>
          <w:sz w:val="20"/>
        </w:rPr>
        <w:t xml:space="preserve"> W tym samym dekrecie w części IX, dodanej art. 29, dodaje się art. 13.4.16, który ma następujące brzmienie:</w:t>
      </w:r>
    </w:p>
    <w:p w14:paraId="17967789" w14:textId="77777777" w:rsidR="006051A1" w:rsidRDefault="006051A1" w:rsidP="00BD2EC5">
      <w:pPr>
        <w:spacing w:line="276" w:lineRule="auto"/>
        <w:rPr>
          <w:rFonts w:ascii="Verdana" w:hAnsi="Verdana" w:cs="Arial"/>
          <w:sz w:val="20"/>
          <w:lang w:val="nl-BE"/>
        </w:rPr>
      </w:pPr>
    </w:p>
    <w:p w14:paraId="2E6007EE" w14:textId="396FED50" w:rsidR="00BD2EC5" w:rsidRPr="009C0733" w:rsidRDefault="006051A1" w:rsidP="00BD2EC5">
      <w:pPr>
        <w:spacing w:line="276" w:lineRule="auto"/>
        <w:rPr>
          <w:rFonts w:ascii="Verdana" w:hAnsi="Verdana"/>
          <w:sz w:val="20"/>
          <w:shd w:val="clear" w:color="auto" w:fill="FFFFFF"/>
        </w:rPr>
      </w:pPr>
      <w:r>
        <w:rPr>
          <w:rFonts w:ascii="Verdana" w:hAnsi="Verdana"/>
          <w:sz w:val="20"/>
        </w:rPr>
        <w:t xml:space="preserve">„Artykuł 13.4.16. </w:t>
      </w:r>
      <w:r>
        <w:rPr>
          <w:rFonts w:ascii="Verdana" w:hAnsi="Verdana"/>
          <w:sz w:val="20"/>
          <w:shd w:val="clear" w:color="auto" w:fill="FFFFFF"/>
        </w:rPr>
        <w:t>Jeżeli VEKA stwierdzi, że pomimo nakazu w</w:t>
      </w:r>
      <w:r>
        <w:rPr>
          <w:rFonts w:ascii="Verdana" w:hAnsi="Verdana"/>
          <w:sz w:val="20"/>
        </w:rPr>
        <w:t> </w:t>
      </w:r>
      <w:r>
        <w:rPr>
          <w:rFonts w:ascii="Verdana" w:hAnsi="Verdana"/>
          <w:sz w:val="20"/>
          <w:shd w:val="clear" w:color="auto" w:fill="FFFFFF"/>
        </w:rPr>
        <w:t>art. 12.3.2 zawarte w nim dane nie zostały podane do publicznej wiadomości lub nie zostały podane do publicznej wiadomości zgodnie z prawdą, VEKA może powiadomić organizację publiczną o konieczności wywiązania się z tych obowiązków w określonym terminie.</w:t>
      </w:r>
    </w:p>
    <w:p w14:paraId="3400EFC1" w14:textId="77777777" w:rsidR="00BD2EC5" w:rsidRPr="009C0733" w:rsidRDefault="00BD2EC5" w:rsidP="00BD2EC5">
      <w:pPr>
        <w:spacing w:line="276" w:lineRule="auto"/>
        <w:rPr>
          <w:rFonts w:ascii="Verdana" w:hAnsi="Verdana"/>
          <w:sz w:val="20"/>
          <w:shd w:val="clear" w:color="auto" w:fill="FFFFFF"/>
          <w:lang w:val="nl-BE"/>
        </w:rPr>
      </w:pPr>
    </w:p>
    <w:p w14:paraId="6D92C350" w14:textId="59DE0E34" w:rsidR="00BD2EC5" w:rsidRPr="009C0733" w:rsidRDefault="00C53833" w:rsidP="0047699F">
      <w:pPr>
        <w:spacing w:line="276" w:lineRule="auto"/>
        <w:ind w:firstLine="709"/>
        <w:rPr>
          <w:rFonts w:ascii="Verdana" w:hAnsi="Verdana"/>
          <w:sz w:val="20"/>
          <w:shd w:val="clear" w:color="auto" w:fill="FFFFFF"/>
        </w:rPr>
      </w:pPr>
      <w:r>
        <w:rPr>
          <w:rFonts w:ascii="Verdana" w:hAnsi="Verdana"/>
          <w:sz w:val="20"/>
          <w:shd w:val="clear" w:color="auto" w:fill="FFFFFF"/>
        </w:rPr>
        <w:t>Jeżeli organizacja publiczna nie dotrzyma terminu określonego w ust. 1, VEKA może nałożyć na organizację publiczną grzywnę administracyjną w wysokości co najmniej 250 EUR i maksymalnie 20000 EUR. VEKA może również wyznaczyć nowy termin wypełnienia obowiązków określonych w ust. 1.</w:t>
      </w:r>
    </w:p>
    <w:p w14:paraId="0724AF74" w14:textId="77777777" w:rsidR="00BD2EC5" w:rsidRPr="009C0733" w:rsidRDefault="00BD2EC5" w:rsidP="0047699F">
      <w:pPr>
        <w:spacing w:line="276" w:lineRule="auto"/>
        <w:ind w:firstLine="709"/>
        <w:rPr>
          <w:rFonts w:ascii="Verdana" w:hAnsi="Verdana"/>
          <w:sz w:val="20"/>
          <w:shd w:val="clear" w:color="auto" w:fill="FFFFFF"/>
          <w:lang w:val="nl-BE"/>
        </w:rPr>
      </w:pPr>
    </w:p>
    <w:p w14:paraId="4ACC0AD5" w14:textId="73A29825" w:rsidR="006051A1" w:rsidRPr="00FA2D5D" w:rsidRDefault="00C53833" w:rsidP="0047699F">
      <w:pPr>
        <w:spacing w:line="276" w:lineRule="auto"/>
        <w:ind w:firstLine="709"/>
        <w:rPr>
          <w:rFonts w:ascii="Verdana" w:hAnsi="Verdana" w:cs="Arial"/>
          <w:sz w:val="20"/>
          <w:shd w:val="clear" w:color="auto" w:fill="FFFFFF"/>
        </w:rPr>
      </w:pPr>
      <w:r>
        <w:rPr>
          <w:rFonts w:ascii="Verdana" w:hAnsi="Verdana"/>
          <w:sz w:val="20"/>
          <w:shd w:val="clear" w:color="auto" w:fill="FFFFFF"/>
        </w:rPr>
        <w:t>Jeżeli organizacja publiczna nie dotrzyma terminu określonego w ust. 2, VEKA może nałożyć na organizację publiczną grzywnę administracyjną w formie okresowej kary pieniężnej. Wyżej wymieniona okresowa kara pieniężna wynosi 25 EUR za dzień kalendarzowy po przekroczeniu terminu określonego w ust. 2.”.</w:t>
      </w:r>
    </w:p>
    <w:p w14:paraId="28DC23A8" w14:textId="77777777" w:rsidR="00CD14F0" w:rsidRPr="009C0733" w:rsidRDefault="00CD14F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5E690B6F" w14:textId="170B24C4" w:rsidR="00E41310" w:rsidRDefault="008D7BA9" w:rsidP="00D35A1A">
      <w:pPr>
        <w:numPr>
          <w:ilvl w:val="12"/>
          <w:numId w:val="0"/>
        </w:numPr>
        <w:tabs>
          <w:tab w:val="left" w:pos="-1440"/>
          <w:tab w:val="left" w:pos="-720"/>
          <w:tab w:val="center" w:pos="4253"/>
          <w:tab w:val="right" w:pos="8222"/>
        </w:tabs>
        <w:spacing w:line="276" w:lineRule="auto"/>
        <w:rPr>
          <w:rFonts w:ascii="Verdana" w:hAnsi="Verdana" w:cs="Arial"/>
          <w:spacing w:val="-3"/>
          <w:sz w:val="20"/>
        </w:rPr>
      </w:pPr>
      <w:r>
        <w:rPr>
          <w:rFonts w:ascii="Verdana" w:hAnsi="Verdana"/>
          <w:b/>
          <w:sz w:val="20"/>
        </w:rPr>
        <w:t>Artykuł 31.</w:t>
      </w:r>
      <w:r>
        <w:rPr>
          <w:rFonts w:ascii="Verdana" w:hAnsi="Verdana"/>
          <w:sz w:val="20"/>
        </w:rPr>
        <w:t xml:space="preserve"> Art. 15.3.5/7 tego samego dekretu, dodany dekretem z dnia 27 listopada 2015 r. i zastąpiony dekretem z dnia 16 listopada 2018 r., otrzymuje brzmienie:</w:t>
      </w:r>
    </w:p>
    <w:p w14:paraId="699DD46F" w14:textId="77777777" w:rsidR="00F953C1" w:rsidRDefault="00F953C1"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3B1642C5" w14:textId="37B59EB9" w:rsidR="00E907D8" w:rsidRDefault="00BC47D6"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rPr>
      </w:pPr>
      <w:r>
        <w:rPr>
          <w:rStyle w:val="artikel"/>
          <w:rFonts w:ascii="Verdana" w:hAnsi="Verdana"/>
          <w:sz w:val="20"/>
        </w:rPr>
        <w:t>„Artykuł 15.3.5/7. Na zasadzie odstępstwa od art. 4.5.1 ust. 2 pkt 7 decyzja o zezwoleniu na bezpośrednią linię lub rurociąg wydana zgodnie z art. 4.5.1 ust. 2 przed datą wejścia w życie niniejszego artykułu wygasa pięć lat po dacie wejścia w życie niniejszego artykułu, w przypadku braku oddania do eksploatacji bezpośredniej linii lub rurociągu.”</w:t>
      </w:r>
    </w:p>
    <w:p w14:paraId="417E56CE" w14:textId="77777777" w:rsidR="005131AF" w:rsidRDefault="005131A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34DB8239" w14:textId="38A0BB19" w:rsidR="000B5B62" w:rsidRPr="008B14FF" w:rsidRDefault="008B14F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rPr>
      </w:pPr>
      <w:r>
        <w:rPr>
          <w:rStyle w:val="artikel"/>
          <w:rFonts w:ascii="Verdana" w:hAnsi="Verdana"/>
          <w:b/>
          <w:sz w:val="20"/>
        </w:rPr>
        <w:t>Artykuł 32.</w:t>
      </w:r>
      <w:r>
        <w:rPr>
          <w:rStyle w:val="artikel"/>
          <w:rFonts w:ascii="Verdana" w:hAnsi="Verdana"/>
          <w:sz w:val="20"/>
        </w:rPr>
        <w:t xml:space="preserve"> W tym samym dekrecie, ostatnio zmienionym dekretem z dnia 23 grudnia 2022 r., dodaje się art. 15.3.5/24 w brzmieniu:</w:t>
      </w:r>
    </w:p>
    <w:p w14:paraId="2C516FB0" w14:textId="77777777" w:rsidR="000B5B62" w:rsidRDefault="000B5B62"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52CBBF3C" w14:textId="37D42BA5" w:rsidR="005131AF" w:rsidRPr="00DB3353" w:rsidRDefault="008B14F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rPr>
      </w:pPr>
      <w:r>
        <w:rPr>
          <w:rStyle w:val="artikel"/>
          <w:rFonts w:ascii="Verdana" w:hAnsi="Verdana"/>
          <w:sz w:val="20"/>
        </w:rPr>
        <w:t xml:space="preserve">„Artykuł 15.3.5/24. Użytkownikom sieci, którzy zwrócą się do operatora systemu dystrybucyjnego gazu ziemnego o podłączenie domu lub lokalu mieszkalnego </w:t>
      </w:r>
      <w:r>
        <w:rPr>
          <w:rStyle w:val="artikel"/>
          <w:rFonts w:ascii="Verdana" w:hAnsi="Verdana"/>
          <w:sz w:val="20"/>
        </w:rPr>
        <w:lastRenderedPageBreak/>
        <w:t xml:space="preserve">(posiadającego przyłącze lub go nieposiadającego), o którym mowa w art. 4.1.13, najpóźniej do dnia 1 stycznia 2025 r., zostanie naliczona cena nie wyższa niż 250 EUR, jak określono w art. 4.1.13, jeżeli </w:t>
      </w:r>
      <w:r>
        <w:rPr>
          <w:rFonts w:ascii="Verdana" w:hAnsi="Verdana"/>
          <w:sz w:val="20"/>
        </w:rPr>
        <w:t>użytkownik sieci faktycznie uruchomi połączenie w ciągu sześciu miesięcy od zainstalowania tego połączenia.”;</w:t>
      </w:r>
    </w:p>
    <w:p w14:paraId="1A3F0C56" w14:textId="77777777" w:rsidR="00FD10DB" w:rsidRPr="00FA2D5D" w:rsidRDefault="00FD10DB"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5BD7C5B8" w14:textId="192958CD" w:rsidR="00FD10DB" w:rsidRPr="00FA2D5D" w:rsidRDefault="00FD10DB" w:rsidP="00D35A1A">
      <w:pPr>
        <w:numPr>
          <w:ilvl w:val="12"/>
          <w:numId w:val="0"/>
        </w:numPr>
        <w:tabs>
          <w:tab w:val="left" w:pos="-1440"/>
          <w:tab w:val="left" w:pos="-720"/>
          <w:tab w:val="center" w:pos="4253"/>
          <w:tab w:val="right" w:pos="8222"/>
        </w:tabs>
        <w:spacing w:line="276" w:lineRule="auto"/>
        <w:rPr>
          <w:rFonts w:ascii="Verdana" w:eastAsiaTheme="minorEastAsia" w:hAnsi="Verdana" w:cstheme="minorBidi"/>
          <w:b/>
          <w:sz w:val="20"/>
        </w:rPr>
      </w:pPr>
      <w:r>
        <w:rPr>
          <w:rStyle w:val="artikel"/>
          <w:rFonts w:ascii="Verdana" w:hAnsi="Verdana"/>
          <w:b/>
          <w:sz w:val="20"/>
        </w:rPr>
        <w:t xml:space="preserve">Artykuł 33. </w:t>
      </w:r>
      <w:r>
        <w:rPr>
          <w:rFonts w:ascii="Verdana" w:hAnsi="Verdana"/>
          <w:sz w:val="20"/>
        </w:rPr>
        <w:t>Art. 4.1.8/6 dekretu w sprawie energii z dnia 8 maja 2009 r., dodany dekretem z dnia 2 kwietnia 2021 r. i zmieniony art. 4 niniejszego dekretu, wchodzi w życie.</w:t>
      </w:r>
    </w:p>
    <w:p w14:paraId="6F59C2A8" w14:textId="77777777" w:rsidR="00526711" w:rsidRPr="00A43E0D" w:rsidRDefault="00526711" w:rsidP="00526711">
      <w:pPr>
        <w:numPr>
          <w:ilvl w:val="12"/>
          <w:numId w:val="0"/>
        </w:numPr>
        <w:tabs>
          <w:tab w:val="left" w:pos="-1440"/>
          <w:tab w:val="left" w:pos="-720"/>
          <w:tab w:val="center" w:pos="4253"/>
          <w:tab w:val="right" w:pos="8222"/>
        </w:tabs>
        <w:spacing w:line="276" w:lineRule="auto"/>
        <w:rPr>
          <w:rFonts w:ascii="Verdana" w:eastAsiaTheme="minorEastAsia" w:hAnsi="Verdana" w:cstheme="minorBidi"/>
          <w:sz w:val="20"/>
          <w:lang w:val="nl-BE"/>
        </w:rPr>
      </w:pPr>
    </w:p>
    <w:p w14:paraId="69311471" w14:textId="3726DBB9" w:rsidR="00E41310" w:rsidRDefault="00E41310" w:rsidP="002F40B9">
      <w:pPr>
        <w:numPr>
          <w:ilvl w:val="12"/>
          <w:numId w:val="0"/>
        </w:numPr>
        <w:tabs>
          <w:tab w:val="left" w:pos="-1440"/>
          <w:tab w:val="left" w:pos="-720"/>
          <w:tab w:val="center" w:pos="4253"/>
          <w:tab w:val="right" w:pos="8222"/>
        </w:tabs>
        <w:spacing w:line="276" w:lineRule="auto"/>
        <w:rPr>
          <w:rFonts w:ascii="Verdana" w:hAnsi="Verdana" w:cs="Arial"/>
          <w:spacing w:val="-3"/>
          <w:sz w:val="20"/>
        </w:rPr>
      </w:pPr>
      <w:r>
        <w:rPr>
          <w:rFonts w:ascii="Verdana" w:hAnsi="Verdana"/>
          <w:b/>
          <w:sz w:val="20"/>
        </w:rPr>
        <w:t>Artykuł 34.</w:t>
      </w:r>
      <w:r>
        <w:rPr>
          <w:rFonts w:ascii="Verdana" w:hAnsi="Verdana"/>
          <w:sz w:val="20"/>
        </w:rPr>
        <w:t xml:space="preserve"> Artykuły 6–9 wchodzą w życie z dniem 1 stycznia 2025 r.</w:t>
      </w:r>
    </w:p>
    <w:p w14:paraId="53E7E3DA" w14:textId="77777777" w:rsidR="00A81F98" w:rsidRDefault="00A81F98" w:rsidP="006676C6">
      <w:pPr>
        <w:numPr>
          <w:ilvl w:val="12"/>
          <w:numId w:val="0"/>
        </w:numPr>
        <w:tabs>
          <w:tab w:val="left" w:pos="-1440"/>
          <w:tab w:val="left" w:pos="-720"/>
          <w:tab w:val="center" w:pos="4253"/>
          <w:tab w:val="right" w:pos="8222"/>
        </w:tabs>
        <w:spacing w:line="276" w:lineRule="auto"/>
        <w:ind w:firstLine="709"/>
        <w:rPr>
          <w:rFonts w:ascii="Verdana" w:hAnsi="Verdana" w:cs="Arial"/>
          <w:spacing w:val="-3"/>
          <w:sz w:val="20"/>
          <w:lang w:val="nl-BE"/>
        </w:rPr>
      </w:pPr>
    </w:p>
    <w:p w14:paraId="79F70BF7" w14:textId="65AB7857" w:rsidR="00816F9D" w:rsidRPr="006F5815" w:rsidRDefault="006E56EA" w:rsidP="006676C6">
      <w:pPr>
        <w:numPr>
          <w:ilvl w:val="12"/>
          <w:numId w:val="0"/>
        </w:numPr>
        <w:tabs>
          <w:tab w:val="left" w:pos="-1440"/>
          <w:tab w:val="left" w:pos="-720"/>
          <w:tab w:val="center" w:pos="4253"/>
          <w:tab w:val="right" w:pos="8222"/>
        </w:tabs>
        <w:spacing w:line="276" w:lineRule="auto"/>
        <w:ind w:firstLine="709"/>
        <w:rPr>
          <w:rFonts w:ascii="Verdana" w:hAnsi="Verdana" w:cs="Arial"/>
          <w:spacing w:val="-3"/>
          <w:sz w:val="20"/>
        </w:rPr>
      </w:pPr>
      <w:r>
        <w:rPr>
          <w:rFonts w:ascii="Verdana" w:hAnsi="Verdana"/>
          <w:sz w:val="20"/>
        </w:rPr>
        <w:t>Artykuł 23 wchodzi w życie pierwszego dnia szóstego miesiąca następującego po miesiącu, w którym niniejszy dekret został opublikowany w belgijskim Dzienniku Urzędowym.</w:t>
      </w:r>
    </w:p>
    <w:p w14:paraId="1AEA2C5D" w14:textId="77777777" w:rsidR="00E41310" w:rsidRPr="006F5815"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lang w:val="nl-BE"/>
        </w:rPr>
      </w:pPr>
    </w:p>
    <w:p w14:paraId="24B4A22F" w14:textId="77777777" w:rsidR="00E41310" w:rsidRPr="006F5815"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lang w:val="nl-BE"/>
        </w:rPr>
      </w:pPr>
    </w:p>
    <w:p w14:paraId="40BEB9F8" w14:textId="77777777"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rPr>
      </w:pPr>
      <w:r>
        <w:rPr>
          <w:rFonts w:ascii="Verdana" w:hAnsi="Verdana"/>
          <w:sz w:val="20"/>
        </w:rPr>
        <w:t>Bruksela, ... (data).</w:t>
      </w:r>
    </w:p>
    <w:p w14:paraId="6FF13136" w14:textId="77777777"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12F9E7D2" w14:textId="77777777"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183F18DE" w14:textId="77777777" w:rsidR="00E41310" w:rsidRPr="00D96122" w:rsidRDefault="00E41310"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Minister-prezydent rządu flamandzkiego,</w:t>
      </w:r>
    </w:p>
    <w:p w14:paraId="47A9AB41"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531BB5B4"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6916931B"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22164F0C"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CE349D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69485B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ADA7155" w14:textId="0F7F5E85" w:rsidR="00E41310" w:rsidRPr="00D96122" w:rsidRDefault="00435AAE"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Jan JAMBON</w:t>
      </w:r>
    </w:p>
    <w:p w14:paraId="393A9808"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7E72FB1"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B1D6967" w14:textId="22A1319A" w:rsidR="00E41310" w:rsidRPr="00D96122" w:rsidRDefault="00E41310"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Flamandzki Minister Sprawiedliwości i Egzekwowania Przepisów, Środowiska, Energii i Turystyki,</w:t>
      </w:r>
    </w:p>
    <w:p w14:paraId="52614E90"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7A0FC25A"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99FE0F2"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5856D4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3ABDC33D"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CF7C677"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68858BC2" w14:textId="2A0BB990" w:rsidR="00E41310" w:rsidRPr="00D96122" w:rsidRDefault="00435AAE"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Zuhal DEMIR</w:t>
      </w:r>
    </w:p>
    <w:sectPr w:rsidR="00E41310" w:rsidRPr="00D96122" w:rsidSect="004C4C32">
      <w:headerReference w:type="even" r:id="rId12"/>
      <w:headerReference w:type="default" r:id="rId13"/>
      <w:footerReference w:type="even" r:id="rId14"/>
      <w:footerReference w:type="default" r:id="rId15"/>
      <w:headerReference w:type="first" r:id="rId16"/>
      <w:footerReference w:type="first" r:id="rId17"/>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281B" w14:textId="77777777" w:rsidR="002A7714" w:rsidRDefault="002A7714" w:rsidP="00E41310">
      <w:pPr>
        <w:spacing w:line="240" w:lineRule="auto"/>
      </w:pPr>
      <w:r>
        <w:separator/>
      </w:r>
    </w:p>
  </w:endnote>
  <w:endnote w:type="continuationSeparator" w:id="0">
    <w:p w14:paraId="790229A4" w14:textId="77777777" w:rsidR="002A7714" w:rsidRDefault="002A7714" w:rsidP="00E41310">
      <w:pPr>
        <w:spacing w:line="240" w:lineRule="auto"/>
      </w:pPr>
      <w:r>
        <w:continuationSeparator/>
      </w:r>
    </w:p>
  </w:endnote>
  <w:endnote w:type="continuationNotice" w:id="1">
    <w:p w14:paraId="3B727B3C" w14:textId="77777777" w:rsidR="002A7714" w:rsidRDefault="002A77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landersArtSans-Regular">
    <w:altName w:val="Calibri"/>
    <w:charset w:val="00"/>
    <w:family w:val="auto"/>
    <w:pitch w:val="variable"/>
    <w:sig w:usb0="00000007" w:usb1="00000000" w:usb2="00000000" w:usb3="00000000" w:csb0="00000093" w:csb1="00000000"/>
  </w:font>
  <w:font w:name="FlandersArtSans-Bold">
    <w:altName w:val="Calibri"/>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FlandersArtSerif-Bold">
    <w:altName w:val="Calibri"/>
    <w:charset w:val="00"/>
    <w:family w:val="auto"/>
    <w:pitch w:val="variable"/>
    <w:sig w:usb0="00000007" w:usb1="00000000" w:usb2="00000000" w:usb3="00000000" w:csb0="00000093" w:csb1="00000000"/>
  </w:font>
  <w:font w:name="FlandersArtSerif-Regular">
    <w:altName w:val="Calibri"/>
    <w:charset w:val="00"/>
    <w:family w:val="auto"/>
    <w:pitch w:val="variable"/>
    <w:sig w:usb0="00000007" w:usb1="00000000" w:usb2="00000000" w:usb3="00000000" w:csb0="00000093" w:csb1="00000000"/>
  </w:font>
  <w:font w:name="FlandersArtSerif-Medium">
    <w:altName w:val="Calibri"/>
    <w:charset w:val="00"/>
    <w:family w:val="auto"/>
    <w:pitch w:val="variable"/>
    <w:sig w:usb0="00000007" w:usb1="00000000" w:usb2="00000000" w:usb3="00000000" w:csb0="00000093"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3BE4" w14:textId="77777777" w:rsidR="00B67ABB" w:rsidRDefault="00B6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615279920"/>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3FA9FAA9" w14:textId="77777777" w:rsidR="00E41310" w:rsidRPr="00B67ABB" w:rsidRDefault="00E41310" w:rsidP="00B67ABB">
            <w:pPr>
              <w:pStyle w:val="Footer"/>
              <w:jc w:val="right"/>
              <w:rPr>
                <w:rFonts w:ascii="Verdana" w:hAnsi="Verdana"/>
                <w:sz w:val="18"/>
                <w:szCs w:val="18"/>
              </w:rPr>
            </w:pPr>
            <w:r>
              <w:rPr>
                <w:rFonts w:ascii="Verdana" w:hAnsi="Verdana"/>
                <w:sz w:val="18"/>
              </w:rPr>
              <w:t xml:space="preserve">Strona </w:t>
            </w:r>
            <w:r w:rsidRPr="00E41310">
              <w:rPr>
                <w:rFonts w:ascii="Verdana" w:hAnsi="Verdana"/>
                <w:sz w:val="18"/>
              </w:rPr>
              <w:fldChar w:fldCharType="begin"/>
            </w:r>
            <w:r w:rsidRPr="00E41310">
              <w:rPr>
                <w:rFonts w:ascii="Verdana" w:hAnsi="Verdana"/>
                <w:sz w:val="18"/>
              </w:rPr>
              <w:instrText>PAGE</w:instrText>
            </w:r>
            <w:r w:rsidRPr="00E41310">
              <w:rPr>
                <w:rFonts w:ascii="Verdana" w:hAnsi="Verdana"/>
                <w:sz w:val="18"/>
              </w:rPr>
              <w:fldChar w:fldCharType="separate"/>
            </w:r>
            <w:r w:rsidRPr="00E41310">
              <w:rPr>
                <w:rFonts w:ascii="Verdana" w:hAnsi="Verdana"/>
                <w:sz w:val="18"/>
              </w:rPr>
              <w:t>2</w:t>
            </w:r>
            <w:r w:rsidRPr="00E41310">
              <w:rPr>
                <w:rFonts w:ascii="Verdana" w:hAnsi="Verdana"/>
                <w:sz w:val="18"/>
              </w:rPr>
              <w:fldChar w:fldCharType="end"/>
            </w:r>
            <w:r>
              <w:rPr>
                <w:rFonts w:ascii="Verdana" w:hAnsi="Verdana"/>
                <w:sz w:val="18"/>
              </w:rPr>
              <w:t xml:space="preserve"> z </w:t>
            </w:r>
            <w:r w:rsidRPr="00E41310">
              <w:rPr>
                <w:rFonts w:ascii="Verdana" w:hAnsi="Verdana"/>
                <w:sz w:val="18"/>
              </w:rPr>
              <w:fldChar w:fldCharType="begin"/>
            </w:r>
            <w:r w:rsidRPr="00E41310">
              <w:rPr>
                <w:rFonts w:ascii="Verdana" w:hAnsi="Verdana"/>
                <w:sz w:val="18"/>
              </w:rPr>
              <w:instrText>NUMPAGES</w:instrText>
            </w:r>
            <w:r w:rsidRPr="00E41310">
              <w:rPr>
                <w:rFonts w:ascii="Verdana" w:hAnsi="Verdana"/>
                <w:sz w:val="18"/>
              </w:rPr>
              <w:fldChar w:fldCharType="separate"/>
            </w:r>
            <w:r w:rsidRPr="00E41310">
              <w:rPr>
                <w:rFonts w:ascii="Verdana" w:hAnsi="Verdana"/>
                <w:sz w:val="18"/>
              </w:rPr>
              <w:t>2</w:t>
            </w:r>
            <w:r w:rsidRPr="00E41310">
              <w:rPr>
                <w:rFonts w:ascii="Verdana" w:hAnsi="Verdana"/>
                <w:sz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6363" w14:textId="77777777" w:rsidR="00B67ABB" w:rsidRDefault="00B6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005D" w14:textId="77777777" w:rsidR="002A7714" w:rsidRDefault="002A7714" w:rsidP="00E41310">
      <w:pPr>
        <w:spacing w:line="240" w:lineRule="auto"/>
      </w:pPr>
      <w:r>
        <w:separator/>
      </w:r>
    </w:p>
  </w:footnote>
  <w:footnote w:type="continuationSeparator" w:id="0">
    <w:p w14:paraId="6A7D79A9" w14:textId="77777777" w:rsidR="002A7714" w:rsidRDefault="002A7714" w:rsidP="00E41310">
      <w:pPr>
        <w:spacing w:line="240" w:lineRule="auto"/>
      </w:pPr>
      <w:r>
        <w:continuationSeparator/>
      </w:r>
    </w:p>
  </w:footnote>
  <w:footnote w:type="continuationNotice" w:id="1">
    <w:p w14:paraId="2DDEEB65" w14:textId="77777777" w:rsidR="002A7714" w:rsidRDefault="002A77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9CAA" w14:textId="77777777" w:rsidR="00B67ABB" w:rsidRDefault="00B6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D018" w14:textId="77777777" w:rsidR="00B67ABB" w:rsidRDefault="00B67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1530" w14:textId="77777777" w:rsidR="00B67ABB" w:rsidRDefault="00B67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11C42"/>
    <w:multiLevelType w:val="hybridMultilevel"/>
    <w:tmpl w:val="7644B1BC"/>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33587B19"/>
    <w:multiLevelType w:val="hybridMultilevel"/>
    <w:tmpl w:val="DE96B42E"/>
    <w:lvl w:ilvl="0" w:tplc="18247DA0">
      <w:numFmt w:val="bullet"/>
      <w:lvlText w:val=""/>
      <w:lvlJc w:val="left"/>
      <w:pPr>
        <w:ind w:left="720" w:hanging="360"/>
      </w:pPr>
      <w:rPr>
        <w:rFonts w:ascii="Symbol" w:eastAsia="Times"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98C67D3"/>
    <w:multiLevelType w:val="multilevel"/>
    <w:tmpl w:val="25E07B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A0561C6"/>
    <w:multiLevelType w:val="hybridMultilevel"/>
    <w:tmpl w:val="BCD251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1989084">
    <w:abstractNumId w:val="2"/>
  </w:num>
  <w:num w:numId="2" w16cid:durableId="560554093">
    <w:abstractNumId w:val="3"/>
  </w:num>
  <w:num w:numId="3" w16cid:durableId="1529297318">
    <w:abstractNumId w:val="1"/>
  </w:num>
  <w:num w:numId="4" w16cid:durableId="10033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10"/>
    <w:rsid w:val="000002BD"/>
    <w:rsid w:val="000060EE"/>
    <w:rsid w:val="00006659"/>
    <w:rsid w:val="00006D2A"/>
    <w:rsid w:val="00007A27"/>
    <w:rsid w:val="00007EAA"/>
    <w:rsid w:val="00011485"/>
    <w:rsid w:val="00014C4E"/>
    <w:rsid w:val="00015476"/>
    <w:rsid w:val="000159B3"/>
    <w:rsid w:val="0001625A"/>
    <w:rsid w:val="00020389"/>
    <w:rsid w:val="00021AC6"/>
    <w:rsid w:val="000229FC"/>
    <w:rsid w:val="00023661"/>
    <w:rsid w:val="000250F3"/>
    <w:rsid w:val="00025844"/>
    <w:rsid w:val="00026A13"/>
    <w:rsid w:val="00027D35"/>
    <w:rsid w:val="00034023"/>
    <w:rsid w:val="00036188"/>
    <w:rsid w:val="00036B1D"/>
    <w:rsid w:val="000372B6"/>
    <w:rsid w:val="000453CC"/>
    <w:rsid w:val="00045E60"/>
    <w:rsid w:val="00047A3E"/>
    <w:rsid w:val="00052B1B"/>
    <w:rsid w:val="00053750"/>
    <w:rsid w:val="00055C24"/>
    <w:rsid w:val="000607AC"/>
    <w:rsid w:val="000609E4"/>
    <w:rsid w:val="00061FD0"/>
    <w:rsid w:val="0006252E"/>
    <w:rsid w:val="0006352C"/>
    <w:rsid w:val="00071C02"/>
    <w:rsid w:val="00072408"/>
    <w:rsid w:val="00075167"/>
    <w:rsid w:val="00075C8F"/>
    <w:rsid w:val="000761EF"/>
    <w:rsid w:val="00076DEF"/>
    <w:rsid w:val="00076F65"/>
    <w:rsid w:val="0007713E"/>
    <w:rsid w:val="00077DF1"/>
    <w:rsid w:val="00080D2B"/>
    <w:rsid w:val="000818BB"/>
    <w:rsid w:val="00082ED5"/>
    <w:rsid w:val="00083BAD"/>
    <w:rsid w:val="00083F4F"/>
    <w:rsid w:val="0008434C"/>
    <w:rsid w:val="00084788"/>
    <w:rsid w:val="00085062"/>
    <w:rsid w:val="000854C0"/>
    <w:rsid w:val="00085C46"/>
    <w:rsid w:val="0009127F"/>
    <w:rsid w:val="0009158A"/>
    <w:rsid w:val="0009398D"/>
    <w:rsid w:val="00095E37"/>
    <w:rsid w:val="00097B87"/>
    <w:rsid w:val="000A17EE"/>
    <w:rsid w:val="000A213F"/>
    <w:rsid w:val="000A2150"/>
    <w:rsid w:val="000A25C3"/>
    <w:rsid w:val="000A41F4"/>
    <w:rsid w:val="000A4895"/>
    <w:rsid w:val="000A48FE"/>
    <w:rsid w:val="000A4A8D"/>
    <w:rsid w:val="000A7148"/>
    <w:rsid w:val="000A77D0"/>
    <w:rsid w:val="000B1363"/>
    <w:rsid w:val="000B2EC0"/>
    <w:rsid w:val="000B310E"/>
    <w:rsid w:val="000B4249"/>
    <w:rsid w:val="000B5B62"/>
    <w:rsid w:val="000B5DE7"/>
    <w:rsid w:val="000B7D48"/>
    <w:rsid w:val="000C05FC"/>
    <w:rsid w:val="000C4E5D"/>
    <w:rsid w:val="000C66A2"/>
    <w:rsid w:val="000C78E1"/>
    <w:rsid w:val="000D032C"/>
    <w:rsid w:val="000D08D0"/>
    <w:rsid w:val="000D205F"/>
    <w:rsid w:val="000D2518"/>
    <w:rsid w:val="000D4534"/>
    <w:rsid w:val="000D49D3"/>
    <w:rsid w:val="000D5B64"/>
    <w:rsid w:val="000D5D6D"/>
    <w:rsid w:val="000E1210"/>
    <w:rsid w:val="000E39F1"/>
    <w:rsid w:val="000E3C8E"/>
    <w:rsid w:val="000E6C19"/>
    <w:rsid w:val="000E6FBB"/>
    <w:rsid w:val="000E7E45"/>
    <w:rsid w:val="000F024B"/>
    <w:rsid w:val="000F4710"/>
    <w:rsid w:val="000F61AF"/>
    <w:rsid w:val="00100AAE"/>
    <w:rsid w:val="001034D8"/>
    <w:rsid w:val="001047BA"/>
    <w:rsid w:val="00105547"/>
    <w:rsid w:val="00105A5F"/>
    <w:rsid w:val="00106AC4"/>
    <w:rsid w:val="00111300"/>
    <w:rsid w:val="00123B3B"/>
    <w:rsid w:val="00126DF5"/>
    <w:rsid w:val="00127577"/>
    <w:rsid w:val="001301E6"/>
    <w:rsid w:val="001310EA"/>
    <w:rsid w:val="001317D1"/>
    <w:rsid w:val="001326FC"/>
    <w:rsid w:val="00133255"/>
    <w:rsid w:val="00137BBB"/>
    <w:rsid w:val="001408D0"/>
    <w:rsid w:val="00141568"/>
    <w:rsid w:val="00142CE0"/>
    <w:rsid w:val="00143307"/>
    <w:rsid w:val="00143C7E"/>
    <w:rsid w:val="0014570F"/>
    <w:rsid w:val="00147641"/>
    <w:rsid w:val="001511F2"/>
    <w:rsid w:val="00151B4C"/>
    <w:rsid w:val="00155BBB"/>
    <w:rsid w:val="00156556"/>
    <w:rsid w:val="001576BE"/>
    <w:rsid w:val="001619B4"/>
    <w:rsid w:val="0016318E"/>
    <w:rsid w:val="00163D8C"/>
    <w:rsid w:val="001646A8"/>
    <w:rsid w:val="0017094B"/>
    <w:rsid w:val="00172078"/>
    <w:rsid w:val="00172B65"/>
    <w:rsid w:val="00172D2C"/>
    <w:rsid w:val="00172F4B"/>
    <w:rsid w:val="001735FB"/>
    <w:rsid w:val="00173BA0"/>
    <w:rsid w:val="0018241C"/>
    <w:rsid w:val="00186529"/>
    <w:rsid w:val="00187D22"/>
    <w:rsid w:val="00193D4A"/>
    <w:rsid w:val="00193FAE"/>
    <w:rsid w:val="001952AA"/>
    <w:rsid w:val="00195650"/>
    <w:rsid w:val="001A26C0"/>
    <w:rsid w:val="001A364E"/>
    <w:rsid w:val="001A58D5"/>
    <w:rsid w:val="001A59E9"/>
    <w:rsid w:val="001A7188"/>
    <w:rsid w:val="001A79F6"/>
    <w:rsid w:val="001A7FDB"/>
    <w:rsid w:val="001B00CE"/>
    <w:rsid w:val="001B468E"/>
    <w:rsid w:val="001C0883"/>
    <w:rsid w:val="001C09FA"/>
    <w:rsid w:val="001C0A16"/>
    <w:rsid w:val="001C515D"/>
    <w:rsid w:val="001C53BC"/>
    <w:rsid w:val="001C732F"/>
    <w:rsid w:val="001D0829"/>
    <w:rsid w:val="001D13EF"/>
    <w:rsid w:val="001D39A6"/>
    <w:rsid w:val="001D6861"/>
    <w:rsid w:val="001D7B79"/>
    <w:rsid w:val="001E0286"/>
    <w:rsid w:val="001E70CB"/>
    <w:rsid w:val="001F09A2"/>
    <w:rsid w:val="001F18A9"/>
    <w:rsid w:val="001F336D"/>
    <w:rsid w:val="001F6EA3"/>
    <w:rsid w:val="001F7D6A"/>
    <w:rsid w:val="0020038D"/>
    <w:rsid w:val="00201982"/>
    <w:rsid w:val="00205E16"/>
    <w:rsid w:val="00207492"/>
    <w:rsid w:val="002101F7"/>
    <w:rsid w:val="00211526"/>
    <w:rsid w:val="00212F65"/>
    <w:rsid w:val="00213497"/>
    <w:rsid w:val="00214490"/>
    <w:rsid w:val="00216295"/>
    <w:rsid w:val="00216D55"/>
    <w:rsid w:val="00217C5B"/>
    <w:rsid w:val="002224FE"/>
    <w:rsid w:val="0022425A"/>
    <w:rsid w:val="00224323"/>
    <w:rsid w:val="002266F0"/>
    <w:rsid w:val="00227E96"/>
    <w:rsid w:val="00230E53"/>
    <w:rsid w:val="00230FE2"/>
    <w:rsid w:val="00231E35"/>
    <w:rsid w:val="00231F66"/>
    <w:rsid w:val="00232E35"/>
    <w:rsid w:val="002333E3"/>
    <w:rsid w:val="00233D13"/>
    <w:rsid w:val="00236F85"/>
    <w:rsid w:val="002373EF"/>
    <w:rsid w:val="002377F8"/>
    <w:rsid w:val="002378FB"/>
    <w:rsid w:val="00237B71"/>
    <w:rsid w:val="00237E10"/>
    <w:rsid w:val="00241F58"/>
    <w:rsid w:val="00245ECE"/>
    <w:rsid w:val="00247FB6"/>
    <w:rsid w:val="002507B8"/>
    <w:rsid w:val="002526D9"/>
    <w:rsid w:val="002544C0"/>
    <w:rsid w:val="00255744"/>
    <w:rsid w:val="00255E4E"/>
    <w:rsid w:val="00260778"/>
    <w:rsid w:val="00263602"/>
    <w:rsid w:val="002639A8"/>
    <w:rsid w:val="00265BF1"/>
    <w:rsid w:val="0026728C"/>
    <w:rsid w:val="00270EAF"/>
    <w:rsid w:val="00273638"/>
    <w:rsid w:val="00275259"/>
    <w:rsid w:val="00275651"/>
    <w:rsid w:val="0027699F"/>
    <w:rsid w:val="00276D62"/>
    <w:rsid w:val="0028034D"/>
    <w:rsid w:val="00281646"/>
    <w:rsid w:val="002830DE"/>
    <w:rsid w:val="002849CD"/>
    <w:rsid w:val="002857FF"/>
    <w:rsid w:val="00291796"/>
    <w:rsid w:val="00292A21"/>
    <w:rsid w:val="00292E20"/>
    <w:rsid w:val="0029351B"/>
    <w:rsid w:val="00296C02"/>
    <w:rsid w:val="00296D90"/>
    <w:rsid w:val="002A0D1F"/>
    <w:rsid w:val="002A1B0E"/>
    <w:rsid w:val="002A258A"/>
    <w:rsid w:val="002A3EB7"/>
    <w:rsid w:val="002A43E5"/>
    <w:rsid w:val="002A5AA2"/>
    <w:rsid w:val="002A665B"/>
    <w:rsid w:val="002A6D3A"/>
    <w:rsid w:val="002A7714"/>
    <w:rsid w:val="002B2E80"/>
    <w:rsid w:val="002B451B"/>
    <w:rsid w:val="002B5836"/>
    <w:rsid w:val="002B65EF"/>
    <w:rsid w:val="002B68C2"/>
    <w:rsid w:val="002B6DA1"/>
    <w:rsid w:val="002C0679"/>
    <w:rsid w:val="002C0CA4"/>
    <w:rsid w:val="002C329B"/>
    <w:rsid w:val="002C334E"/>
    <w:rsid w:val="002C5932"/>
    <w:rsid w:val="002C6856"/>
    <w:rsid w:val="002C79BB"/>
    <w:rsid w:val="002D0676"/>
    <w:rsid w:val="002D08B2"/>
    <w:rsid w:val="002D1FC3"/>
    <w:rsid w:val="002D28A5"/>
    <w:rsid w:val="002E3926"/>
    <w:rsid w:val="002E7763"/>
    <w:rsid w:val="002F0C8D"/>
    <w:rsid w:val="002F0E2A"/>
    <w:rsid w:val="002F1390"/>
    <w:rsid w:val="002F1471"/>
    <w:rsid w:val="002F15E7"/>
    <w:rsid w:val="002F2BD3"/>
    <w:rsid w:val="002F40B9"/>
    <w:rsid w:val="002F7706"/>
    <w:rsid w:val="003057C2"/>
    <w:rsid w:val="0031070A"/>
    <w:rsid w:val="0031073B"/>
    <w:rsid w:val="003109FD"/>
    <w:rsid w:val="003118D6"/>
    <w:rsid w:val="00313769"/>
    <w:rsid w:val="00317E81"/>
    <w:rsid w:val="00320BB9"/>
    <w:rsid w:val="00321F38"/>
    <w:rsid w:val="0032360A"/>
    <w:rsid w:val="00323890"/>
    <w:rsid w:val="00324108"/>
    <w:rsid w:val="00326519"/>
    <w:rsid w:val="00326C33"/>
    <w:rsid w:val="003273B1"/>
    <w:rsid w:val="00327417"/>
    <w:rsid w:val="00330E5B"/>
    <w:rsid w:val="003314EA"/>
    <w:rsid w:val="003319C4"/>
    <w:rsid w:val="00333A99"/>
    <w:rsid w:val="00334073"/>
    <w:rsid w:val="0033423C"/>
    <w:rsid w:val="0033512B"/>
    <w:rsid w:val="0034511A"/>
    <w:rsid w:val="00345AD8"/>
    <w:rsid w:val="00350485"/>
    <w:rsid w:val="00350985"/>
    <w:rsid w:val="0035365B"/>
    <w:rsid w:val="0035399F"/>
    <w:rsid w:val="00355B90"/>
    <w:rsid w:val="0035762A"/>
    <w:rsid w:val="003579E4"/>
    <w:rsid w:val="00357BF1"/>
    <w:rsid w:val="00360B8D"/>
    <w:rsid w:val="00360DEA"/>
    <w:rsid w:val="0036118B"/>
    <w:rsid w:val="003613B2"/>
    <w:rsid w:val="00362729"/>
    <w:rsid w:val="00363F15"/>
    <w:rsid w:val="00373B1B"/>
    <w:rsid w:val="00374A74"/>
    <w:rsid w:val="00374FF2"/>
    <w:rsid w:val="00375895"/>
    <w:rsid w:val="00376713"/>
    <w:rsid w:val="00376BFD"/>
    <w:rsid w:val="00377F55"/>
    <w:rsid w:val="003816A3"/>
    <w:rsid w:val="00381CE2"/>
    <w:rsid w:val="003824B7"/>
    <w:rsid w:val="003848E7"/>
    <w:rsid w:val="003855D7"/>
    <w:rsid w:val="0038739A"/>
    <w:rsid w:val="003947AC"/>
    <w:rsid w:val="00394E6A"/>
    <w:rsid w:val="0039636A"/>
    <w:rsid w:val="00396670"/>
    <w:rsid w:val="0039775E"/>
    <w:rsid w:val="00397E3D"/>
    <w:rsid w:val="003A1037"/>
    <w:rsid w:val="003A127F"/>
    <w:rsid w:val="003A1EBD"/>
    <w:rsid w:val="003A38F3"/>
    <w:rsid w:val="003A45FF"/>
    <w:rsid w:val="003A5BC8"/>
    <w:rsid w:val="003A638B"/>
    <w:rsid w:val="003B0173"/>
    <w:rsid w:val="003B2C5A"/>
    <w:rsid w:val="003B5D18"/>
    <w:rsid w:val="003C06C8"/>
    <w:rsid w:val="003C438D"/>
    <w:rsid w:val="003D01E3"/>
    <w:rsid w:val="003D074F"/>
    <w:rsid w:val="003D1040"/>
    <w:rsid w:val="003D4268"/>
    <w:rsid w:val="003D5607"/>
    <w:rsid w:val="003D6832"/>
    <w:rsid w:val="003D6860"/>
    <w:rsid w:val="003E15DA"/>
    <w:rsid w:val="003E2A04"/>
    <w:rsid w:val="003E2F73"/>
    <w:rsid w:val="003E374B"/>
    <w:rsid w:val="003E4380"/>
    <w:rsid w:val="003E59C9"/>
    <w:rsid w:val="003E5D6F"/>
    <w:rsid w:val="003E72E0"/>
    <w:rsid w:val="003F14E6"/>
    <w:rsid w:val="003F2381"/>
    <w:rsid w:val="003F572E"/>
    <w:rsid w:val="003F7A72"/>
    <w:rsid w:val="00402D1C"/>
    <w:rsid w:val="00404320"/>
    <w:rsid w:val="004066AF"/>
    <w:rsid w:val="00416600"/>
    <w:rsid w:val="004176FD"/>
    <w:rsid w:val="004202C4"/>
    <w:rsid w:val="0042157B"/>
    <w:rsid w:val="00421842"/>
    <w:rsid w:val="00421950"/>
    <w:rsid w:val="00421A99"/>
    <w:rsid w:val="00422DE6"/>
    <w:rsid w:val="00423904"/>
    <w:rsid w:val="004271E1"/>
    <w:rsid w:val="00431172"/>
    <w:rsid w:val="0043121E"/>
    <w:rsid w:val="00431E06"/>
    <w:rsid w:val="00432638"/>
    <w:rsid w:val="00432D77"/>
    <w:rsid w:val="00433764"/>
    <w:rsid w:val="00433CD4"/>
    <w:rsid w:val="0043532F"/>
    <w:rsid w:val="004354E4"/>
    <w:rsid w:val="00435AAE"/>
    <w:rsid w:val="004378B9"/>
    <w:rsid w:val="004404D4"/>
    <w:rsid w:val="00441547"/>
    <w:rsid w:val="00441DB6"/>
    <w:rsid w:val="00442C98"/>
    <w:rsid w:val="00444BBA"/>
    <w:rsid w:val="00447ADD"/>
    <w:rsid w:val="00453540"/>
    <w:rsid w:val="004552BC"/>
    <w:rsid w:val="00457A03"/>
    <w:rsid w:val="0046072D"/>
    <w:rsid w:val="004648E5"/>
    <w:rsid w:val="00466E5C"/>
    <w:rsid w:val="00471389"/>
    <w:rsid w:val="00474049"/>
    <w:rsid w:val="00476495"/>
    <w:rsid w:val="0047699F"/>
    <w:rsid w:val="00482A4A"/>
    <w:rsid w:val="00485872"/>
    <w:rsid w:val="00486317"/>
    <w:rsid w:val="004872A6"/>
    <w:rsid w:val="00487A43"/>
    <w:rsid w:val="00491651"/>
    <w:rsid w:val="00491E6C"/>
    <w:rsid w:val="00493191"/>
    <w:rsid w:val="00493267"/>
    <w:rsid w:val="0049449A"/>
    <w:rsid w:val="00494897"/>
    <w:rsid w:val="00494EC6"/>
    <w:rsid w:val="004952FA"/>
    <w:rsid w:val="004969B5"/>
    <w:rsid w:val="004974F3"/>
    <w:rsid w:val="004978E8"/>
    <w:rsid w:val="004A2DA1"/>
    <w:rsid w:val="004A7078"/>
    <w:rsid w:val="004B0B99"/>
    <w:rsid w:val="004B6D47"/>
    <w:rsid w:val="004B745E"/>
    <w:rsid w:val="004C1B0E"/>
    <w:rsid w:val="004C1D37"/>
    <w:rsid w:val="004C44E4"/>
    <w:rsid w:val="004C4C32"/>
    <w:rsid w:val="004C7A80"/>
    <w:rsid w:val="004D13CB"/>
    <w:rsid w:val="004D2B68"/>
    <w:rsid w:val="004D5E5C"/>
    <w:rsid w:val="004E00E7"/>
    <w:rsid w:val="004E2DB0"/>
    <w:rsid w:val="004E2E86"/>
    <w:rsid w:val="004E3047"/>
    <w:rsid w:val="004E585D"/>
    <w:rsid w:val="004E7054"/>
    <w:rsid w:val="004E71A2"/>
    <w:rsid w:val="004F1C4F"/>
    <w:rsid w:val="004F1E8E"/>
    <w:rsid w:val="004F31FE"/>
    <w:rsid w:val="004F3BB5"/>
    <w:rsid w:val="005009A3"/>
    <w:rsid w:val="00501BAB"/>
    <w:rsid w:val="00505039"/>
    <w:rsid w:val="00505FA8"/>
    <w:rsid w:val="00506451"/>
    <w:rsid w:val="00507A1C"/>
    <w:rsid w:val="00507B8B"/>
    <w:rsid w:val="005102CD"/>
    <w:rsid w:val="00511155"/>
    <w:rsid w:val="005112F8"/>
    <w:rsid w:val="00511B92"/>
    <w:rsid w:val="00511C71"/>
    <w:rsid w:val="00512521"/>
    <w:rsid w:val="0051266C"/>
    <w:rsid w:val="005131AF"/>
    <w:rsid w:val="005147FF"/>
    <w:rsid w:val="005149A4"/>
    <w:rsid w:val="005169DA"/>
    <w:rsid w:val="00520949"/>
    <w:rsid w:val="0052099E"/>
    <w:rsid w:val="00522038"/>
    <w:rsid w:val="0052374D"/>
    <w:rsid w:val="00523A1E"/>
    <w:rsid w:val="00523EF1"/>
    <w:rsid w:val="005252B0"/>
    <w:rsid w:val="00526053"/>
    <w:rsid w:val="00526711"/>
    <w:rsid w:val="00526B7C"/>
    <w:rsid w:val="00526ED8"/>
    <w:rsid w:val="00527731"/>
    <w:rsid w:val="00530F5E"/>
    <w:rsid w:val="00533AD7"/>
    <w:rsid w:val="00534690"/>
    <w:rsid w:val="0053737C"/>
    <w:rsid w:val="005422CC"/>
    <w:rsid w:val="00547939"/>
    <w:rsid w:val="00547DC9"/>
    <w:rsid w:val="00552403"/>
    <w:rsid w:val="00552AB9"/>
    <w:rsid w:val="0055428B"/>
    <w:rsid w:val="00555238"/>
    <w:rsid w:val="00555FDE"/>
    <w:rsid w:val="00556189"/>
    <w:rsid w:val="00556390"/>
    <w:rsid w:val="00557305"/>
    <w:rsid w:val="005601E4"/>
    <w:rsid w:val="005606CB"/>
    <w:rsid w:val="005611AD"/>
    <w:rsid w:val="00561B46"/>
    <w:rsid w:val="005636CA"/>
    <w:rsid w:val="00563D89"/>
    <w:rsid w:val="00564D13"/>
    <w:rsid w:val="00565881"/>
    <w:rsid w:val="00567532"/>
    <w:rsid w:val="00567EDC"/>
    <w:rsid w:val="0057056F"/>
    <w:rsid w:val="005706C8"/>
    <w:rsid w:val="005709A4"/>
    <w:rsid w:val="0057203C"/>
    <w:rsid w:val="0057255E"/>
    <w:rsid w:val="00572D48"/>
    <w:rsid w:val="0057308C"/>
    <w:rsid w:val="005748B5"/>
    <w:rsid w:val="00575D33"/>
    <w:rsid w:val="00576ECF"/>
    <w:rsid w:val="005777E5"/>
    <w:rsid w:val="0058054E"/>
    <w:rsid w:val="00581219"/>
    <w:rsid w:val="00584FEC"/>
    <w:rsid w:val="00585D39"/>
    <w:rsid w:val="00586314"/>
    <w:rsid w:val="00586E84"/>
    <w:rsid w:val="00596761"/>
    <w:rsid w:val="00597EEF"/>
    <w:rsid w:val="005A030C"/>
    <w:rsid w:val="005A22BD"/>
    <w:rsid w:val="005A3ADF"/>
    <w:rsid w:val="005A5EB9"/>
    <w:rsid w:val="005A7663"/>
    <w:rsid w:val="005A7879"/>
    <w:rsid w:val="005A7955"/>
    <w:rsid w:val="005A7CAE"/>
    <w:rsid w:val="005B1475"/>
    <w:rsid w:val="005B1B47"/>
    <w:rsid w:val="005B7733"/>
    <w:rsid w:val="005C1703"/>
    <w:rsid w:val="005C1DF6"/>
    <w:rsid w:val="005C28CF"/>
    <w:rsid w:val="005C3801"/>
    <w:rsid w:val="005C400C"/>
    <w:rsid w:val="005C5858"/>
    <w:rsid w:val="005C6356"/>
    <w:rsid w:val="005C6D87"/>
    <w:rsid w:val="005D0A94"/>
    <w:rsid w:val="005D297C"/>
    <w:rsid w:val="005D2DF4"/>
    <w:rsid w:val="005D2FF8"/>
    <w:rsid w:val="005E0111"/>
    <w:rsid w:val="005E0405"/>
    <w:rsid w:val="005E2765"/>
    <w:rsid w:val="005E2D4A"/>
    <w:rsid w:val="005E5433"/>
    <w:rsid w:val="005E6D5F"/>
    <w:rsid w:val="005E7B15"/>
    <w:rsid w:val="005F179F"/>
    <w:rsid w:val="005F7992"/>
    <w:rsid w:val="0060006F"/>
    <w:rsid w:val="0060083E"/>
    <w:rsid w:val="006008C8"/>
    <w:rsid w:val="0060199E"/>
    <w:rsid w:val="00601DB4"/>
    <w:rsid w:val="00602CF3"/>
    <w:rsid w:val="00603C4D"/>
    <w:rsid w:val="006041C0"/>
    <w:rsid w:val="006051A1"/>
    <w:rsid w:val="0060539E"/>
    <w:rsid w:val="00605611"/>
    <w:rsid w:val="00606E5D"/>
    <w:rsid w:val="00607380"/>
    <w:rsid w:val="00610338"/>
    <w:rsid w:val="00610530"/>
    <w:rsid w:val="006118A3"/>
    <w:rsid w:val="006146D7"/>
    <w:rsid w:val="00615644"/>
    <w:rsid w:val="00616B58"/>
    <w:rsid w:val="00616DBD"/>
    <w:rsid w:val="006213A4"/>
    <w:rsid w:val="0062538D"/>
    <w:rsid w:val="00626424"/>
    <w:rsid w:val="00626F6D"/>
    <w:rsid w:val="00626FC9"/>
    <w:rsid w:val="00627615"/>
    <w:rsid w:val="00630FC8"/>
    <w:rsid w:val="00631D6E"/>
    <w:rsid w:val="006324EB"/>
    <w:rsid w:val="00634A37"/>
    <w:rsid w:val="0063696A"/>
    <w:rsid w:val="00640D0A"/>
    <w:rsid w:val="00641C8B"/>
    <w:rsid w:val="00642B0B"/>
    <w:rsid w:val="00643479"/>
    <w:rsid w:val="00643CF9"/>
    <w:rsid w:val="00644036"/>
    <w:rsid w:val="00644079"/>
    <w:rsid w:val="00650425"/>
    <w:rsid w:val="00650B51"/>
    <w:rsid w:val="00651ABB"/>
    <w:rsid w:val="00653270"/>
    <w:rsid w:val="006540DB"/>
    <w:rsid w:val="006603F7"/>
    <w:rsid w:val="00660ECA"/>
    <w:rsid w:val="00661C22"/>
    <w:rsid w:val="006663ED"/>
    <w:rsid w:val="006664A3"/>
    <w:rsid w:val="006676C6"/>
    <w:rsid w:val="006721BF"/>
    <w:rsid w:val="00672B34"/>
    <w:rsid w:val="006732FC"/>
    <w:rsid w:val="00674821"/>
    <w:rsid w:val="00674A64"/>
    <w:rsid w:val="00676859"/>
    <w:rsid w:val="0068062B"/>
    <w:rsid w:val="00682939"/>
    <w:rsid w:val="00682B66"/>
    <w:rsid w:val="006851EB"/>
    <w:rsid w:val="0068709A"/>
    <w:rsid w:val="00693524"/>
    <w:rsid w:val="006966C8"/>
    <w:rsid w:val="0069694C"/>
    <w:rsid w:val="00697287"/>
    <w:rsid w:val="006977EB"/>
    <w:rsid w:val="006A05BE"/>
    <w:rsid w:val="006A39BC"/>
    <w:rsid w:val="006A64A9"/>
    <w:rsid w:val="006A6875"/>
    <w:rsid w:val="006A6BF8"/>
    <w:rsid w:val="006B04E3"/>
    <w:rsid w:val="006B3D8E"/>
    <w:rsid w:val="006B7BB3"/>
    <w:rsid w:val="006C396A"/>
    <w:rsid w:val="006C40C5"/>
    <w:rsid w:val="006C50A7"/>
    <w:rsid w:val="006C564D"/>
    <w:rsid w:val="006C67B0"/>
    <w:rsid w:val="006C73B0"/>
    <w:rsid w:val="006D1B37"/>
    <w:rsid w:val="006D1ECB"/>
    <w:rsid w:val="006D2604"/>
    <w:rsid w:val="006D3EB5"/>
    <w:rsid w:val="006D4D05"/>
    <w:rsid w:val="006D50D9"/>
    <w:rsid w:val="006D530D"/>
    <w:rsid w:val="006D76D8"/>
    <w:rsid w:val="006E37EB"/>
    <w:rsid w:val="006E4761"/>
    <w:rsid w:val="006E4AE2"/>
    <w:rsid w:val="006E56EA"/>
    <w:rsid w:val="006E6BC9"/>
    <w:rsid w:val="006E6BEF"/>
    <w:rsid w:val="006E79C3"/>
    <w:rsid w:val="006F1D92"/>
    <w:rsid w:val="006F5815"/>
    <w:rsid w:val="006F64D2"/>
    <w:rsid w:val="006F6A4F"/>
    <w:rsid w:val="007009FC"/>
    <w:rsid w:val="0070138D"/>
    <w:rsid w:val="0070270C"/>
    <w:rsid w:val="00702BF5"/>
    <w:rsid w:val="00703793"/>
    <w:rsid w:val="007037BD"/>
    <w:rsid w:val="0070418C"/>
    <w:rsid w:val="0070532E"/>
    <w:rsid w:val="00707656"/>
    <w:rsid w:val="0071349A"/>
    <w:rsid w:val="00714BFB"/>
    <w:rsid w:val="00714F25"/>
    <w:rsid w:val="00715095"/>
    <w:rsid w:val="007163EB"/>
    <w:rsid w:val="00716A6A"/>
    <w:rsid w:val="007217FF"/>
    <w:rsid w:val="007227A6"/>
    <w:rsid w:val="0072352C"/>
    <w:rsid w:val="00726AC8"/>
    <w:rsid w:val="00726BFF"/>
    <w:rsid w:val="0072717D"/>
    <w:rsid w:val="0073223F"/>
    <w:rsid w:val="007350A5"/>
    <w:rsid w:val="00735763"/>
    <w:rsid w:val="00740D7A"/>
    <w:rsid w:val="00747813"/>
    <w:rsid w:val="00750D0D"/>
    <w:rsid w:val="00756693"/>
    <w:rsid w:val="00756B16"/>
    <w:rsid w:val="007571C7"/>
    <w:rsid w:val="0075756D"/>
    <w:rsid w:val="00762F20"/>
    <w:rsid w:val="00766563"/>
    <w:rsid w:val="007671B0"/>
    <w:rsid w:val="007707FD"/>
    <w:rsid w:val="0077137F"/>
    <w:rsid w:val="0077187E"/>
    <w:rsid w:val="0077415E"/>
    <w:rsid w:val="00774547"/>
    <w:rsid w:val="00774A6D"/>
    <w:rsid w:val="00776947"/>
    <w:rsid w:val="007831CC"/>
    <w:rsid w:val="00786163"/>
    <w:rsid w:val="00790681"/>
    <w:rsid w:val="007915DB"/>
    <w:rsid w:val="0079561E"/>
    <w:rsid w:val="00796277"/>
    <w:rsid w:val="0079648F"/>
    <w:rsid w:val="0079710C"/>
    <w:rsid w:val="0079727A"/>
    <w:rsid w:val="00797441"/>
    <w:rsid w:val="007A0A8D"/>
    <w:rsid w:val="007A0F65"/>
    <w:rsid w:val="007A2158"/>
    <w:rsid w:val="007A2FA6"/>
    <w:rsid w:val="007B106C"/>
    <w:rsid w:val="007B1C73"/>
    <w:rsid w:val="007B588E"/>
    <w:rsid w:val="007B5C44"/>
    <w:rsid w:val="007B60A2"/>
    <w:rsid w:val="007B715A"/>
    <w:rsid w:val="007C0F8E"/>
    <w:rsid w:val="007C19CA"/>
    <w:rsid w:val="007C2130"/>
    <w:rsid w:val="007C3FCA"/>
    <w:rsid w:val="007C45E4"/>
    <w:rsid w:val="007D00F6"/>
    <w:rsid w:val="007D2145"/>
    <w:rsid w:val="007D247C"/>
    <w:rsid w:val="007D33BE"/>
    <w:rsid w:val="007D5EAA"/>
    <w:rsid w:val="007D6B9B"/>
    <w:rsid w:val="007D6E07"/>
    <w:rsid w:val="007D710A"/>
    <w:rsid w:val="007D716D"/>
    <w:rsid w:val="007E1ADF"/>
    <w:rsid w:val="007E2D01"/>
    <w:rsid w:val="007E308A"/>
    <w:rsid w:val="007E5B49"/>
    <w:rsid w:val="007E6B4D"/>
    <w:rsid w:val="007E6B77"/>
    <w:rsid w:val="007E75D7"/>
    <w:rsid w:val="007F18F4"/>
    <w:rsid w:val="007F27F9"/>
    <w:rsid w:val="007F2C9F"/>
    <w:rsid w:val="007F3321"/>
    <w:rsid w:val="007F4618"/>
    <w:rsid w:val="007F47F0"/>
    <w:rsid w:val="007F5142"/>
    <w:rsid w:val="007F5D1A"/>
    <w:rsid w:val="007F64C3"/>
    <w:rsid w:val="00803ABD"/>
    <w:rsid w:val="00806FE7"/>
    <w:rsid w:val="00807CEC"/>
    <w:rsid w:val="008105B4"/>
    <w:rsid w:val="008121DA"/>
    <w:rsid w:val="00812EA6"/>
    <w:rsid w:val="00813474"/>
    <w:rsid w:val="00813C42"/>
    <w:rsid w:val="00814503"/>
    <w:rsid w:val="00816F9D"/>
    <w:rsid w:val="008178DE"/>
    <w:rsid w:val="0082079A"/>
    <w:rsid w:val="008213DA"/>
    <w:rsid w:val="00821CB5"/>
    <w:rsid w:val="008247A2"/>
    <w:rsid w:val="00825735"/>
    <w:rsid w:val="00830019"/>
    <w:rsid w:val="0083299D"/>
    <w:rsid w:val="00835940"/>
    <w:rsid w:val="00836034"/>
    <w:rsid w:val="008362C1"/>
    <w:rsid w:val="00836557"/>
    <w:rsid w:val="00837654"/>
    <w:rsid w:val="008401F1"/>
    <w:rsid w:val="00841116"/>
    <w:rsid w:val="00842335"/>
    <w:rsid w:val="00845F9B"/>
    <w:rsid w:val="008472C6"/>
    <w:rsid w:val="008510D5"/>
    <w:rsid w:val="008522A7"/>
    <w:rsid w:val="0085330B"/>
    <w:rsid w:val="00853FE1"/>
    <w:rsid w:val="008555D0"/>
    <w:rsid w:val="00857D79"/>
    <w:rsid w:val="00863B34"/>
    <w:rsid w:val="008650C0"/>
    <w:rsid w:val="008664E5"/>
    <w:rsid w:val="0087092F"/>
    <w:rsid w:val="00872024"/>
    <w:rsid w:val="008759C7"/>
    <w:rsid w:val="00875EFA"/>
    <w:rsid w:val="00876D77"/>
    <w:rsid w:val="008809F8"/>
    <w:rsid w:val="00880AC2"/>
    <w:rsid w:val="00882D7D"/>
    <w:rsid w:val="008830A1"/>
    <w:rsid w:val="008851B5"/>
    <w:rsid w:val="00885F04"/>
    <w:rsid w:val="008872BD"/>
    <w:rsid w:val="00897BB5"/>
    <w:rsid w:val="008A194E"/>
    <w:rsid w:val="008A3300"/>
    <w:rsid w:val="008A4F48"/>
    <w:rsid w:val="008A6A5B"/>
    <w:rsid w:val="008A773F"/>
    <w:rsid w:val="008B0928"/>
    <w:rsid w:val="008B14FF"/>
    <w:rsid w:val="008B2C09"/>
    <w:rsid w:val="008B3D33"/>
    <w:rsid w:val="008B4008"/>
    <w:rsid w:val="008B4EBA"/>
    <w:rsid w:val="008C051B"/>
    <w:rsid w:val="008C0DC5"/>
    <w:rsid w:val="008C3D0D"/>
    <w:rsid w:val="008C3E10"/>
    <w:rsid w:val="008C439C"/>
    <w:rsid w:val="008C74BF"/>
    <w:rsid w:val="008D065B"/>
    <w:rsid w:val="008D0938"/>
    <w:rsid w:val="008D2D0F"/>
    <w:rsid w:val="008D5C03"/>
    <w:rsid w:val="008D6E65"/>
    <w:rsid w:val="008D7BA9"/>
    <w:rsid w:val="008E2788"/>
    <w:rsid w:val="008E2B76"/>
    <w:rsid w:val="008E30C7"/>
    <w:rsid w:val="008E3140"/>
    <w:rsid w:val="008E4AF4"/>
    <w:rsid w:val="008E5D15"/>
    <w:rsid w:val="008E65B6"/>
    <w:rsid w:val="008E7A62"/>
    <w:rsid w:val="008F0080"/>
    <w:rsid w:val="008F2B33"/>
    <w:rsid w:val="008F30B8"/>
    <w:rsid w:val="008F4DA7"/>
    <w:rsid w:val="008F6998"/>
    <w:rsid w:val="008F6D11"/>
    <w:rsid w:val="008F7694"/>
    <w:rsid w:val="00903D79"/>
    <w:rsid w:val="00907577"/>
    <w:rsid w:val="009077A6"/>
    <w:rsid w:val="00907CDE"/>
    <w:rsid w:val="00912B65"/>
    <w:rsid w:val="009137A8"/>
    <w:rsid w:val="00913B8A"/>
    <w:rsid w:val="00913C85"/>
    <w:rsid w:val="00914DE9"/>
    <w:rsid w:val="00916DF8"/>
    <w:rsid w:val="0091728A"/>
    <w:rsid w:val="009177B4"/>
    <w:rsid w:val="009207E4"/>
    <w:rsid w:val="0092092A"/>
    <w:rsid w:val="00920E3C"/>
    <w:rsid w:val="00924C18"/>
    <w:rsid w:val="0092540D"/>
    <w:rsid w:val="00926F72"/>
    <w:rsid w:val="0092774D"/>
    <w:rsid w:val="0093134C"/>
    <w:rsid w:val="00932F19"/>
    <w:rsid w:val="0093387E"/>
    <w:rsid w:val="009341EB"/>
    <w:rsid w:val="00934233"/>
    <w:rsid w:val="009344FE"/>
    <w:rsid w:val="00936767"/>
    <w:rsid w:val="0094276B"/>
    <w:rsid w:val="00943ED7"/>
    <w:rsid w:val="0094455C"/>
    <w:rsid w:val="00947602"/>
    <w:rsid w:val="009476D6"/>
    <w:rsid w:val="00951B45"/>
    <w:rsid w:val="009529BA"/>
    <w:rsid w:val="00955084"/>
    <w:rsid w:val="0096075F"/>
    <w:rsid w:val="009627F6"/>
    <w:rsid w:val="00962C45"/>
    <w:rsid w:val="00965431"/>
    <w:rsid w:val="00965A11"/>
    <w:rsid w:val="009677A6"/>
    <w:rsid w:val="00970109"/>
    <w:rsid w:val="00980298"/>
    <w:rsid w:val="009830C6"/>
    <w:rsid w:val="00983E25"/>
    <w:rsid w:val="009847B8"/>
    <w:rsid w:val="00985CF6"/>
    <w:rsid w:val="00990BD0"/>
    <w:rsid w:val="00990C27"/>
    <w:rsid w:val="00993ADF"/>
    <w:rsid w:val="00996042"/>
    <w:rsid w:val="00996AFD"/>
    <w:rsid w:val="009974EC"/>
    <w:rsid w:val="009A02DF"/>
    <w:rsid w:val="009A08B1"/>
    <w:rsid w:val="009A39B6"/>
    <w:rsid w:val="009A56B1"/>
    <w:rsid w:val="009A6252"/>
    <w:rsid w:val="009A64C0"/>
    <w:rsid w:val="009A7630"/>
    <w:rsid w:val="009A797E"/>
    <w:rsid w:val="009B34C0"/>
    <w:rsid w:val="009B5808"/>
    <w:rsid w:val="009B5D73"/>
    <w:rsid w:val="009B7126"/>
    <w:rsid w:val="009B75CB"/>
    <w:rsid w:val="009C0733"/>
    <w:rsid w:val="009C1500"/>
    <w:rsid w:val="009D4159"/>
    <w:rsid w:val="009D51E4"/>
    <w:rsid w:val="009D5CE0"/>
    <w:rsid w:val="009D68C0"/>
    <w:rsid w:val="009E0070"/>
    <w:rsid w:val="009E154B"/>
    <w:rsid w:val="009E2372"/>
    <w:rsid w:val="009E655A"/>
    <w:rsid w:val="009F13D1"/>
    <w:rsid w:val="009F17F3"/>
    <w:rsid w:val="009F2954"/>
    <w:rsid w:val="009F5069"/>
    <w:rsid w:val="009F553C"/>
    <w:rsid w:val="009F6241"/>
    <w:rsid w:val="009F768D"/>
    <w:rsid w:val="00A018BD"/>
    <w:rsid w:val="00A0390C"/>
    <w:rsid w:val="00A03E67"/>
    <w:rsid w:val="00A03F79"/>
    <w:rsid w:val="00A04923"/>
    <w:rsid w:val="00A05071"/>
    <w:rsid w:val="00A072CE"/>
    <w:rsid w:val="00A07B4C"/>
    <w:rsid w:val="00A10550"/>
    <w:rsid w:val="00A10A73"/>
    <w:rsid w:val="00A1142B"/>
    <w:rsid w:val="00A11FD8"/>
    <w:rsid w:val="00A1206C"/>
    <w:rsid w:val="00A128AB"/>
    <w:rsid w:val="00A129AB"/>
    <w:rsid w:val="00A138C4"/>
    <w:rsid w:val="00A15B6F"/>
    <w:rsid w:val="00A160BF"/>
    <w:rsid w:val="00A20758"/>
    <w:rsid w:val="00A20E7D"/>
    <w:rsid w:val="00A217F4"/>
    <w:rsid w:val="00A21DB0"/>
    <w:rsid w:val="00A22BF5"/>
    <w:rsid w:val="00A22C8E"/>
    <w:rsid w:val="00A22E95"/>
    <w:rsid w:val="00A24490"/>
    <w:rsid w:val="00A24568"/>
    <w:rsid w:val="00A24C18"/>
    <w:rsid w:val="00A27502"/>
    <w:rsid w:val="00A34E44"/>
    <w:rsid w:val="00A35ED4"/>
    <w:rsid w:val="00A370E8"/>
    <w:rsid w:val="00A37AD1"/>
    <w:rsid w:val="00A40853"/>
    <w:rsid w:val="00A433C9"/>
    <w:rsid w:val="00A434CB"/>
    <w:rsid w:val="00A43E0D"/>
    <w:rsid w:val="00A44833"/>
    <w:rsid w:val="00A4611D"/>
    <w:rsid w:val="00A4664D"/>
    <w:rsid w:val="00A46F81"/>
    <w:rsid w:val="00A4741B"/>
    <w:rsid w:val="00A47A0C"/>
    <w:rsid w:val="00A52D7A"/>
    <w:rsid w:val="00A54703"/>
    <w:rsid w:val="00A54BFE"/>
    <w:rsid w:val="00A5605B"/>
    <w:rsid w:val="00A564A4"/>
    <w:rsid w:val="00A568D1"/>
    <w:rsid w:val="00A6041E"/>
    <w:rsid w:val="00A62958"/>
    <w:rsid w:val="00A63385"/>
    <w:rsid w:val="00A6394C"/>
    <w:rsid w:val="00A64B43"/>
    <w:rsid w:val="00A703EC"/>
    <w:rsid w:val="00A73151"/>
    <w:rsid w:val="00A75CC2"/>
    <w:rsid w:val="00A778BA"/>
    <w:rsid w:val="00A77D7C"/>
    <w:rsid w:val="00A8129B"/>
    <w:rsid w:val="00A81EA0"/>
    <w:rsid w:val="00A81F98"/>
    <w:rsid w:val="00A83ECE"/>
    <w:rsid w:val="00A9252C"/>
    <w:rsid w:val="00A94EAD"/>
    <w:rsid w:val="00A9513C"/>
    <w:rsid w:val="00A96815"/>
    <w:rsid w:val="00A97EDF"/>
    <w:rsid w:val="00AA1928"/>
    <w:rsid w:val="00AA2732"/>
    <w:rsid w:val="00AA2879"/>
    <w:rsid w:val="00AA6F80"/>
    <w:rsid w:val="00AA75B7"/>
    <w:rsid w:val="00AB1926"/>
    <w:rsid w:val="00AB28D4"/>
    <w:rsid w:val="00AB5FA3"/>
    <w:rsid w:val="00AB682A"/>
    <w:rsid w:val="00AC04D3"/>
    <w:rsid w:val="00AC04D6"/>
    <w:rsid w:val="00AC1B9F"/>
    <w:rsid w:val="00AC38E6"/>
    <w:rsid w:val="00AC4C0C"/>
    <w:rsid w:val="00AC4D60"/>
    <w:rsid w:val="00AD1295"/>
    <w:rsid w:val="00AD1D08"/>
    <w:rsid w:val="00AD26FD"/>
    <w:rsid w:val="00AD2E50"/>
    <w:rsid w:val="00AD4E10"/>
    <w:rsid w:val="00AD7A79"/>
    <w:rsid w:val="00AE0B87"/>
    <w:rsid w:val="00AE14B2"/>
    <w:rsid w:val="00AE351E"/>
    <w:rsid w:val="00AE3A8A"/>
    <w:rsid w:val="00AE5402"/>
    <w:rsid w:val="00AE5475"/>
    <w:rsid w:val="00AE7ED0"/>
    <w:rsid w:val="00AE7F0F"/>
    <w:rsid w:val="00AF16AD"/>
    <w:rsid w:val="00AF34CA"/>
    <w:rsid w:val="00AF7BC9"/>
    <w:rsid w:val="00B00254"/>
    <w:rsid w:val="00B01297"/>
    <w:rsid w:val="00B01454"/>
    <w:rsid w:val="00B017DF"/>
    <w:rsid w:val="00B01C88"/>
    <w:rsid w:val="00B059C2"/>
    <w:rsid w:val="00B0615D"/>
    <w:rsid w:val="00B07A30"/>
    <w:rsid w:val="00B10D99"/>
    <w:rsid w:val="00B15ABE"/>
    <w:rsid w:val="00B15D3B"/>
    <w:rsid w:val="00B16928"/>
    <w:rsid w:val="00B2050F"/>
    <w:rsid w:val="00B25A00"/>
    <w:rsid w:val="00B26214"/>
    <w:rsid w:val="00B30C58"/>
    <w:rsid w:val="00B32149"/>
    <w:rsid w:val="00B34158"/>
    <w:rsid w:val="00B40311"/>
    <w:rsid w:val="00B41C8D"/>
    <w:rsid w:val="00B42A50"/>
    <w:rsid w:val="00B433F4"/>
    <w:rsid w:val="00B44D61"/>
    <w:rsid w:val="00B45781"/>
    <w:rsid w:val="00B46299"/>
    <w:rsid w:val="00B4667F"/>
    <w:rsid w:val="00B46A15"/>
    <w:rsid w:val="00B47485"/>
    <w:rsid w:val="00B475B1"/>
    <w:rsid w:val="00B50969"/>
    <w:rsid w:val="00B51596"/>
    <w:rsid w:val="00B516C3"/>
    <w:rsid w:val="00B55DE3"/>
    <w:rsid w:val="00B56275"/>
    <w:rsid w:val="00B56B3F"/>
    <w:rsid w:val="00B57E4E"/>
    <w:rsid w:val="00B61079"/>
    <w:rsid w:val="00B61778"/>
    <w:rsid w:val="00B61BA5"/>
    <w:rsid w:val="00B6372A"/>
    <w:rsid w:val="00B6382D"/>
    <w:rsid w:val="00B6446E"/>
    <w:rsid w:val="00B66892"/>
    <w:rsid w:val="00B67ABB"/>
    <w:rsid w:val="00B70481"/>
    <w:rsid w:val="00B75BF1"/>
    <w:rsid w:val="00B765EA"/>
    <w:rsid w:val="00B802A6"/>
    <w:rsid w:val="00B802FF"/>
    <w:rsid w:val="00B80737"/>
    <w:rsid w:val="00B80F2D"/>
    <w:rsid w:val="00B81265"/>
    <w:rsid w:val="00B81B02"/>
    <w:rsid w:val="00B81DB1"/>
    <w:rsid w:val="00B83E8E"/>
    <w:rsid w:val="00B85303"/>
    <w:rsid w:val="00B85B15"/>
    <w:rsid w:val="00B90120"/>
    <w:rsid w:val="00B9166C"/>
    <w:rsid w:val="00B93CF6"/>
    <w:rsid w:val="00B96037"/>
    <w:rsid w:val="00B96730"/>
    <w:rsid w:val="00B96F23"/>
    <w:rsid w:val="00BA2067"/>
    <w:rsid w:val="00BA56E3"/>
    <w:rsid w:val="00BA5D93"/>
    <w:rsid w:val="00BA5E8C"/>
    <w:rsid w:val="00BA72FD"/>
    <w:rsid w:val="00BB110E"/>
    <w:rsid w:val="00BB1AC8"/>
    <w:rsid w:val="00BB2B27"/>
    <w:rsid w:val="00BB3DCE"/>
    <w:rsid w:val="00BB403E"/>
    <w:rsid w:val="00BC15DB"/>
    <w:rsid w:val="00BC47D6"/>
    <w:rsid w:val="00BC57F8"/>
    <w:rsid w:val="00BC633D"/>
    <w:rsid w:val="00BD01BE"/>
    <w:rsid w:val="00BD2DE9"/>
    <w:rsid w:val="00BD2EC5"/>
    <w:rsid w:val="00BD34ED"/>
    <w:rsid w:val="00BD3583"/>
    <w:rsid w:val="00BD455F"/>
    <w:rsid w:val="00BE3259"/>
    <w:rsid w:val="00BE64B1"/>
    <w:rsid w:val="00BF0827"/>
    <w:rsid w:val="00BF1C82"/>
    <w:rsid w:val="00C07EC9"/>
    <w:rsid w:val="00C07EE3"/>
    <w:rsid w:val="00C10C23"/>
    <w:rsid w:val="00C1152F"/>
    <w:rsid w:val="00C11712"/>
    <w:rsid w:val="00C119E2"/>
    <w:rsid w:val="00C13643"/>
    <w:rsid w:val="00C16E22"/>
    <w:rsid w:val="00C20321"/>
    <w:rsid w:val="00C21BE1"/>
    <w:rsid w:val="00C222C0"/>
    <w:rsid w:val="00C227E8"/>
    <w:rsid w:val="00C22BD0"/>
    <w:rsid w:val="00C22BD8"/>
    <w:rsid w:val="00C25226"/>
    <w:rsid w:val="00C253D7"/>
    <w:rsid w:val="00C25B0E"/>
    <w:rsid w:val="00C25DBA"/>
    <w:rsid w:val="00C268B0"/>
    <w:rsid w:val="00C300BA"/>
    <w:rsid w:val="00C33AA6"/>
    <w:rsid w:val="00C34A4E"/>
    <w:rsid w:val="00C35153"/>
    <w:rsid w:val="00C37BCC"/>
    <w:rsid w:val="00C40406"/>
    <w:rsid w:val="00C4318B"/>
    <w:rsid w:val="00C43957"/>
    <w:rsid w:val="00C43CE4"/>
    <w:rsid w:val="00C46D05"/>
    <w:rsid w:val="00C52FDD"/>
    <w:rsid w:val="00C53833"/>
    <w:rsid w:val="00C53EFA"/>
    <w:rsid w:val="00C540E3"/>
    <w:rsid w:val="00C55BAA"/>
    <w:rsid w:val="00C56AE7"/>
    <w:rsid w:val="00C60214"/>
    <w:rsid w:val="00C60A6C"/>
    <w:rsid w:val="00C60FAE"/>
    <w:rsid w:val="00C6175D"/>
    <w:rsid w:val="00C61807"/>
    <w:rsid w:val="00C61A34"/>
    <w:rsid w:val="00C61AB8"/>
    <w:rsid w:val="00C62BA6"/>
    <w:rsid w:val="00C62E92"/>
    <w:rsid w:val="00C63028"/>
    <w:rsid w:val="00C63221"/>
    <w:rsid w:val="00C63AC7"/>
    <w:rsid w:val="00C63B6E"/>
    <w:rsid w:val="00C6420F"/>
    <w:rsid w:val="00C6584A"/>
    <w:rsid w:val="00C65EAA"/>
    <w:rsid w:val="00C6773C"/>
    <w:rsid w:val="00C67C68"/>
    <w:rsid w:val="00C72424"/>
    <w:rsid w:val="00C74153"/>
    <w:rsid w:val="00C746E1"/>
    <w:rsid w:val="00C7728F"/>
    <w:rsid w:val="00C80148"/>
    <w:rsid w:val="00C80FC3"/>
    <w:rsid w:val="00C81227"/>
    <w:rsid w:val="00C82F13"/>
    <w:rsid w:val="00C87247"/>
    <w:rsid w:val="00C87D06"/>
    <w:rsid w:val="00C91214"/>
    <w:rsid w:val="00C914C2"/>
    <w:rsid w:val="00C96A15"/>
    <w:rsid w:val="00C96D7C"/>
    <w:rsid w:val="00CA0435"/>
    <w:rsid w:val="00CA2F9D"/>
    <w:rsid w:val="00CA5F1A"/>
    <w:rsid w:val="00CA6739"/>
    <w:rsid w:val="00CC0189"/>
    <w:rsid w:val="00CC1C6D"/>
    <w:rsid w:val="00CC21C4"/>
    <w:rsid w:val="00CC2E0F"/>
    <w:rsid w:val="00CC3ADE"/>
    <w:rsid w:val="00CC61B1"/>
    <w:rsid w:val="00CC7274"/>
    <w:rsid w:val="00CD0F05"/>
    <w:rsid w:val="00CD14F0"/>
    <w:rsid w:val="00CD215E"/>
    <w:rsid w:val="00CD2B29"/>
    <w:rsid w:val="00CD2E5A"/>
    <w:rsid w:val="00CD56F4"/>
    <w:rsid w:val="00CD5B81"/>
    <w:rsid w:val="00CD76D7"/>
    <w:rsid w:val="00CD7F0A"/>
    <w:rsid w:val="00CE058A"/>
    <w:rsid w:val="00CE2780"/>
    <w:rsid w:val="00CE2CCD"/>
    <w:rsid w:val="00CE3026"/>
    <w:rsid w:val="00CE306F"/>
    <w:rsid w:val="00CE3443"/>
    <w:rsid w:val="00CE38CC"/>
    <w:rsid w:val="00CE50BB"/>
    <w:rsid w:val="00CE786F"/>
    <w:rsid w:val="00CE7AFB"/>
    <w:rsid w:val="00CF0E68"/>
    <w:rsid w:val="00CF2DF9"/>
    <w:rsid w:val="00CF3CE2"/>
    <w:rsid w:val="00CF51E8"/>
    <w:rsid w:val="00CF7577"/>
    <w:rsid w:val="00CF79EC"/>
    <w:rsid w:val="00D0011A"/>
    <w:rsid w:val="00D00B36"/>
    <w:rsid w:val="00D00E02"/>
    <w:rsid w:val="00D01D71"/>
    <w:rsid w:val="00D0236B"/>
    <w:rsid w:val="00D028D9"/>
    <w:rsid w:val="00D05A0C"/>
    <w:rsid w:val="00D06E63"/>
    <w:rsid w:val="00D07BB9"/>
    <w:rsid w:val="00D137C1"/>
    <w:rsid w:val="00D14065"/>
    <w:rsid w:val="00D14AB4"/>
    <w:rsid w:val="00D15782"/>
    <w:rsid w:val="00D179DA"/>
    <w:rsid w:val="00D20850"/>
    <w:rsid w:val="00D20D38"/>
    <w:rsid w:val="00D2186F"/>
    <w:rsid w:val="00D24AF5"/>
    <w:rsid w:val="00D32D73"/>
    <w:rsid w:val="00D336DE"/>
    <w:rsid w:val="00D33AC4"/>
    <w:rsid w:val="00D344ED"/>
    <w:rsid w:val="00D35A1A"/>
    <w:rsid w:val="00D416EC"/>
    <w:rsid w:val="00D419F8"/>
    <w:rsid w:val="00D43480"/>
    <w:rsid w:val="00D46947"/>
    <w:rsid w:val="00D46BDE"/>
    <w:rsid w:val="00D47EFA"/>
    <w:rsid w:val="00D50377"/>
    <w:rsid w:val="00D536FE"/>
    <w:rsid w:val="00D54AEC"/>
    <w:rsid w:val="00D56739"/>
    <w:rsid w:val="00D571D9"/>
    <w:rsid w:val="00D576BA"/>
    <w:rsid w:val="00D6502B"/>
    <w:rsid w:val="00D67600"/>
    <w:rsid w:val="00D67826"/>
    <w:rsid w:val="00D6784C"/>
    <w:rsid w:val="00D6791A"/>
    <w:rsid w:val="00D703A5"/>
    <w:rsid w:val="00D704B3"/>
    <w:rsid w:val="00D7054D"/>
    <w:rsid w:val="00D7185F"/>
    <w:rsid w:val="00D718CF"/>
    <w:rsid w:val="00D71B54"/>
    <w:rsid w:val="00D72FCD"/>
    <w:rsid w:val="00D744D0"/>
    <w:rsid w:val="00D74998"/>
    <w:rsid w:val="00D75896"/>
    <w:rsid w:val="00D801B2"/>
    <w:rsid w:val="00D83CD8"/>
    <w:rsid w:val="00D851FF"/>
    <w:rsid w:val="00D87F3C"/>
    <w:rsid w:val="00D93A6E"/>
    <w:rsid w:val="00D953D4"/>
    <w:rsid w:val="00D9748F"/>
    <w:rsid w:val="00DA11D9"/>
    <w:rsid w:val="00DA699D"/>
    <w:rsid w:val="00DB019E"/>
    <w:rsid w:val="00DB0D91"/>
    <w:rsid w:val="00DB32B4"/>
    <w:rsid w:val="00DB3353"/>
    <w:rsid w:val="00DB3B17"/>
    <w:rsid w:val="00DB4BD3"/>
    <w:rsid w:val="00DB5CBB"/>
    <w:rsid w:val="00DB655D"/>
    <w:rsid w:val="00DB684F"/>
    <w:rsid w:val="00DB76F0"/>
    <w:rsid w:val="00DB7F77"/>
    <w:rsid w:val="00DC005F"/>
    <w:rsid w:val="00DC1413"/>
    <w:rsid w:val="00DC30D2"/>
    <w:rsid w:val="00DC3D79"/>
    <w:rsid w:val="00DC4047"/>
    <w:rsid w:val="00DC59EA"/>
    <w:rsid w:val="00DC631A"/>
    <w:rsid w:val="00DC663F"/>
    <w:rsid w:val="00DC6C94"/>
    <w:rsid w:val="00DD0B92"/>
    <w:rsid w:val="00DD0DC2"/>
    <w:rsid w:val="00DD1B15"/>
    <w:rsid w:val="00DD2686"/>
    <w:rsid w:val="00DD4A06"/>
    <w:rsid w:val="00DD528A"/>
    <w:rsid w:val="00DD6167"/>
    <w:rsid w:val="00DD66FB"/>
    <w:rsid w:val="00DE0FC2"/>
    <w:rsid w:val="00DE223B"/>
    <w:rsid w:val="00DE2AE8"/>
    <w:rsid w:val="00DE5C54"/>
    <w:rsid w:val="00DE6DBA"/>
    <w:rsid w:val="00DE7E91"/>
    <w:rsid w:val="00DF14E1"/>
    <w:rsid w:val="00DF5145"/>
    <w:rsid w:val="00DF5748"/>
    <w:rsid w:val="00DF664F"/>
    <w:rsid w:val="00DF7BE1"/>
    <w:rsid w:val="00DF7E0E"/>
    <w:rsid w:val="00E00C55"/>
    <w:rsid w:val="00E076EB"/>
    <w:rsid w:val="00E0785C"/>
    <w:rsid w:val="00E10758"/>
    <w:rsid w:val="00E10F35"/>
    <w:rsid w:val="00E11FA4"/>
    <w:rsid w:val="00E1357E"/>
    <w:rsid w:val="00E2084A"/>
    <w:rsid w:val="00E20EDF"/>
    <w:rsid w:val="00E218FC"/>
    <w:rsid w:val="00E225D5"/>
    <w:rsid w:val="00E22715"/>
    <w:rsid w:val="00E239BD"/>
    <w:rsid w:val="00E33EA7"/>
    <w:rsid w:val="00E33F4F"/>
    <w:rsid w:val="00E350A7"/>
    <w:rsid w:val="00E359ED"/>
    <w:rsid w:val="00E407AE"/>
    <w:rsid w:val="00E41310"/>
    <w:rsid w:val="00E41DA3"/>
    <w:rsid w:val="00E4680A"/>
    <w:rsid w:val="00E46B36"/>
    <w:rsid w:val="00E46C45"/>
    <w:rsid w:val="00E5069C"/>
    <w:rsid w:val="00E50717"/>
    <w:rsid w:val="00E51D18"/>
    <w:rsid w:val="00E54B63"/>
    <w:rsid w:val="00E55F42"/>
    <w:rsid w:val="00E572A1"/>
    <w:rsid w:val="00E61602"/>
    <w:rsid w:val="00E6239C"/>
    <w:rsid w:val="00E63E95"/>
    <w:rsid w:val="00E65A06"/>
    <w:rsid w:val="00E65B42"/>
    <w:rsid w:val="00E6712A"/>
    <w:rsid w:val="00E70F9D"/>
    <w:rsid w:val="00E712CE"/>
    <w:rsid w:val="00E72D53"/>
    <w:rsid w:val="00E73455"/>
    <w:rsid w:val="00E754BF"/>
    <w:rsid w:val="00E768EE"/>
    <w:rsid w:val="00E77540"/>
    <w:rsid w:val="00E81453"/>
    <w:rsid w:val="00E82B17"/>
    <w:rsid w:val="00E848E9"/>
    <w:rsid w:val="00E84D10"/>
    <w:rsid w:val="00E8579F"/>
    <w:rsid w:val="00E85F35"/>
    <w:rsid w:val="00E907D8"/>
    <w:rsid w:val="00E90A83"/>
    <w:rsid w:val="00E913FC"/>
    <w:rsid w:val="00E94207"/>
    <w:rsid w:val="00E94513"/>
    <w:rsid w:val="00E9691B"/>
    <w:rsid w:val="00EA162A"/>
    <w:rsid w:val="00EA3B61"/>
    <w:rsid w:val="00EA474D"/>
    <w:rsid w:val="00EA4B6D"/>
    <w:rsid w:val="00EA6AE2"/>
    <w:rsid w:val="00EB46C6"/>
    <w:rsid w:val="00EB4A97"/>
    <w:rsid w:val="00EB5253"/>
    <w:rsid w:val="00EB70F9"/>
    <w:rsid w:val="00EB7640"/>
    <w:rsid w:val="00EB7C71"/>
    <w:rsid w:val="00EC04E1"/>
    <w:rsid w:val="00EC0E9D"/>
    <w:rsid w:val="00EC1046"/>
    <w:rsid w:val="00EC3205"/>
    <w:rsid w:val="00EC336B"/>
    <w:rsid w:val="00EC39F6"/>
    <w:rsid w:val="00EC559D"/>
    <w:rsid w:val="00ED086B"/>
    <w:rsid w:val="00ED29D6"/>
    <w:rsid w:val="00ED31ED"/>
    <w:rsid w:val="00ED3844"/>
    <w:rsid w:val="00ED3B94"/>
    <w:rsid w:val="00ED431D"/>
    <w:rsid w:val="00EE0168"/>
    <w:rsid w:val="00EE08F8"/>
    <w:rsid w:val="00EE11AB"/>
    <w:rsid w:val="00EE1B87"/>
    <w:rsid w:val="00EE1D00"/>
    <w:rsid w:val="00EE52C7"/>
    <w:rsid w:val="00EF0B4B"/>
    <w:rsid w:val="00EF3153"/>
    <w:rsid w:val="00EF40C2"/>
    <w:rsid w:val="00F01D7A"/>
    <w:rsid w:val="00F02830"/>
    <w:rsid w:val="00F0496E"/>
    <w:rsid w:val="00F04D1C"/>
    <w:rsid w:val="00F05548"/>
    <w:rsid w:val="00F05AFC"/>
    <w:rsid w:val="00F160A5"/>
    <w:rsid w:val="00F17742"/>
    <w:rsid w:val="00F2023F"/>
    <w:rsid w:val="00F214C3"/>
    <w:rsid w:val="00F22E89"/>
    <w:rsid w:val="00F30C99"/>
    <w:rsid w:val="00F31795"/>
    <w:rsid w:val="00F32510"/>
    <w:rsid w:val="00F32B50"/>
    <w:rsid w:val="00F33804"/>
    <w:rsid w:val="00F34DDB"/>
    <w:rsid w:val="00F37D0F"/>
    <w:rsid w:val="00F41631"/>
    <w:rsid w:val="00F417F6"/>
    <w:rsid w:val="00F419F7"/>
    <w:rsid w:val="00F42B24"/>
    <w:rsid w:val="00F4392D"/>
    <w:rsid w:val="00F50482"/>
    <w:rsid w:val="00F51892"/>
    <w:rsid w:val="00F542C5"/>
    <w:rsid w:val="00F56079"/>
    <w:rsid w:val="00F57A40"/>
    <w:rsid w:val="00F602B0"/>
    <w:rsid w:val="00F6059B"/>
    <w:rsid w:val="00F6061D"/>
    <w:rsid w:val="00F614CB"/>
    <w:rsid w:val="00F61A25"/>
    <w:rsid w:val="00F61CA7"/>
    <w:rsid w:val="00F63218"/>
    <w:rsid w:val="00F643CB"/>
    <w:rsid w:val="00F66244"/>
    <w:rsid w:val="00F6679A"/>
    <w:rsid w:val="00F67CD2"/>
    <w:rsid w:val="00F72806"/>
    <w:rsid w:val="00F72E4B"/>
    <w:rsid w:val="00F772D9"/>
    <w:rsid w:val="00F824CD"/>
    <w:rsid w:val="00F84FAB"/>
    <w:rsid w:val="00F8B323"/>
    <w:rsid w:val="00F944DE"/>
    <w:rsid w:val="00F953C1"/>
    <w:rsid w:val="00FA0AEB"/>
    <w:rsid w:val="00FA25EF"/>
    <w:rsid w:val="00FA2D5D"/>
    <w:rsid w:val="00FA2D6A"/>
    <w:rsid w:val="00FA38A2"/>
    <w:rsid w:val="00FA4727"/>
    <w:rsid w:val="00FA62DE"/>
    <w:rsid w:val="00FA7107"/>
    <w:rsid w:val="00FB089C"/>
    <w:rsid w:val="00FB2109"/>
    <w:rsid w:val="00FB242E"/>
    <w:rsid w:val="00FB4167"/>
    <w:rsid w:val="00FB4565"/>
    <w:rsid w:val="00FB60D8"/>
    <w:rsid w:val="00FB6202"/>
    <w:rsid w:val="00FC0837"/>
    <w:rsid w:val="00FC32E0"/>
    <w:rsid w:val="00FC4623"/>
    <w:rsid w:val="00FC4762"/>
    <w:rsid w:val="00FC495B"/>
    <w:rsid w:val="00FC62DA"/>
    <w:rsid w:val="00FC6945"/>
    <w:rsid w:val="00FC7262"/>
    <w:rsid w:val="00FC7A69"/>
    <w:rsid w:val="00FD0332"/>
    <w:rsid w:val="00FD10DB"/>
    <w:rsid w:val="00FD5770"/>
    <w:rsid w:val="00FD7A55"/>
    <w:rsid w:val="00FE0561"/>
    <w:rsid w:val="00FE0D97"/>
    <w:rsid w:val="00FE0FE0"/>
    <w:rsid w:val="00FE1197"/>
    <w:rsid w:val="00FE3261"/>
    <w:rsid w:val="00FE7036"/>
    <w:rsid w:val="00FF03FA"/>
    <w:rsid w:val="00FF2855"/>
    <w:rsid w:val="00FF30CB"/>
    <w:rsid w:val="00FF50EB"/>
    <w:rsid w:val="00FF54B8"/>
    <w:rsid w:val="00FF5B69"/>
    <w:rsid w:val="00FF5D72"/>
    <w:rsid w:val="00FF6DE0"/>
    <w:rsid w:val="00FF7B85"/>
    <w:rsid w:val="0178319E"/>
    <w:rsid w:val="01A29D4E"/>
    <w:rsid w:val="01E04CBB"/>
    <w:rsid w:val="03E22829"/>
    <w:rsid w:val="0503449B"/>
    <w:rsid w:val="074D7463"/>
    <w:rsid w:val="085A66AE"/>
    <w:rsid w:val="08D69A2D"/>
    <w:rsid w:val="09302B12"/>
    <w:rsid w:val="0A339545"/>
    <w:rsid w:val="0B99C12A"/>
    <w:rsid w:val="0C3DD9FF"/>
    <w:rsid w:val="0D1C7FA0"/>
    <w:rsid w:val="0F98AEFB"/>
    <w:rsid w:val="10D95568"/>
    <w:rsid w:val="12526D9D"/>
    <w:rsid w:val="13C8E7E7"/>
    <w:rsid w:val="14CED1F6"/>
    <w:rsid w:val="16BD7A1E"/>
    <w:rsid w:val="17ABFBCB"/>
    <w:rsid w:val="194401D1"/>
    <w:rsid w:val="1B3E01E5"/>
    <w:rsid w:val="1D144F70"/>
    <w:rsid w:val="1D4040CD"/>
    <w:rsid w:val="1F39E8FC"/>
    <w:rsid w:val="1F888454"/>
    <w:rsid w:val="200AF62B"/>
    <w:rsid w:val="2202A0FA"/>
    <w:rsid w:val="23475EF7"/>
    <w:rsid w:val="2405D23B"/>
    <w:rsid w:val="24B2830A"/>
    <w:rsid w:val="26E31352"/>
    <w:rsid w:val="2880BCDF"/>
    <w:rsid w:val="299662C5"/>
    <w:rsid w:val="29A17528"/>
    <w:rsid w:val="2AA952CA"/>
    <w:rsid w:val="2BE2310B"/>
    <w:rsid w:val="307E531B"/>
    <w:rsid w:val="31168A0D"/>
    <w:rsid w:val="32040657"/>
    <w:rsid w:val="3233A7B3"/>
    <w:rsid w:val="333511A9"/>
    <w:rsid w:val="344087FA"/>
    <w:rsid w:val="349202CB"/>
    <w:rsid w:val="35115727"/>
    <w:rsid w:val="371AFDEE"/>
    <w:rsid w:val="39511CE1"/>
    <w:rsid w:val="3B584CF2"/>
    <w:rsid w:val="3D750DA8"/>
    <w:rsid w:val="3F99ECA8"/>
    <w:rsid w:val="40DA2541"/>
    <w:rsid w:val="41FFC41A"/>
    <w:rsid w:val="4262A4A6"/>
    <w:rsid w:val="428BFF03"/>
    <w:rsid w:val="43CDA9F8"/>
    <w:rsid w:val="44A84CFA"/>
    <w:rsid w:val="48049911"/>
    <w:rsid w:val="4D6C299A"/>
    <w:rsid w:val="4EB4E1FC"/>
    <w:rsid w:val="506B47BA"/>
    <w:rsid w:val="50C3383A"/>
    <w:rsid w:val="50F19CA8"/>
    <w:rsid w:val="5110D6D8"/>
    <w:rsid w:val="51ECB560"/>
    <w:rsid w:val="52AB1058"/>
    <w:rsid w:val="52CC21B5"/>
    <w:rsid w:val="53700B7B"/>
    <w:rsid w:val="574B0EC0"/>
    <w:rsid w:val="5A6F93D1"/>
    <w:rsid w:val="5A915DC9"/>
    <w:rsid w:val="5AA2C84B"/>
    <w:rsid w:val="5B72FE04"/>
    <w:rsid w:val="5B93ECF7"/>
    <w:rsid w:val="5C8E61A4"/>
    <w:rsid w:val="5CD929E9"/>
    <w:rsid w:val="5D61A62C"/>
    <w:rsid w:val="5E0B482C"/>
    <w:rsid w:val="5F6730DF"/>
    <w:rsid w:val="611F7115"/>
    <w:rsid w:val="6311EE48"/>
    <w:rsid w:val="648BC827"/>
    <w:rsid w:val="64ADE026"/>
    <w:rsid w:val="653E04FC"/>
    <w:rsid w:val="654E9881"/>
    <w:rsid w:val="65DE150A"/>
    <w:rsid w:val="6A836A90"/>
    <w:rsid w:val="6BD9C057"/>
    <w:rsid w:val="6FE2847D"/>
    <w:rsid w:val="70AEC330"/>
    <w:rsid w:val="70B46C99"/>
    <w:rsid w:val="71233BE6"/>
    <w:rsid w:val="729A9D8E"/>
    <w:rsid w:val="76C22182"/>
    <w:rsid w:val="7F2A9B4A"/>
    <w:rsid w:val="7F945BA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B4DA"/>
  <w15:chartTrackingRefBased/>
  <w15:docId w15:val="{AD4F5C1E-C757-45F8-972B-F445FF61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10"/>
    <w:pPr>
      <w:spacing w:after="0" w:line="270" w:lineRule="exact"/>
    </w:pPr>
    <w:rPr>
      <w:rFonts w:ascii="FlandersArtSans-Regular" w:eastAsia="Times" w:hAnsi="FlandersArtSans-Regular" w:cs="Times New Roman"/>
      <w:szCs w:val="20"/>
      <w:lang w:eastAsia="nl-BE"/>
    </w:rPr>
  </w:style>
  <w:style w:type="paragraph" w:styleId="Heading1">
    <w:name w:val="heading 1"/>
    <w:basedOn w:val="Normal"/>
    <w:next w:val="Normal"/>
    <w:link w:val="Heading1Char"/>
    <w:uiPriority w:val="9"/>
    <w:qFormat/>
    <w:rsid w:val="00E41310"/>
    <w:pPr>
      <w:keepNext/>
      <w:keepLines/>
      <w:numPr>
        <w:numId w:val="1"/>
      </w:numPr>
      <w:spacing w:before="480"/>
      <w:contextualSpacing/>
      <w:outlineLvl w:val="0"/>
    </w:pPr>
    <w:rPr>
      <w:rFonts w:ascii="FlandersArtSans-Bold" w:eastAsiaTheme="majorEastAsia" w:hAnsi="FlandersArtSans-Bold" w:cstheme="majorBidi"/>
      <w:bCs/>
      <w:caps/>
      <w:color w:val="3C3D3C"/>
      <w:sz w:val="36"/>
      <w:szCs w:val="28"/>
      <w:lang w:eastAsia="en-US"/>
    </w:rPr>
  </w:style>
  <w:style w:type="paragraph" w:styleId="Heading2">
    <w:name w:val="heading 2"/>
    <w:basedOn w:val="Normal"/>
    <w:next w:val="Normal"/>
    <w:link w:val="Heading2Char"/>
    <w:uiPriority w:val="9"/>
    <w:unhideWhenUsed/>
    <w:qFormat/>
    <w:rsid w:val="00E41310"/>
    <w:pPr>
      <w:keepNext/>
      <w:keepLines/>
      <w:numPr>
        <w:ilvl w:val="1"/>
        <w:numId w:val="1"/>
      </w:numPr>
      <w:spacing w:before="200"/>
      <w:contextualSpacing/>
      <w:outlineLvl w:val="1"/>
    </w:pPr>
    <w:rPr>
      <w:rFonts w:eastAsiaTheme="majorEastAsia" w:cstheme="majorBidi"/>
      <w:bCs/>
      <w:color w:val="000000" w:themeColor="text1"/>
      <w:sz w:val="32"/>
      <w:szCs w:val="26"/>
      <w:u w:val="dotted"/>
      <w:lang w:eastAsia="en-US"/>
    </w:rPr>
  </w:style>
  <w:style w:type="paragraph" w:styleId="Heading3">
    <w:name w:val="heading 3"/>
    <w:basedOn w:val="Normal"/>
    <w:next w:val="Normal"/>
    <w:link w:val="Heading3Char"/>
    <w:uiPriority w:val="9"/>
    <w:unhideWhenUsed/>
    <w:qFormat/>
    <w:rsid w:val="00E41310"/>
    <w:pPr>
      <w:keepNext/>
      <w:keepLines/>
      <w:numPr>
        <w:ilvl w:val="2"/>
        <w:numId w:val="1"/>
      </w:numPr>
      <w:spacing w:before="200"/>
      <w:contextualSpacing/>
      <w:outlineLvl w:val="2"/>
    </w:pPr>
    <w:rPr>
      <w:rFonts w:ascii="FlandersArtSerif-Bold" w:eastAsiaTheme="majorEastAsia" w:hAnsi="FlandersArtSerif-Bold" w:cstheme="majorBidi"/>
      <w:bCs/>
      <w:color w:val="9B9DA0"/>
      <w:sz w:val="24"/>
      <w:lang w:eastAsia="en-US"/>
    </w:rPr>
  </w:style>
  <w:style w:type="paragraph" w:styleId="Heading4">
    <w:name w:val="heading 4"/>
    <w:basedOn w:val="Normal"/>
    <w:next w:val="Normal"/>
    <w:link w:val="Heading4Char"/>
    <w:uiPriority w:val="9"/>
    <w:unhideWhenUsed/>
    <w:qFormat/>
    <w:rsid w:val="00E41310"/>
    <w:pPr>
      <w:keepNext/>
      <w:keepLines/>
      <w:numPr>
        <w:ilvl w:val="3"/>
        <w:numId w:val="1"/>
      </w:numPr>
      <w:spacing w:before="200"/>
      <w:contextualSpacing/>
      <w:outlineLvl w:val="3"/>
    </w:pPr>
    <w:rPr>
      <w:rFonts w:ascii="FlandersArtSerif-Bold" w:eastAsiaTheme="majorEastAsia" w:hAnsi="FlandersArtSerif-Bold" w:cstheme="majorBidi"/>
      <w:bCs/>
      <w:iCs/>
      <w:color w:val="000000" w:themeColor="text1"/>
      <w:u w:val="single"/>
      <w:lang w:eastAsia="en-US"/>
    </w:rPr>
  </w:style>
  <w:style w:type="paragraph" w:styleId="Heading5">
    <w:name w:val="heading 5"/>
    <w:basedOn w:val="Normal"/>
    <w:next w:val="Normal"/>
    <w:link w:val="Heading5Char"/>
    <w:uiPriority w:val="9"/>
    <w:unhideWhenUsed/>
    <w:qFormat/>
    <w:rsid w:val="00E41310"/>
    <w:pPr>
      <w:keepNext/>
      <w:keepLines/>
      <w:numPr>
        <w:ilvl w:val="4"/>
        <w:numId w:val="1"/>
      </w:numPr>
      <w:spacing w:before="200"/>
      <w:contextualSpacing/>
      <w:outlineLvl w:val="4"/>
    </w:pPr>
    <w:rPr>
      <w:rFonts w:eastAsiaTheme="majorEastAsia" w:cstheme="majorBidi"/>
      <w:color w:val="171717" w:themeColor="background2" w:themeShade="1A"/>
      <w:lang w:eastAsia="en-US"/>
    </w:rPr>
  </w:style>
  <w:style w:type="paragraph" w:styleId="Heading6">
    <w:name w:val="heading 6"/>
    <w:basedOn w:val="Normal"/>
    <w:next w:val="Normal"/>
    <w:link w:val="Heading6Char"/>
    <w:uiPriority w:val="9"/>
    <w:unhideWhenUsed/>
    <w:qFormat/>
    <w:rsid w:val="00E41310"/>
    <w:pPr>
      <w:keepNext/>
      <w:keepLines/>
      <w:numPr>
        <w:ilvl w:val="5"/>
        <w:numId w:val="1"/>
      </w:numPr>
      <w:spacing w:before="200"/>
      <w:contextualSpacing/>
      <w:outlineLvl w:val="5"/>
    </w:pPr>
    <w:rPr>
      <w:rFonts w:ascii="FlandersArtSerif-Regular" w:eastAsiaTheme="majorEastAsia" w:hAnsi="FlandersArtSerif-Regular" w:cstheme="majorBidi"/>
      <w:iCs/>
      <w:color w:val="171717" w:themeColor="background2" w:themeShade="1A"/>
      <w:lang w:eastAsia="en-US"/>
    </w:rPr>
  </w:style>
  <w:style w:type="paragraph" w:styleId="Heading7">
    <w:name w:val="heading 7"/>
    <w:basedOn w:val="Normal"/>
    <w:next w:val="Normal"/>
    <w:link w:val="Heading7Char"/>
    <w:uiPriority w:val="9"/>
    <w:unhideWhenUsed/>
    <w:qFormat/>
    <w:rsid w:val="00E41310"/>
    <w:pPr>
      <w:keepNext/>
      <w:keepLines/>
      <w:numPr>
        <w:ilvl w:val="6"/>
        <w:numId w:val="1"/>
      </w:numPr>
      <w:spacing w:before="200"/>
      <w:contextualSpacing/>
      <w:outlineLvl w:val="6"/>
    </w:pPr>
    <w:rPr>
      <w:rFonts w:ascii="FlandersArtSerif-Medium" w:eastAsiaTheme="majorEastAsia" w:hAnsi="FlandersArtSerif-Medium" w:cstheme="majorBidi"/>
      <w:iCs/>
      <w:color w:val="9B9DA0"/>
      <w:lang w:eastAsia="en-US"/>
    </w:rPr>
  </w:style>
  <w:style w:type="paragraph" w:styleId="Heading8">
    <w:name w:val="heading 8"/>
    <w:basedOn w:val="Normal"/>
    <w:next w:val="Normal"/>
    <w:link w:val="Heading8Char"/>
    <w:uiPriority w:val="9"/>
    <w:unhideWhenUsed/>
    <w:qFormat/>
    <w:rsid w:val="00E41310"/>
    <w:pPr>
      <w:keepNext/>
      <w:keepLines/>
      <w:numPr>
        <w:ilvl w:val="7"/>
        <w:numId w:val="1"/>
      </w:numPr>
      <w:spacing w:before="200"/>
      <w:contextualSpacing/>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
    <w:unhideWhenUsed/>
    <w:qFormat/>
    <w:rsid w:val="00E41310"/>
    <w:pPr>
      <w:keepNext/>
      <w:keepLines/>
      <w:numPr>
        <w:ilvl w:val="8"/>
        <w:numId w:val="1"/>
      </w:numPr>
      <w:spacing w:before="200"/>
      <w:contextualSpacing/>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10"/>
    <w:rPr>
      <w:rFonts w:ascii="FlandersArtSans-Bold" w:eastAsiaTheme="majorEastAsia" w:hAnsi="FlandersArtSans-Bold" w:cstheme="majorBidi"/>
      <w:bCs/>
      <w:caps/>
      <w:color w:val="3C3D3C"/>
      <w:sz w:val="36"/>
      <w:szCs w:val="28"/>
    </w:rPr>
  </w:style>
  <w:style w:type="character" w:customStyle="1" w:styleId="Heading2Char">
    <w:name w:val="Heading 2 Char"/>
    <w:basedOn w:val="DefaultParagraphFont"/>
    <w:link w:val="Heading2"/>
    <w:uiPriority w:val="9"/>
    <w:rsid w:val="00E41310"/>
    <w:rPr>
      <w:rFonts w:ascii="FlandersArtSans-Regular" w:eastAsiaTheme="majorEastAsia" w:hAnsi="FlandersArtSans-Regular" w:cstheme="majorBidi"/>
      <w:bCs/>
      <w:color w:val="000000" w:themeColor="text1"/>
      <w:sz w:val="32"/>
      <w:szCs w:val="26"/>
      <w:u w:val="dotted"/>
    </w:rPr>
  </w:style>
  <w:style w:type="character" w:customStyle="1" w:styleId="Heading3Char">
    <w:name w:val="Heading 3 Char"/>
    <w:basedOn w:val="DefaultParagraphFont"/>
    <w:link w:val="Heading3"/>
    <w:uiPriority w:val="9"/>
    <w:rsid w:val="00E41310"/>
    <w:rPr>
      <w:rFonts w:ascii="FlandersArtSerif-Bold" w:eastAsiaTheme="majorEastAsia" w:hAnsi="FlandersArtSerif-Bold" w:cstheme="majorBidi"/>
      <w:bCs/>
      <w:color w:val="9B9DA0"/>
      <w:sz w:val="24"/>
      <w:szCs w:val="20"/>
    </w:rPr>
  </w:style>
  <w:style w:type="character" w:customStyle="1" w:styleId="Heading4Char">
    <w:name w:val="Heading 4 Char"/>
    <w:basedOn w:val="DefaultParagraphFont"/>
    <w:link w:val="Heading4"/>
    <w:uiPriority w:val="9"/>
    <w:rsid w:val="00E41310"/>
    <w:rPr>
      <w:rFonts w:ascii="FlandersArtSerif-Bold" w:eastAsiaTheme="majorEastAsia" w:hAnsi="FlandersArtSerif-Bold" w:cstheme="majorBidi"/>
      <w:bCs/>
      <w:iCs/>
      <w:color w:val="000000" w:themeColor="text1"/>
      <w:szCs w:val="20"/>
      <w:u w:val="single"/>
    </w:rPr>
  </w:style>
  <w:style w:type="character" w:customStyle="1" w:styleId="Heading5Char">
    <w:name w:val="Heading 5 Char"/>
    <w:basedOn w:val="DefaultParagraphFont"/>
    <w:link w:val="Heading5"/>
    <w:uiPriority w:val="9"/>
    <w:rsid w:val="00E41310"/>
    <w:rPr>
      <w:rFonts w:ascii="FlandersArtSans-Regular" w:eastAsiaTheme="majorEastAsia" w:hAnsi="FlandersArtSans-Regular" w:cstheme="majorBidi"/>
      <w:color w:val="171717" w:themeColor="background2" w:themeShade="1A"/>
      <w:szCs w:val="20"/>
    </w:rPr>
  </w:style>
  <w:style w:type="character" w:customStyle="1" w:styleId="Heading6Char">
    <w:name w:val="Heading 6 Char"/>
    <w:basedOn w:val="DefaultParagraphFont"/>
    <w:link w:val="Heading6"/>
    <w:uiPriority w:val="9"/>
    <w:rsid w:val="00E41310"/>
    <w:rPr>
      <w:rFonts w:ascii="FlandersArtSerif-Regular" w:eastAsiaTheme="majorEastAsia" w:hAnsi="FlandersArtSerif-Regular" w:cstheme="majorBidi"/>
      <w:iCs/>
      <w:color w:val="171717" w:themeColor="background2" w:themeShade="1A"/>
      <w:szCs w:val="20"/>
    </w:rPr>
  </w:style>
  <w:style w:type="character" w:customStyle="1" w:styleId="Heading7Char">
    <w:name w:val="Heading 7 Char"/>
    <w:basedOn w:val="DefaultParagraphFont"/>
    <w:link w:val="Heading7"/>
    <w:uiPriority w:val="9"/>
    <w:rsid w:val="00E41310"/>
    <w:rPr>
      <w:rFonts w:ascii="FlandersArtSerif-Medium" w:eastAsiaTheme="majorEastAsia" w:hAnsi="FlandersArtSerif-Medium" w:cstheme="majorBidi"/>
      <w:iCs/>
      <w:color w:val="9B9DA0"/>
      <w:szCs w:val="20"/>
    </w:rPr>
  </w:style>
  <w:style w:type="character" w:customStyle="1" w:styleId="Heading8Char">
    <w:name w:val="Heading 8 Char"/>
    <w:basedOn w:val="DefaultParagraphFont"/>
    <w:link w:val="Heading8"/>
    <w:uiPriority w:val="9"/>
    <w:rsid w:val="00E4131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4131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41310"/>
    <w:pPr>
      <w:tabs>
        <w:tab w:val="center" w:pos="4536"/>
        <w:tab w:val="right" w:pos="9072"/>
      </w:tabs>
      <w:spacing w:line="240" w:lineRule="auto"/>
    </w:pPr>
  </w:style>
  <w:style w:type="character" w:customStyle="1" w:styleId="HeaderChar">
    <w:name w:val="Header Char"/>
    <w:basedOn w:val="DefaultParagraphFont"/>
    <w:link w:val="Header"/>
    <w:uiPriority w:val="99"/>
    <w:rsid w:val="00E41310"/>
    <w:rPr>
      <w:rFonts w:ascii="FlandersArtSans-Regular" w:eastAsia="Times" w:hAnsi="FlandersArtSans-Regular" w:cs="Times New Roman"/>
      <w:szCs w:val="20"/>
      <w:lang w:val="pl-PL" w:eastAsia="nl-BE"/>
    </w:rPr>
  </w:style>
  <w:style w:type="paragraph" w:styleId="Footer">
    <w:name w:val="footer"/>
    <w:basedOn w:val="Normal"/>
    <w:link w:val="FooterChar"/>
    <w:uiPriority w:val="99"/>
    <w:unhideWhenUsed/>
    <w:rsid w:val="00E41310"/>
    <w:pPr>
      <w:tabs>
        <w:tab w:val="center" w:pos="4536"/>
        <w:tab w:val="right" w:pos="9072"/>
      </w:tabs>
      <w:spacing w:line="240" w:lineRule="auto"/>
    </w:pPr>
  </w:style>
  <w:style w:type="character" w:customStyle="1" w:styleId="FooterChar">
    <w:name w:val="Footer Char"/>
    <w:basedOn w:val="DefaultParagraphFont"/>
    <w:link w:val="Footer"/>
    <w:uiPriority w:val="99"/>
    <w:rsid w:val="00E41310"/>
    <w:rPr>
      <w:rFonts w:ascii="FlandersArtSans-Regular" w:eastAsia="Times" w:hAnsi="FlandersArtSans-Regular" w:cs="Times New Roman"/>
      <w:szCs w:val="20"/>
      <w:lang w:val="pl-PL" w:eastAsia="nl-BE"/>
    </w:rPr>
  </w:style>
  <w:style w:type="paragraph" w:styleId="BalloonText">
    <w:name w:val="Balloon Text"/>
    <w:basedOn w:val="Normal"/>
    <w:link w:val="BalloonTextChar"/>
    <w:uiPriority w:val="99"/>
    <w:semiHidden/>
    <w:unhideWhenUsed/>
    <w:rsid w:val="00A275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502"/>
    <w:rPr>
      <w:rFonts w:ascii="Segoe UI" w:eastAsia="Times" w:hAnsi="Segoe UI" w:cs="Segoe UI"/>
      <w:sz w:val="18"/>
      <w:szCs w:val="18"/>
      <w:lang w:val="pl-PL" w:eastAsia="nl-BE"/>
    </w:rPr>
  </w:style>
  <w:style w:type="character" w:styleId="CommentReference">
    <w:name w:val="annotation reference"/>
    <w:basedOn w:val="DefaultParagraphFont"/>
    <w:uiPriority w:val="99"/>
    <w:semiHidden/>
    <w:unhideWhenUsed/>
    <w:rsid w:val="00E73455"/>
    <w:rPr>
      <w:sz w:val="16"/>
      <w:szCs w:val="16"/>
    </w:rPr>
  </w:style>
  <w:style w:type="paragraph" w:styleId="CommentText">
    <w:name w:val="annotation text"/>
    <w:basedOn w:val="Normal"/>
    <w:link w:val="CommentTextChar"/>
    <w:uiPriority w:val="99"/>
    <w:unhideWhenUsed/>
    <w:rsid w:val="00E73455"/>
    <w:pPr>
      <w:spacing w:line="240" w:lineRule="auto"/>
    </w:pPr>
    <w:rPr>
      <w:sz w:val="20"/>
    </w:rPr>
  </w:style>
  <w:style w:type="character" w:customStyle="1" w:styleId="CommentTextChar">
    <w:name w:val="Comment Text Char"/>
    <w:basedOn w:val="DefaultParagraphFont"/>
    <w:link w:val="CommentText"/>
    <w:uiPriority w:val="99"/>
    <w:rsid w:val="00E73455"/>
    <w:rPr>
      <w:rFonts w:ascii="FlandersArtSans-Regular" w:eastAsia="Times" w:hAnsi="FlandersArtSans-Regular" w:cs="Times New Roman"/>
      <w:sz w:val="20"/>
      <w:szCs w:val="20"/>
      <w:lang w:val="pl-PL" w:eastAsia="nl-BE"/>
    </w:rPr>
  </w:style>
  <w:style w:type="paragraph" w:styleId="CommentSubject">
    <w:name w:val="annotation subject"/>
    <w:basedOn w:val="CommentText"/>
    <w:next w:val="CommentText"/>
    <w:link w:val="CommentSubjectChar"/>
    <w:uiPriority w:val="99"/>
    <w:semiHidden/>
    <w:unhideWhenUsed/>
    <w:rsid w:val="00E73455"/>
    <w:rPr>
      <w:b/>
      <w:bCs/>
    </w:rPr>
  </w:style>
  <w:style w:type="character" w:customStyle="1" w:styleId="CommentSubjectChar">
    <w:name w:val="Comment Subject Char"/>
    <w:basedOn w:val="CommentTextChar"/>
    <w:link w:val="CommentSubject"/>
    <w:uiPriority w:val="99"/>
    <w:semiHidden/>
    <w:rsid w:val="00E73455"/>
    <w:rPr>
      <w:rFonts w:ascii="FlandersArtSans-Regular" w:eastAsia="Times" w:hAnsi="FlandersArtSans-Regular" w:cs="Times New Roman"/>
      <w:b/>
      <w:bCs/>
      <w:sz w:val="20"/>
      <w:szCs w:val="20"/>
      <w:lang w:val="pl-PL" w:eastAsia="nl-BE"/>
    </w:rPr>
  </w:style>
  <w:style w:type="character" w:customStyle="1" w:styleId="artikel">
    <w:name w:val="artikel"/>
    <w:basedOn w:val="DefaultParagraphFont"/>
    <w:rsid w:val="00BC47D6"/>
  </w:style>
  <w:style w:type="character" w:customStyle="1" w:styleId="normaltextrun">
    <w:name w:val="normaltextrun"/>
    <w:basedOn w:val="DefaultParagraphFont"/>
    <w:rsid w:val="00442C98"/>
  </w:style>
  <w:style w:type="character" w:styleId="UnresolvedMention">
    <w:name w:val="Unresolved Mention"/>
    <w:basedOn w:val="DefaultParagraphFont"/>
    <w:uiPriority w:val="99"/>
    <w:unhideWhenUsed/>
    <w:rsid w:val="00EE1D00"/>
    <w:rPr>
      <w:color w:val="605E5C"/>
      <w:shd w:val="clear" w:color="auto" w:fill="E1DFDD"/>
    </w:rPr>
  </w:style>
  <w:style w:type="character" w:styleId="Mention">
    <w:name w:val="Mention"/>
    <w:basedOn w:val="DefaultParagraphFont"/>
    <w:uiPriority w:val="99"/>
    <w:unhideWhenUsed/>
    <w:rsid w:val="004066AF"/>
    <w:rPr>
      <w:color w:val="2B579A"/>
      <w:shd w:val="clear" w:color="auto" w:fill="E1DFDD"/>
    </w:rPr>
  </w:style>
  <w:style w:type="paragraph" w:styleId="ListParagraph">
    <w:name w:val="List Paragraph"/>
    <w:basedOn w:val="Normal"/>
    <w:link w:val="ListParagraphChar"/>
    <w:uiPriority w:val="34"/>
    <w:qFormat/>
    <w:rsid w:val="008E2788"/>
    <w:pPr>
      <w:ind w:left="720"/>
      <w:contextualSpacing/>
    </w:pPr>
  </w:style>
  <w:style w:type="character" w:customStyle="1" w:styleId="ListParagraphChar">
    <w:name w:val="List Paragraph Char"/>
    <w:link w:val="ListParagraph"/>
    <w:uiPriority w:val="34"/>
    <w:locked/>
    <w:rsid w:val="004176FD"/>
    <w:rPr>
      <w:rFonts w:ascii="FlandersArtSans-Regular" w:eastAsia="Times" w:hAnsi="FlandersArtSans-Regular" w:cs="Times New Roman"/>
      <w:szCs w:val="20"/>
      <w:lang w:val="pl-PL" w:eastAsia="nl-BE"/>
    </w:rPr>
  </w:style>
  <w:style w:type="character" w:styleId="Hyperlink">
    <w:name w:val="Hyperlink"/>
    <w:basedOn w:val="DefaultParagraphFont"/>
    <w:uiPriority w:val="99"/>
    <w:unhideWhenUsed/>
    <w:rsid w:val="005C28CF"/>
    <w:rPr>
      <w:color w:val="0563C1" w:themeColor="hyperlink"/>
      <w:u w:val="single"/>
    </w:rPr>
  </w:style>
  <w:style w:type="character" w:styleId="FollowedHyperlink">
    <w:name w:val="FollowedHyperlink"/>
    <w:basedOn w:val="DefaultParagraphFont"/>
    <w:uiPriority w:val="99"/>
    <w:semiHidden/>
    <w:unhideWhenUsed/>
    <w:rsid w:val="005C28CF"/>
    <w:rPr>
      <w:color w:val="954F72" w:themeColor="followedHyperlink"/>
      <w:u w:val="single"/>
    </w:rPr>
  </w:style>
  <w:style w:type="paragraph" w:styleId="Revision">
    <w:name w:val="Revision"/>
    <w:hidden/>
    <w:uiPriority w:val="99"/>
    <w:semiHidden/>
    <w:rsid w:val="005C6D87"/>
    <w:pPr>
      <w:spacing w:after="0" w:line="240" w:lineRule="auto"/>
    </w:pPr>
    <w:rPr>
      <w:rFonts w:ascii="FlandersArtSans-Regular" w:eastAsia="Times" w:hAnsi="FlandersArtSans-Regular" w:cs="Times New Roman"/>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6480">
      <w:bodyDiv w:val="1"/>
      <w:marLeft w:val="0"/>
      <w:marRight w:val="0"/>
      <w:marTop w:val="0"/>
      <w:marBottom w:val="0"/>
      <w:divBdr>
        <w:top w:val="none" w:sz="0" w:space="0" w:color="auto"/>
        <w:left w:val="none" w:sz="0" w:space="0" w:color="auto"/>
        <w:bottom w:val="none" w:sz="0" w:space="0" w:color="auto"/>
        <w:right w:val="none" w:sz="0" w:space="0" w:color="auto"/>
      </w:divBdr>
    </w:div>
    <w:div w:id="432364086">
      <w:bodyDiv w:val="1"/>
      <w:marLeft w:val="0"/>
      <w:marRight w:val="0"/>
      <w:marTop w:val="0"/>
      <w:marBottom w:val="0"/>
      <w:divBdr>
        <w:top w:val="none" w:sz="0" w:space="0" w:color="auto"/>
        <w:left w:val="none" w:sz="0" w:space="0" w:color="auto"/>
        <w:bottom w:val="none" w:sz="0" w:space="0" w:color="auto"/>
        <w:right w:val="none" w:sz="0" w:space="0" w:color="auto"/>
      </w:divBdr>
    </w:div>
    <w:div w:id="772483535">
      <w:bodyDiv w:val="1"/>
      <w:marLeft w:val="0"/>
      <w:marRight w:val="0"/>
      <w:marTop w:val="0"/>
      <w:marBottom w:val="0"/>
      <w:divBdr>
        <w:top w:val="none" w:sz="0" w:space="0" w:color="auto"/>
        <w:left w:val="none" w:sz="0" w:space="0" w:color="auto"/>
        <w:bottom w:val="none" w:sz="0" w:space="0" w:color="auto"/>
        <w:right w:val="none" w:sz="0" w:space="0" w:color="auto"/>
      </w:divBdr>
    </w:div>
    <w:div w:id="1230916818">
      <w:bodyDiv w:val="1"/>
      <w:marLeft w:val="0"/>
      <w:marRight w:val="0"/>
      <w:marTop w:val="0"/>
      <w:marBottom w:val="0"/>
      <w:divBdr>
        <w:top w:val="none" w:sz="0" w:space="0" w:color="auto"/>
        <w:left w:val="none" w:sz="0" w:space="0" w:color="auto"/>
        <w:bottom w:val="none" w:sz="0" w:space="0" w:color="auto"/>
        <w:right w:val="none" w:sz="0" w:space="0" w:color="auto"/>
      </w:divBdr>
    </w:div>
    <w:div w:id="1519541535">
      <w:bodyDiv w:val="1"/>
      <w:marLeft w:val="0"/>
      <w:marRight w:val="0"/>
      <w:marTop w:val="0"/>
      <w:marBottom w:val="0"/>
      <w:divBdr>
        <w:top w:val="none" w:sz="0" w:space="0" w:color="auto"/>
        <w:left w:val="none" w:sz="0" w:space="0" w:color="auto"/>
        <w:bottom w:val="none" w:sz="0" w:space="0" w:color="auto"/>
        <w:right w:val="none" w:sz="0" w:space="0" w:color="auto"/>
      </w:divBdr>
    </w:div>
    <w:div w:id="19408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3adbf8e8f4fa6a97a3f6fe56e0301 xmlns="d6162fb5-376c-40b2-bc31-35429b0067c5">
      <Terms xmlns="http://schemas.microsoft.com/office/infopath/2007/PartnerControls"/>
    </hbf3adbf8e8f4fa6a97a3f6fe56e0301>
    <hd42cac413d4489fb0ce1040d262cdb2 xmlns="d6162fb5-376c-40b2-bc31-35429b0067c5">
      <Terms xmlns="http://schemas.microsoft.com/office/infopath/2007/PartnerControls"/>
    </hd42cac413d4489fb0ce1040d262cdb2>
    <ge8f3523ee6d4cb2b95f904ff699c84b xmlns="d6162fb5-376c-40b2-bc31-35429b0067c5">
      <Terms xmlns="http://schemas.microsoft.com/office/infopath/2007/PartnerControls">
        <TermInfo xmlns="http://schemas.microsoft.com/office/infopath/2007/PartnerControls">
          <TermName xmlns="http://schemas.microsoft.com/office/infopath/2007/PartnerControls">Juridische dienst</TermName>
          <TermId xmlns="http://schemas.microsoft.com/office/infopath/2007/PartnerControls">f4a55381-ebe0-4109-96cd-9fe6440060e1</TermId>
        </TermInfo>
      </Terms>
    </ge8f3523ee6d4cb2b95f904ff699c84b>
    <a534f86db2e840b1b485421b904567bc xmlns="d6162fb5-376c-40b2-bc31-35429b0067c5">
      <Terms xmlns="http://schemas.microsoft.com/office/infopath/2007/PartnerControls">
        <TermInfo xmlns="http://schemas.microsoft.com/office/infopath/2007/PartnerControls">
          <TermName xmlns="http://schemas.microsoft.com/office/infopath/2007/PartnerControls">1e principiële goedkeuring</TermName>
          <TermId xmlns="http://schemas.microsoft.com/office/infopath/2007/PartnerControls">3f3240ab-29f8-45fa-a3aa-fb21248050b1</TermId>
        </TermInfo>
      </Terms>
    </a534f86db2e840b1b485421b904567bc>
    <Beschrijving xmlns="d6162fb5-376c-40b2-bc31-35429b0067c5" xsi:nil="true"/>
    <TaxCatchAll xmlns="9a9ec0f0-7796-43d0-ac1f-4c8c46ee0bd1">
      <Value>14</Value>
      <Value>1</Value>
    </TaxCatchAll>
    <Documentdatum xmlns="d6162fb5-376c-40b2-bc31-35429b0067c5">2022-10-06T07:30:32+00:00</Documentdatum>
    <k4f250ad144446d0870b1b27d6c49c47 xmlns="d6162fb5-376c-40b2-bc31-35429b0067c5">
      <Terms xmlns="http://schemas.microsoft.com/office/infopath/2007/PartnerControls"/>
    </k4f250ad144446d0870b1b27d6c49c47>
    <_dlc_DocId xmlns="d6162fb5-376c-40b2-bc31-35429b0067c5">SSUEU32EAHAH-959645931-496</_dlc_DocId>
    <_dlc_DocIdUrl xmlns="d6162fb5-376c-40b2-bc31-35429b0067c5">
      <Url>https://vlaamseoverheid.sharepoint.com/sites/veka-jd/_layouts/15/DocIdRedir.aspx?ID=SSUEU32EAHAH-959645931-496</Url>
      <Description>SSUEU32EAHAH-959645931-496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Vlaamse regelgeving" ma:contentTypeID="0x010100DEE36BDAB788B14698BEDFD50B12B2950100A9490EC95A50EF40BD8B9F204B95D2A2" ma:contentTypeVersion="18" ma:contentTypeDescription="" ma:contentTypeScope="" ma:versionID="ddd2128142d114d3d6b8532cd0ca3a3a">
  <xsd:schema xmlns:xsd="http://www.w3.org/2001/XMLSchema" xmlns:xs="http://www.w3.org/2001/XMLSchema" xmlns:p="http://schemas.microsoft.com/office/2006/metadata/properties" xmlns:ns2="d6162fb5-376c-40b2-bc31-35429b0067c5" xmlns:ns3="9a9ec0f0-7796-43d0-ac1f-4c8c46ee0bd1" xmlns:ns4="0527c743-8181-496b-9e38-090e984ad891" targetNamespace="http://schemas.microsoft.com/office/2006/metadata/properties" ma:root="true" ma:fieldsID="ed7d9c5d1a05c9a8ed62fc2a2b259cb4" ns2:_="" ns3:_="" ns4:_="">
    <xsd:import namespace="d6162fb5-376c-40b2-bc31-35429b0067c5"/>
    <xsd:import namespace="9a9ec0f0-7796-43d0-ac1f-4c8c46ee0bd1"/>
    <xsd:import namespace="0527c743-8181-496b-9e38-090e984ad891"/>
    <xsd:element name="properties">
      <xsd:complexType>
        <xsd:sequence>
          <xsd:element name="documentManagement">
            <xsd:complexType>
              <xsd:all>
                <xsd:element ref="ns2:Beschrijving" minOccurs="0"/>
                <xsd:element ref="ns2:Documentdatum" minOccurs="0"/>
                <xsd:element ref="ns2:_dlc_DocIdPersistId" minOccurs="0"/>
                <xsd:element ref="ns3:TaxCatchAll" minOccurs="0"/>
                <xsd:element ref="ns3:TaxCatchAllLabel" minOccurs="0"/>
                <xsd:element ref="ns2:k4f250ad144446d0870b1b27d6c49c47" minOccurs="0"/>
                <xsd:element ref="ns2:ge8f3523ee6d4cb2b95f904ff699c84b" minOccurs="0"/>
                <xsd:element ref="ns2:hd42cac413d4489fb0ce1040d262cdb2" minOccurs="0"/>
                <xsd:element ref="ns2:a534f86db2e840b1b485421b904567bc"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2:_dlc_DocIdUrl" minOccurs="0"/>
                <xsd:element ref="ns2:hbf3adbf8e8f4fa6a97a3f6fe56e0301"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62fb5-376c-40b2-bc31-35429b0067c5" elementFormDefault="qualified">
    <xsd:import namespace="http://schemas.microsoft.com/office/2006/documentManagement/types"/>
    <xsd:import namespace="http://schemas.microsoft.com/office/infopath/2007/PartnerControls"/>
    <xsd:element name="Beschrijving" ma:index="1" nillable="true" ma:displayName="Beschrijving" ma:description="Optioneel vrij tekstveld met een extra woordje uitleg over je document." ma:internalName="Beschrijving">
      <xsd:simpleType>
        <xsd:restriction base="dms:Note">
          <xsd:maxLength value="255"/>
        </xsd:restriction>
      </xsd:simpleType>
    </xsd:element>
    <xsd:element name="Documentdatum" ma:index="6" nillable="true" ma:displayName="Documentdatum" ma:default="[today]" ma:description="Standaard wordt hier de datum ingevuld waarop je het document hebt opgeladen. Pas die datum zo nodig aan. Deze datum zal in de toekomst niet meer wijzigen in tegenstelling tot het veld &quot;Gewijzigd op&quot;." ma:format="DateOnly" ma:indexed="true" ma:internalName="Documentdatum" ma:readOnly="false">
      <xsd:simpleType>
        <xsd:restriction base="dms:DateTime"/>
      </xsd:simpleType>
    </xsd:element>
    <xsd:element name="_dlc_DocIdPersistId" ma:index="9" nillable="true" ma:displayName="Id blijven behouden" ma:description="Id behouden tijdens toevoegen." ma:hidden="true" ma:internalName="_dlc_DocIdPersistId" ma:readOnly="true">
      <xsd:simpleType>
        <xsd:restriction base="dms:Boolean"/>
      </xsd:simpleType>
    </xsd:element>
    <xsd:element name="k4f250ad144446d0870b1b27d6c49c47" ma:index="13" nillable="true" ma:taxonomy="true" ma:internalName="k4f250ad144446d0870b1b27d6c49c47" ma:taxonomyFieldName="Documentsoort" ma:displayName="Documentsoort" ma:indexed="true" ma:readOnly="false" ma:fieldId="{44f250ad-1444-46d0-870b-1b27d6c49c47}" ma:sspId="49ca8161-7180-459b-a0ef-1a71cf6ffea5" ma:termSetId="b7679fbf-2c84-4831-a1b7-f18cf4b546e0" ma:anchorId="00000000-0000-0000-0000-000000000000" ma:open="false" ma:isKeyword="false">
      <xsd:complexType>
        <xsd:sequence>
          <xsd:element ref="pc:Terms" minOccurs="0" maxOccurs="1"/>
        </xsd:sequence>
      </xsd:complexType>
    </xsd:element>
    <xsd:element name="ge8f3523ee6d4cb2b95f904ff699c84b" ma:index="16" nillable="true" ma:taxonomy="true" ma:internalName="ge8f3523ee6d4cb2b95f904ff699c84b" ma:taxonomyFieldName="Sitethema" ma:displayName="Sitethema" ma:readOnly="false" ma:default="1;#Juridische dienst|f4a55381-ebe0-4109-96cd-9fe6440060e1" ma:fieldId="{0e8f3523-ee6d-4cb2-b95f-904ff699c84b}" ma:taxonomyMulti="true" ma:sspId="49ca8161-7180-459b-a0ef-1a71cf6ffea5" ma:termSetId="c7f1d544-3886-43fa-874c-1cdd2802d06b" ma:anchorId="00000000-0000-0000-0000-000000000000" ma:open="false" ma:isKeyword="false">
      <xsd:complexType>
        <xsd:sequence>
          <xsd:element ref="pc:Terms" minOccurs="0" maxOccurs="1"/>
        </xsd:sequence>
      </xsd:complexType>
    </xsd:element>
    <xsd:element name="hd42cac413d4489fb0ce1040d262cdb2" ma:index="19" nillable="true" ma:taxonomy="true" ma:internalName="hd42cac413d4489fb0ce1040d262cdb2" ma:taxonomyFieldName="Actor" ma:displayName="Actor" ma:indexed="true" ma:default="" ma:fieldId="{1d42cac4-13d4-489f-b0ce-1040d262cdb2}" ma:sspId="49ca8161-7180-459b-a0ef-1a71cf6ffea5" ma:termSetId="7a3d30c3-b949-4cf8-8f6a-5e98860ce7b3" ma:anchorId="00000000-0000-0000-0000-000000000000" ma:open="false" ma:isKeyword="false">
      <xsd:complexType>
        <xsd:sequence>
          <xsd:element ref="pc:Terms" minOccurs="0" maxOccurs="1"/>
        </xsd:sequence>
      </xsd:complexType>
    </xsd:element>
    <xsd:element name="a534f86db2e840b1b485421b904567bc" ma:index="21" nillable="true" ma:taxonomy="true" ma:internalName="a534f86db2e840b1b485421b904567bc" ma:taxonomyFieldName="Fase" ma:displayName="Fase" ma:indexed="true" ma:default="" ma:fieldId="{a534f86d-b2e8-40b1-b485-421b904567bc}" ma:sspId="49ca8161-7180-459b-a0ef-1a71cf6ffea5" ma:termSetId="921270e4-9dba-4d31-8d8d-3b9c61dceb04" ma:anchorId="00000000-0000-0000-0000-000000000000" ma:open="false" ma:isKeyword="false">
      <xsd:complexType>
        <xsd:sequence>
          <xsd:element ref="pc:Terms" minOccurs="0" maxOccurs="1"/>
        </xsd:sequence>
      </xsd:complexType>
    </xsd:element>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Url" ma:index="2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bf3adbf8e8f4fa6a97a3f6fe56e0301" ma:index="30" nillable="true" ma:taxonomy="true" ma:internalName="hbf3adbf8e8f4fa6a97a3f6fe56e0301" ma:taxonomyFieldName="Type_x0020_document" ma:displayName="Type document" ma:indexed="true" ma:default="" ma:fieldId="{1bf3adbf-8e8f-4fa6-a97a-3f6fe56e0301}" ma:sspId="49ca8161-7180-459b-a0ef-1a71cf6ffea5" ma:termSetId="bce3d890-3426-4eec-96e5-ed97493e80b8" ma:anchorId="00000000-0000-0000-0000-000000000000" ma:open="false" ma:isKeyword="false">
      <xsd:complexType>
        <xsd:sequence>
          <xsd:element ref="pc:Terms" minOccurs="0" maxOccurs="1"/>
        </xsd:sequence>
      </xsd:complexType>
    </xsd:element>
    <xsd:element name="_dlc_DocId" ma:index="31"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855bdf0-75b9-4fa9-9e8f-f9383a8a5fc8}" ma:internalName="TaxCatchAll" ma:readOnly="false" ma:showField="CatchAllData" ma:web="d6162fb5-376c-40b2-bc31-35429b0067c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55bdf0-75b9-4fa9-9e8f-f9383a8a5fc8}" ma:internalName="TaxCatchAllLabel" ma:readOnly="true" ma:showField="CatchAllDataLabel" ma:web="d6162fb5-376c-40b2-bc31-35429b0067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7c743-8181-496b-9e38-090e984ad8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E2D26-DF5D-47FE-96C6-40481255970B}">
  <ds:schemaRefs>
    <ds:schemaRef ds:uri="http://schemas.microsoft.com/office/2006/metadata/properties"/>
    <ds:schemaRef ds:uri="http://schemas.microsoft.com/office/infopath/2007/PartnerControls"/>
    <ds:schemaRef ds:uri="d6162fb5-376c-40b2-bc31-35429b0067c5"/>
    <ds:schemaRef ds:uri="9a9ec0f0-7796-43d0-ac1f-4c8c46ee0bd1"/>
  </ds:schemaRefs>
</ds:datastoreItem>
</file>

<file path=customXml/itemProps2.xml><?xml version="1.0" encoding="utf-8"?>
<ds:datastoreItem xmlns:ds="http://schemas.openxmlformats.org/officeDocument/2006/customXml" ds:itemID="{CC59232F-37CC-40EC-BD8E-1B8D0EC6D234}">
  <ds:schemaRefs>
    <ds:schemaRef ds:uri="http://schemas.microsoft.com/sharepoint/v3/contenttype/forms"/>
  </ds:schemaRefs>
</ds:datastoreItem>
</file>

<file path=customXml/itemProps3.xml><?xml version="1.0" encoding="utf-8"?>
<ds:datastoreItem xmlns:ds="http://schemas.openxmlformats.org/officeDocument/2006/customXml" ds:itemID="{2E12EB38-5577-4EA1-86AA-65253765DC0B}">
  <ds:schemaRefs>
    <ds:schemaRef ds:uri="http://schemas.microsoft.com/sharepoint/events"/>
  </ds:schemaRefs>
</ds:datastoreItem>
</file>

<file path=customXml/itemProps4.xml><?xml version="1.0" encoding="utf-8"?>
<ds:datastoreItem xmlns:ds="http://schemas.openxmlformats.org/officeDocument/2006/customXml" ds:itemID="{3DA5D564-7DC9-4637-B52A-807C3C5EA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62fb5-376c-40b2-bc31-35429b0067c5"/>
    <ds:schemaRef ds:uri="9a9ec0f0-7796-43d0-ac1f-4c8c46ee0bd1"/>
    <ds:schemaRef ds:uri="0527c743-8181-496b-9e38-090e984ad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3844</Words>
  <Characters>21914</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Wetgevingstechnisch advies (Steketee Björn)</dc:creator>
  <cp:keywords/>
  <dc:description/>
  <cp:lastModifiedBy>Anastasia Stavroulaki</cp:lastModifiedBy>
  <cp:revision>8</cp:revision>
  <dcterms:created xsi:type="dcterms:W3CDTF">2023-03-08T15:23:00Z</dcterms:created>
  <dcterms:modified xsi:type="dcterms:W3CDTF">2023-03-24T14:56:00Z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0x010100DEE36BDAB788B14698BEDFD50B12B2950100A9490EC95A50EF40BD8B9F204B95D2A2</vt:lpwstr>
  </property>
  <property fmtid="{D5CDD505-2E9C-101B-9397-08002B2CF9AE}" pid="3" name="Sitethema">
    <vt:lpwstr>1;#Juridische dienst|f4a55381-ebe0-4109-96cd-9fe6440060e1</vt:lpwstr>
  </property>
  <property fmtid="{D5CDD505-2E9C-101B-9397-08002B2CF9AE}" pid="4" name="_dlc_DocIdItemGuid">
    <vt:lpwstr>45eef839-5ec4-43a8-b095-11282c16cd71</vt:lpwstr>
  </property>
  <property fmtid="{D5CDD505-2E9C-101B-9397-08002B2CF9AE}" pid="5" name="Type document">
    <vt:lpwstr/>
  </property>
  <property fmtid="{D5CDD505-2E9C-101B-9397-08002B2CF9AE}" pid="6" name="Status">
    <vt:lpwstr/>
  </property>
  <property fmtid="{D5CDD505-2E9C-101B-9397-08002B2CF9AE}" pid="7" name="Fase">
    <vt:lpwstr>14;#1e principiële goedkeuring|3f3240ab-29f8-45fa-a3aa-fb21248050b1</vt:lpwstr>
  </property>
  <property fmtid="{D5CDD505-2E9C-101B-9397-08002B2CF9AE}" pid="8" name="Documentsoort">
    <vt:lpwstr/>
  </property>
  <property fmtid="{D5CDD505-2E9C-101B-9397-08002B2CF9AE}" pid="9" name="b6c12786bb1c4d1eb86b2a1eb90890c4">
    <vt:lpwstr/>
  </property>
  <property fmtid="{D5CDD505-2E9C-101B-9397-08002B2CF9AE}" pid="10" name="Actor">
    <vt:lpwstr/>
  </property>
</Properties>
</file>