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Entwurf</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Das Königreich Belgien</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Öffentliche Gesundheit, Lebensmittelkettensicherheit und Umwelt Föderaler Öffentlicher Dienst</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Königliches Dekret zur Änderung des königlichen Dekrets vom 27. Mai 2014 über das Inverkehrbringen von aus Nanopartikeln hergestellten Stoffen</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PHILIPPE, König der Belgier,</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Grüße an alle, die jetzt hier sind oder in Zukunft hier sein werden,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Unter Berücksichtigung des Gesetzes vom 21. Dezember 1998 über Produktnormen zur Förderung nachhaltiger Produktions- und Verbrauchsmuster und zum Schutz von Umwelt, Gesundheit und Arbeitnehmern, Artikel 5 § 1 Absatz 1 Nummer 2, geändert durch die Gesetze vom 27. Dezember 2004 und vom 27. Juli 2011;</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Unter Hinweis auf das königliche Dekret vom 27. Mai 2014 über das Inverkehrbringen von Nanopartikeln hergestellten Stoffen, geändert durch das königliche Dekret vom 22. Dezember 2017,</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Beteiligung der Regionalregierungen an der Ausarbeitung dieser Verordnung im Rahmen der Interministeriellen Konferenz über die Umwelt (ICE) am </w:t>
            </w:r>
            <w:r>
              <w:rPr>
                <w:rFonts w:ascii="Times New Roman" w:hAnsi="Times New Roman"/>
                <w:sz w:val="24"/>
                <w:highlight w:val="yellow"/>
              </w:rPr>
              <w:t>XXXX</w:t>
            </w:r>
            <w:r>
              <w:rPr>
                <w:rFonts w:ascii="Times New Roman" w:hAnsi="Times New Roman"/>
                <w:sz w:val="24"/>
              </w:rPr>
              <w:t>,</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Stellungnahme des Nationalen Arbeitsrates vom </w:t>
            </w:r>
            <w:r>
              <w:rPr>
                <w:rFonts w:ascii="Times New Roman" w:hAnsi="Times New Roman"/>
                <w:sz w:val="24"/>
                <w:highlight w:val="yellow"/>
              </w:rPr>
              <w:t>XXXX</w:t>
            </w:r>
            <w:r>
              <w:rPr>
                <w:rFonts w:ascii="Times New Roman" w:hAnsi="Times New Roman"/>
                <w:sz w:val="24"/>
              </w:rPr>
              <w:t>;</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Stellungnahme des Zentralen Wirtschaftsrates vom </w:t>
            </w:r>
            <w:r>
              <w:rPr>
                <w:rFonts w:ascii="Times New Roman" w:hAnsi="Times New Roman"/>
                <w:sz w:val="24"/>
                <w:highlight w:val="yellow"/>
              </w:rPr>
              <w:t>XXXX</w:t>
            </w:r>
            <w:r>
              <w:rPr>
                <w:rFonts w:ascii="Times New Roman" w:hAnsi="Times New Roman"/>
                <w:sz w:val="24"/>
              </w:rPr>
              <w:t>;</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Stellungnahme des Bundesrates für nachhaltige Entwicklung vom </w:t>
            </w:r>
            <w:r>
              <w:rPr>
                <w:rFonts w:ascii="Times New Roman" w:hAnsi="Times New Roman"/>
                <w:sz w:val="24"/>
                <w:highlight w:val="yellow"/>
              </w:rPr>
              <w:t>XXXX</w:t>
            </w:r>
            <w:r>
              <w:rPr>
                <w:rFonts w:ascii="Times New Roman" w:hAnsi="Times New Roman"/>
                <w:sz w:val="24"/>
              </w:rPr>
              <w:t>;</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Stellungnahme des Obersten Gesundheitsrates vom </w:t>
            </w:r>
            <w:r>
              <w:rPr>
                <w:rFonts w:ascii="Times New Roman" w:hAnsi="Times New Roman"/>
                <w:sz w:val="24"/>
                <w:highlight w:val="yellow"/>
              </w:rPr>
              <w:t>XXXX</w:t>
            </w:r>
            <w:r>
              <w:rPr>
                <w:rFonts w:ascii="Times New Roman" w:hAnsi="Times New Roman"/>
                <w:sz w:val="24"/>
              </w:rPr>
              <w:t>;</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Stellungnahme des Verbraucherrates vom </w:t>
            </w:r>
            <w:r>
              <w:rPr>
                <w:rFonts w:ascii="Times New Roman" w:hAnsi="Times New Roman"/>
                <w:sz w:val="24"/>
                <w:highlight w:val="yellow"/>
              </w:rPr>
              <w:t>XXXX</w:t>
            </w:r>
            <w:r>
              <w:rPr>
                <w:rFonts w:ascii="Times New Roman" w:hAnsi="Times New Roman"/>
                <w:sz w:val="24"/>
              </w:rPr>
              <w:t>;</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Stellungnahme des Hohen Rates für Prävention und Schutz am Arbeitsplatz vom </w:t>
            </w:r>
            <w:r>
              <w:rPr>
                <w:rFonts w:ascii="Times New Roman" w:hAnsi="Times New Roman"/>
                <w:sz w:val="24"/>
                <w:highlight w:val="yellow"/>
              </w:rPr>
              <w:t>XXXX</w:t>
            </w:r>
            <w:r>
              <w:rPr>
                <w:rFonts w:ascii="Times New Roman" w:hAnsi="Times New Roman"/>
                <w:sz w:val="24"/>
              </w:rPr>
              <w:t>;</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In Anbetracht der Notifizierung des Ministerrates, die im Rahmen des königlichen Dekrets vom 27. Mai 2014 über das Inverkehrbringen von aus Nanopartikeln hergestellten Stoffen mitgeteilt wurde, wonach eine Priorisierung der Kategorien von zu registrierenden Artikeln angemessen wäre;</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von der Universität Namur im Jahr 2022 auf Ersuchen des Ministerrates durchgeführte Studie zur Bewertung von Artikeln, in der das ordnungsgemäße Funktionieren und die Nützlichkeit des königlichen Dekrets vom 27. Mai 2014 über das Inverkehrbringen von Nanopartikeln und die Notwendigkeit hervorgehoben wurden, die Rückverfolgbarkeit von in Belgien in Verkehr gebrachten Nanopartikeln zu vervollständigen, indem der Abschnitt über </w:t>
            </w:r>
            <w:r>
              <w:rPr>
                <w:rFonts w:ascii="Times New Roman" w:hAnsi="Times New Roman"/>
                <w:sz w:val="24"/>
              </w:rPr>
              <w:lastRenderedPageBreak/>
              <w:t xml:space="preserve">Artikel umgesetzt wird, wobei bestimmte Kategorien von Erzeugnissen, für welche die Exposition beim Menschen am intensivsten oder problematischsten ist, Vorrang eingeräumt werden;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Angesichts der COVID-19-Pandemie, der weitverbreiteten Verwendung von Gesichtsmasken durch nicht-professionelle Verbraucher sowie der verschiedenen Studien von Sciensano zu besorgniserregenden Chemikalien in Gesichtsmasken ist es unerlässlich, diese neue Verwendung und die damit verbundenen Expositionen in Angriff zu nehmen;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Nach Stellungnahme des Finanzinspektorats vom </w:t>
            </w:r>
            <w:r>
              <w:rPr>
                <w:rFonts w:ascii="Times New Roman" w:hAnsi="Times New Roman"/>
                <w:sz w:val="24"/>
                <w:highlight w:val="yellow"/>
              </w:rPr>
              <w:t>XXXX</w:t>
            </w:r>
            <w:r>
              <w:rPr>
                <w:rFonts w:ascii="Times New Roman" w:hAnsi="Times New Roman"/>
                <w:sz w:val="24"/>
              </w:rPr>
              <w:t>;</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Gestützt auf die Zustimmung des Ministers für Haushalt vom </w:t>
            </w:r>
            <w:r>
              <w:rPr>
                <w:rFonts w:ascii="Times New Roman" w:hAnsi="Times New Roman"/>
                <w:sz w:val="24"/>
                <w:highlight w:val="yellow"/>
              </w:rPr>
              <w:t>XXXX</w:t>
            </w:r>
            <w:r>
              <w:rPr>
                <w:rFonts w:ascii="Times New Roman" w:hAnsi="Times New Roman"/>
                <w:sz w:val="24"/>
              </w:rPr>
              <w:t>;</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Unter Hinweis auf die Stellungnahme </w:t>
            </w:r>
            <w:r>
              <w:rPr>
                <w:rFonts w:ascii="Times New Roman" w:hAnsi="Times New Roman"/>
                <w:sz w:val="24"/>
                <w:highlight w:val="yellow"/>
              </w:rPr>
              <w:t>XXX</w:t>
            </w:r>
            <w:r>
              <w:rPr>
                <w:rFonts w:ascii="Times New Roman" w:hAnsi="Times New Roman"/>
                <w:sz w:val="24"/>
              </w:rPr>
              <w:t xml:space="preserve"> des Staatsrats, gegeben am </w:t>
            </w:r>
            <w:r>
              <w:rPr>
                <w:rFonts w:ascii="Times New Roman" w:hAnsi="Times New Roman"/>
                <w:sz w:val="24"/>
                <w:highlight w:val="yellow"/>
              </w:rPr>
              <w:t>XXX</w:t>
            </w:r>
            <w:r>
              <w:rPr>
                <w:rFonts w:ascii="Times New Roman" w:hAnsi="Times New Roman"/>
                <w:sz w:val="24"/>
              </w:rPr>
              <w:t>, gemäß Artikel 84 § 1 Absatz 2 des am 12. Januar 1973 konsolidierten Gesetzes über den Staatsrat,</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Auf Vorschlag des Ministers für Wirtschaft und Arbeit, des Gesundheitsministers und des Umweltministers sowie der Stellungnahme der Minister, die im Rat beraten haben,</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haben wir beschlossen und erlassen hiermit:</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Artikel</w:t>
            </w:r>
            <w:r>
              <w:rPr>
                <w:rFonts w:ascii="Times New Roman" w:hAnsi="Times New Roman"/>
                <w:b/>
                <w:sz w:val="24"/>
                <w:vertAlign w:val="superscript"/>
              </w:rPr>
              <w:t> </w:t>
            </w:r>
            <w:r>
              <w:rPr>
                <w:rFonts w:ascii="Times New Roman" w:hAnsi="Times New Roman"/>
                <w:b/>
                <w:sz w:val="24"/>
              </w:rPr>
              <w:t>1</w:t>
            </w:r>
            <w:r>
              <w:rPr>
                <w:rFonts w:ascii="Times New Roman" w:hAnsi="Times New Roman"/>
                <w:sz w:val="24"/>
              </w:rPr>
              <w:t xml:space="preserve"> In Artikel 1 des königlichen Dekrets vom 27. Mai 2014 über das Inverkehrbringen von Nanopartikeln werden folgende Änderungen vorgenommen:</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(1) und (8) werden aufgehoben;</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(9), eingefügt durch das königliche Dekret vom 22. Dezember 2017, wird aufgehoben;</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4) erhält folgende Fassung: „(4) Lebensmittel im Sinne von Artikel 1(1) des Gesetzes vom 24. Januar 1977 über den Schutz der Gesundheit der Verbraucher in Bezug auf Lebensmittel und andere Erzeugnisse;“</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2. </w:t>
            </w:r>
            <w:r>
              <w:rPr>
                <w:rFonts w:ascii="Times New Roman" w:hAnsi="Times New Roman"/>
                <w:sz w:val="24"/>
              </w:rPr>
              <w:t xml:space="preserve">In Artikel 2 desselben Beschlusses wird Absatz 1 durch die Nummern 26, 27 und 28 ergänzt, die wie folgt lauten: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kosmetisches Mittel: Stoffe oder Gemische, die dazu bestimmt sind, mit den oberflächlichen Teilen des menschlichen Körpers (Epidermis, Haar- und Kapillarsysteme, Nägel, Lippen und äußere Genitalien) oder mit den Zähnen und Mundschleimhäuten in Berührung zu kommen, um sie ausschließlich oder hauptsächlich zu reinigen, zu parfümieren, ihr Aussehen zu verändern, sie zu schützen, sie in gutem Zustand zu halten oder Körpergerüche zu korrigieren;</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Biozidprodukt: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jegliche Stoffe oder Gemische in der Form, in der sie dem Verwender geliefert werden, bestehend aus einem oder mehreren Wirkstoffen, die ihn enthalten oder erzeugen, die dazu bestimmt sind, Schadorganismen zu zerstören, abzuwehren oder harmlos zu machen, ihre Wirkung zu verhindern oder sie auf andere Weise als durch bloße physikalische oder mechanische Wirkung zu bekämpfen;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 jegliche Stoffe oder Gemische, die durch Stoffe oder Gemische erzeugt werden, die selbst nicht in den Anwendungsbereich des ersten Gedankenstrichs fallen und dazu verwendet werden sollen, Schadorganismen zu zerstören, abzuwehren oder harmlos zu machen, ihre Wirkung zu verhindern oder sie auf andere Weise als durch bloße physikalische oder mechanische Wirkung zu bekämpfen.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Ein behandelter Gegenstand mit einer hauptsächlich bioziden Funktion gilt als Biozidprodukt;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Materialien und Gegenstände, die dazu bestimmt sind, mit Lebensmitteln in Berührung zu kommen: Materialien und Gegenstände, einschließlich aktiver und intelligenter Materialien und Gegenstände, die dazu bestimmt sind, mit Lebensmitteln in Berührung zu kommen, die, als Fertigerzeugnis</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dazu bestimmt sind, mit Nahrungsmitteln in Berührung zu kommen;</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oder</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bereits mit Nahrungsmitteln in Berührung gekommen sind und zu diesem Zweck bestimmt waren,</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oder</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von denen vernünftigerweise erwartet werden kann, dass sie mit Lebensmitteln in Berührung gebracht werden oder ihre Bestandteile unter normalen oder vorhersehbaren Verwendungsbedingungen auf Lebensmittelerzeugnisse übertragen.“</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Artikel 3. </w:t>
            </w:r>
            <w:r>
              <w:rPr>
                <w:rFonts w:ascii="Times New Roman" w:hAnsi="Times New Roman"/>
                <w:sz w:val="24"/>
              </w:rPr>
              <w:t xml:space="preserve">In Kapitel 3 derselben Verordnung werden die Artikel 10a bis 10c eingefügt und wie folgt abgefasst: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Artikel 10a. Die Bestimmungen dieses Kapitels gelten für folgende Kategorien von Artikeln: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Textilwaren;</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Körperpflegeartikel und kosmetische Mittel;</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Gegenstände, die für Säuglinge und Kinder bestimmt sind;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Filter, Küchengeräte, Materialien und Gegenstände, die dazu bestimmt sind, mit Lebensmitteln in Berührung zu kommen;</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Gesichtsmasken.</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Artikel 10b. Im Sinne dieses Kapitels sind Textilwaren: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Kleidung;</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Schuhe;</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Sportartikel, d. h. Sportbekleidung und andere Sporttextilien;</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lastRenderedPageBreak/>
              <w:t>andere Textilien als Kleidung, die unter normalen oder vernünftigerweise vorhersehbaren Verwendungsbedingungen mit der menschlichen Haut in einem Ausmaß in Berührung kommen, das dem von Kleidung ähnelt.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Artikel 10c. Für die Anwendung dieses Kapitels werden folgende Erzeugnisse wie folgt behandelt:</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Körperpflegeartikel und Kosmetikprodukte: </w:t>
            </w:r>
          </w:p>
          <w:p w14:paraId="1AFE4087" w14:textId="77777777" w:rsidR="00294686" w:rsidRPr="003F35C2"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lang w:val="en-US"/>
              </w:rPr>
            </w:pPr>
            <w:r w:rsidRPr="003F35C2">
              <w:rPr>
                <w:rFonts w:ascii="Times New Roman" w:hAnsi="Times New Roman"/>
                <w:sz w:val="24"/>
                <w:lang w:val="en-US"/>
              </w:rPr>
              <w:t>Friseur- und Make-up-</w:t>
            </w:r>
            <w:proofErr w:type="spellStart"/>
            <w:r w:rsidRPr="003F35C2">
              <w:rPr>
                <w:rFonts w:ascii="Times New Roman" w:hAnsi="Times New Roman"/>
                <w:sz w:val="24"/>
                <w:lang w:val="en-US"/>
              </w:rPr>
              <w:t>Accessoires</w:t>
            </w:r>
            <w:proofErr w:type="spellEnd"/>
            <w:r w:rsidRPr="003F35C2">
              <w:rPr>
                <w:rFonts w:ascii="Times New Roman" w:hAnsi="Times New Roman"/>
                <w:sz w:val="24"/>
                <w:lang w:val="en-US"/>
              </w:rPr>
              <w:t>;</w:t>
            </w:r>
          </w:p>
          <w:p w14:paraId="26FE4A18" w14:textId="77777777" w:rsidR="00294686" w:rsidRPr="003F35C2"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lang w:val="en-US"/>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kleine Geräte, die für Körper, Zähne und Haare verwendet werden;</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kosmetische Produkte.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Artikel für Säuglinge und Kinder:</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Kinderpflegeartikel;</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Spielzeug.</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Filter, Küchengeräte, Materialien und Gegenstände, die dazu bestimmt sind, mit Lebensmitteln in Berührung zu kommen:</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Wasserfilter;</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Filter für Dunstabzugshauben;</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Küchenutensilien;</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Elektro- und Küchengeräte;</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Lebensmittelverpackungen und Lebensmittelkonservierungsartikel.</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Gesichtsmasken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Vorrichtungen, die auf Nase und Mund aufgebracht werden, gewoben oder nicht gewoben, um ausgeatmete oder eingeatmete Luft herauszufiltern.“</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4. </w:t>
            </w:r>
            <w:r>
              <w:rPr>
                <w:rFonts w:ascii="Times New Roman" w:hAnsi="Times New Roman"/>
                <w:sz w:val="24"/>
              </w:rPr>
              <w:t>Artikel 11 Absatz 1 Absatz 2 des Beschlusses erhält folgende Fassung:</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Entweder eine Menge von mehr als 100 g von wenigstens einem dieser aus Nanopartikeln hergestellten Stoffe oder eine Menge von mindestens eintausend Stück des komplexen Artikels oder Gegenstandes der in dem Kalenderjahr in Verkehr gebracht wurde, in dem die Notifizierung erfolgt;“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Artikel 5. </w:t>
            </w:r>
            <w:r>
              <w:rPr>
                <w:rFonts w:ascii="Times New Roman" w:hAnsi="Times New Roman"/>
                <w:sz w:val="24"/>
              </w:rPr>
              <w:t>Artikel 24 Absatz 1 Unterabsatz 3 des Beschlusses erhält folgende Fassung:</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Die Artikel 10a bis 17 treten am 1. Januar 2025 in Kraft.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lastRenderedPageBreak/>
              <w:t xml:space="preserve">Artikel 6. </w:t>
            </w:r>
            <w:r>
              <w:rPr>
                <w:rFonts w:ascii="Times New Roman" w:hAnsi="Times New Roman"/>
                <w:sz w:val="24"/>
              </w:rPr>
              <w:tab/>
              <w:t>Für die Durchführung dieser Anordnung sind jeweils der Wirtschaftsminister, der Arbeitsminister, der Minister für öffentliche Gesundheit und der Umweltminister verantwortlich.</w:t>
            </w:r>
          </w:p>
        </w:tc>
      </w:tr>
      <w:tr w:rsidR="00294686" w:rsidRPr="00C211F3" w14:paraId="64D7C9D1" w14:textId="77777777" w:rsidTr="00294686">
        <w:tc>
          <w:tcPr>
            <w:tcW w:w="5000" w:type="pct"/>
          </w:tcPr>
          <w:p w14:paraId="47C4C7E4" w14:textId="77777777" w:rsidR="00294686" w:rsidRDefault="00294686" w:rsidP="004B2B0E">
            <w:pPr>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t xml:space="preserve">Gegeben zu, am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Durch den König,</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Stellvertretender Ministerpräsident und Minister für Wirtschaft und Arbeit,</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6080B614"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 xml:space="preserve">Pierre-Yves </w:t>
            </w:r>
            <w:r w:rsidR="00147C7E">
              <w:rPr>
                <w:rFonts w:ascii="Times New Roman" w:hAnsi="Times New Roman"/>
                <w:sz w:val="24"/>
              </w:rPr>
              <w:t>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Der Minister für Öffentliche Gesundheit,</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3E7A4582"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w:t>
            </w:r>
            <w:r w:rsidR="003F35C2">
              <w:rPr>
                <w:rFonts w:ascii="Times New Roman" w:hAnsi="Times New Roman"/>
                <w:sz w:val="24"/>
              </w:rPr>
              <w:t> </w:t>
            </w:r>
            <w:r>
              <w:rPr>
                <w:rFonts w:ascii="Times New Roman" w:hAnsi="Times New Roman"/>
                <w:sz w:val="24"/>
              </w:rPr>
              <w:t>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Die Umweltministerin,</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803209">
    <w:abstractNumId w:val="6"/>
  </w:num>
  <w:num w:numId="2" w16cid:durableId="498665313">
    <w:abstractNumId w:val="1"/>
  </w:num>
  <w:num w:numId="3" w16cid:durableId="1165514503">
    <w:abstractNumId w:val="8"/>
  </w:num>
  <w:num w:numId="4" w16cid:durableId="759832290">
    <w:abstractNumId w:val="2"/>
  </w:num>
  <w:num w:numId="5" w16cid:durableId="1549103575">
    <w:abstractNumId w:val="5"/>
  </w:num>
  <w:num w:numId="6" w16cid:durableId="1642231850">
    <w:abstractNumId w:val="4"/>
  </w:num>
  <w:num w:numId="7" w16cid:durableId="1868788703">
    <w:abstractNumId w:val="3"/>
  </w:num>
  <w:num w:numId="8" w16cid:durableId="188227942">
    <w:abstractNumId w:val="0"/>
  </w:num>
  <w:num w:numId="9" w16cid:durableId="2016027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47C7E"/>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35C2"/>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de-DE"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de-DE"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7188</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4</cp:revision>
  <cp:lastPrinted>2022-11-24T15:17:00Z</cp:lastPrinted>
  <dcterms:created xsi:type="dcterms:W3CDTF">2023-02-20T10:16:00Z</dcterms:created>
  <dcterms:modified xsi:type="dcterms:W3CDTF">2023-02-27T09:40:00Z</dcterms:modified>
</cp:coreProperties>
</file>