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Съгласно член 9, параграфи 1 и 5, член 11, параграф 5 и за прилагането на член 12 от Закона за метрологията (Официален вестник на Република Словения [</w:t>
      </w:r>
      <w:r>
        <w:rPr>
          <w:rFonts w:ascii="Arial" w:hAnsi="Arial"/>
          <w:i/>
          <w:sz w:val="21"/>
        </w:rPr>
        <w:t>Uradni List RS</w:t>
      </w:r>
      <w:r>
        <w:rPr>
          <w:rFonts w:ascii="Arial" w:hAnsi="Arial"/>
          <w:sz w:val="21"/>
        </w:rPr>
        <w:t>], брой 26/05 — официален консолидиран текст) министърът на икономиката, туризма и спорта издава следното:</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П Р А В И Л Н И К</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за изменение на Правилника за метрологичните изисквания към устройствата за измерване на скоростта в пътното движение</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В Правилника за метрологичните изисквания към устройствата за измерване на скоростта в пътното движение (Официален вестник на Република Словения [</w:t>
      </w:r>
      <w:r>
        <w:rPr>
          <w:rFonts w:ascii="Arial" w:hAnsi="Arial"/>
          <w:i/>
          <w:sz w:val="21"/>
        </w:rPr>
        <w:t>Uradni List RS</w:t>
      </w:r>
      <w:r>
        <w:rPr>
          <w:rFonts w:ascii="Arial" w:hAnsi="Arial"/>
          <w:sz w:val="21"/>
        </w:rPr>
        <w:t>], брой 91/15), вторият параграф на член 1 се заличава, а съществуващият първи параграф става текстът на члена.</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член 1 се добавя нов член 1.a, който гласи следното:</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(Процедура и клауза за предоставяне на информация)</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Настоящият правилник се издава, като се взема предвид процедурата за предоставяне на информация съгласно </w:t>
      </w:r>
      <w:hyperlink r:id="rId4" w:tgtFrame="_blank" w:tooltip="to EUR-Lex" w:history="1">
        <w:r>
          <w:rPr>
            <w:rFonts w:ascii="Arial" w:hAnsi="Arial"/>
            <w:color w:val="0000EE"/>
            <w:sz w:val="21"/>
            <w:u w:val="single" w:color="0000EE"/>
          </w:rPr>
          <w:t>Директива (ЕС) 2015/1535</w:t>
        </w:r>
      </w:hyperlink>
      <w:r>
        <w:rPr>
          <w:rFonts w:ascii="Arial" w:hAnsi="Arial"/>
          <w:sz w:val="21"/>
        </w:rPr>
        <w:t xml:space="preserve">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 9. 2015 г., стр. 1)“.</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Разпоредбите на настоящия правилник не се прилагат за продукти, които са законно произведени или пуснати на пазара в други държави — членки на Европейския съюз, и Турция или са произведени в държавите от Европейската асоциация за свободна търговия (ЕАСТ), които също са подписали Споразумението за Европейското икономическо пространство, в съответствие с националното законодателство, осигуряващо равностойно равнище на защита на обществения интерес, както е определено от законодателството на Република Словения. </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Настоящият правилник се прилага в съответствие с </w:t>
      </w:r>
      <w:hyperlink r:id="rId5" w:tgtFrame="_blank" w:tooltip="to EUR-Lex" w:history="1">
        <w:r>
          <w:rPr>
            <w:rFonts w:ascii="Arial" w:hAnsi="Arial"/>
            <w:color w:val="0000EE"/>
            <w:sz w:val="21"/>
            <w:u w:val="single" w:color="0000EE"/>
          </w:rPr>
          <w:t>Регламент (ЕС) 2019/515</w:t>
        </w:r>
      </w:hyperlink>
      <w:r>
        <w:t xml:space="preserve"> </w:t>
      </w:r>
      <w:r>
        <w:rPr>
          <w:rFonts w:ascii="Arial" w:hAnsi="Arial"/>
          <w:sz w:val="21"/>
        </w:rPr>
        <w:t xml:space="preserve">на Европейския парламент и на Съвета от 19 март 2019 г. относно взаимното признаване на стоки, законно предлагани на пазара в друга държава членка, и за отмяна на </w:t>
      </w:r>
      <w:hyperlink r:id="rId6" w:tgtFrame="_blank" w:tooltip="to EUR-Lex" w:history="1">
        <w:r>
          <w:rPr>
            <w:rFonts w:ascii="Arial" w:hAnsi="Arial"/>
            <w:color w:val="0000EE"/>
            <w:sz w:val="21"/>
            <w:u w:val="single" w:color="0000EE"/>
          </w:rPr>
          <w:t>Регламент (ЕО) № 764/2008</w:t>
        </w:r>
      </w:hyperlink>
      <w:r>
        <w:rPr>
          <w:rFonts w:ascii="Arial" w:hAnsi="Arial"/>
          <w:sz w:val="21"/>
        </w:rPr>
        <w:t xml:space="preserve"> (ОВ L 91, 29. 3. 2019 г., стр. 1).</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Член 3</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2 се изменя и гласи, както следва:</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Понятията, използвани в настоящия правилник, имат следните значения:</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„устройство за измерване на скоростта“ означава мярка за измерване на скоростта на превозните средства в пътното движение;</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„радиолокационни устройства за измерване на скоростта“ означава устройства за измерване на скоростта, използващи принципа RADAR и Доплеровия ефект за тяхното функциониране;</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„RADAR“ означава засичане и измерване на разстоянието или местоположението посредством радиосигнали;</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„Доплеров ефект“ означава физическо явление, при което се извършва промяна на честотата на вълната за наблюдател, който се движи спрямо източника ѝ;</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„лазерни устройства за измерване на скоростта“ означава устройства за измерване на скоростта, които използват за функционирането си предаване и приемане на лазерен сигнал в съответствие с принципа на LIDAR;</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„LIDAR“ означава измерването на разстоянието посредством светлинен лъч;</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„устройства за измерване на скоростта чрез разстояние/време“ означава устройства за измерване на скоростта на превозното средство въз основа на измереното време на движение на превозното средство по маршрут с измерена дължина;</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„устройства за измерване на скоростта чрез засичане“ означава подтип устройства за измерване на разстояние/време, които измерват скоростта на превозното средство на кратко разстояние чрез измерване на времето на пътуване между най-малко три последователни местоположения на превозното средство, при които детекторите за местоположението на превозното средство са свързани към един и същ източник, с известни разстояния между детекторите;</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„устройства за измерване на скоростта в участък“ означава подтип устройства за измерване на разстоянието/времето, които измерват средната скорост за по-дълго разстояние чрез измерване на времето на пътуване и идентифициране на превозното средство в началната и крайната точка на измервателен участък с известна дължина;</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„устройства за измерване на скоростта въз основа на проследяване“ означава подтип устройства за измерване на скоростта за изминато разстояние/време, монтирани на измервателно превозно средство, което следва измерваното превозно средство, и въз основа на измереното разстояние от изминатия участък или маршрут и времето на пътуване на измервателното превозно средство, измерва средната скорост на измерваното превозно средство;</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11. „измервателно превозно средство“ означава превозно средство, на което е монтирано устройство за измерване на скоростта, което дава възможност за измерване на собствената му скорост и скоростта на измерваното превозно средство въз основа на измерване от точка на движение;</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„измервано превозно средство“ означава превозно средство, чиято скорост се измерва с устройство за измерване на скоростта;</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13. „оператор“ означава лицето, което борави с устройството за измерване на скоростта и извършва измервания на скоростта;</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14. „автоматични устройства за измерване на скоростта“ означава устройства за измерване на скоростта, които извършват измерването автоматично без намесата на оператора;</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„неавтоматично устройство за измерване на скоростта“ означава устройства за измерване на скоростта, които извършват измерване по искането на оператор;</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16. „измерване от неподвижна точка“ означава, че устройството за измерване на скоростта измерва скоростта на измерваното превозно средство от точка, която не се движи;</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17. „измерване от движеща се точка“ означава, че устройството за измерване на скоростта измерва скоростта на измереното превозно средство от движеща се точка;</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„максимално допустима грешка“ (наричана по-долу МДГ) означава крайната стойност на грешката при измерването, която се допуска от спецификациите или разпоредбите в съответствие с известна еталонна стойност за дадено измерване, мерна единица или система за измерване;</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„влияеща величина“ означава величина, която не е измерена величина, но оказва влияние върху резултата от измерването;</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„номинални работни условия“ означава работните условия, които трябва да бъдат спазени по време на измерването, за да може устройството за измерване на скоростта да функционира така, както е проектирано;</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„смущение“ означава влияеща величина, чиято стойност е в границите, посочени в съответното изискване, но извън определените номинални работни условия на средството за измерване; влияеща величина е смущение, ако за тази влияеща величина не са определени номиналните работни условия;</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„полево изпитване“ означава процедура, при която устройството за измерване на скоростта се изпитва въз основа на измерване на скоростта на превозни средства с известна скорост при реалистични условия на употреба;</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„симулация“ означава процес, при който движението на измереното превозно средство се заменя с друго физическо явление, което може да представлява скоростта на движение на превозното средство, посоката на движение на превозното средство, изминатото разстояние от превозното средство или времето на движение на превозното средство;</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„лабораторно изпитване“ означава процедура, при която устройство за измерване на скоростта се изпитва въз основа на симулация;</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„собствена скорост“ означава скоростта на измервателното превозно средство при измерване на скоростта от подвижна точка;</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26. „измервателна ос“ означава видимата линия в посоката, на която устройството за измерване на скоростта измерва скоростта на измерваното превозно средство;</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„посока на движение на превозното средство“ означава видимата права линия, по която се движи измерваното превозно средство;</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„явление косинус“ означава физическо явление, което възниква, когато оста на измерване на устройството за измерване на скоростта се измести от посоката на движение на измерваното превозно средство под определен ъгъл в равнина или пространство;</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29. „носеща честота“ означава една или няколко честоти, при които радарът за измерване на скоростта предава;</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30. „детектор на местоположение“ означава датчик или устройство, който определя кога измерваното превозно средство е преминало избрана точка;</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31. „входна точка“ означава зоната, в която измерваното превозно средство навлиза в измервателен участък;</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„изходна точка“ означава зоната, в която измерваното превозно средство излиза от измервателен участък;</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33. „дължина на измервателен участък“ означава дължината, представляваща най-късата видима крива между входните и изходните точки и минава по протежение на пътния участък, ограничен от двете страни с пътна маркировка или ръба на пътното платно;</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„датчик за движение“ означава компонент на превозното средство, който позволява измерването на собствената скорост на превозното средство;</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35. „времева разлика между двете измервани превозни средства в движение“ означава времето при измерената скорост, необходимо на второто измервано превозно средство, движещо се зад първото измервано превозно средство, за да достигне точката, в която се измерва скоростта на първото измервано превозно средство;</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„разлика за безопасност“ означава числената стойност на скоростта, която се взема предвид в полза на измерваното превозно средство при всяко измерване;</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37. „разширена неопределеност на измерването“ означава произведението от комбинираната стандартна неопределеност на измерването с коефициент, по-голям от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 „мерник“ означава частта от устройството за измерване на скоростта, която дава възможност оста на измерване на устройството за измерване на скоростта да бъде приведена в съответствие с измерваното превозно средство и трябва да отразява допустимото положение и разширение на измервателния лъч;</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 „устройство за измерване на скоростта на едно превозното средство“ означава устройство за измерване на скоростта, което въз основа на своя режим на работа може едновременно да измерва и документира скоростта само на едно превозно средство;</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 „устройство за измерване на скоростта на няколко превозни средства“ означава устройство за измерване на скоростта, което въз основа на своя режим на работа може едновременно да следи, измерва и документира скоростта на няколко превозни средства.“</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Член 4</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18, в третия параграф, след думата „скорост“ се добавят думите „или след движение на превозното средство с най-малко 10 m.“</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5</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19 се изменя и гласи, както следва:</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19</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(допълнителни изисквания за документиране на измервания от движеща се точка, с изключение на устройствата за измерване чрез проследяване)</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„Документираното измерване на скоростта, измерена от движеща се точка с устройства за измерване на скоростта, с изключение на устройствата за измерване на скоростта съгласно принципа на следене, включва, в допълнение към изискванията на член 17 от настоящия правилник, скоростта на измерващото превозно средство по време на измерването.“</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6</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26 се изменя и гласи, както следва:</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26</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(изисквания за интерфейса за изпитване)</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Устройствата за измерване на скоростта се оборудват с интерфейс за изпитване, който позволява да се задейства устройството за измерване на скоростта и да се получават данните или сигналите, необходими за извършване на оценяване на съответствието, проверка и метрологичен контрол. </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Интерфейсът за изпитване осигурява достъп най-малко до следните данни: </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измерена скорост,</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измерено разстояние или положение на измерваното превозно средство (за устройства за измерване на скоростта, за които принципът на измерване позволява това),</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lastRenderedPageBreak/>
        <w:t>измерените скорости на превозното средство (за устройства за измерване на скоростта, измерващи от движеща се точка),</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уникална идентификация на устройството за измерване на скоростта и неговите компоненти,</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идентификация на софтуера на устройството за измерване на скоростта и неговата контролна сума, и</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резултат от самоконтрол.</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Интерфейсът за изпитване трябва да бъде защитен от неправомерни действия.“ </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7</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29 се изменя и гласи, както следва:</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29</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(допълнителни изисквания за радарни устройства за измерване на скоростта, правещи измервания за отделно превозно средство)</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Индивидуалната носеща честота на радарното устройство за измерване на скоростта на отделно превозно средство не трябва да се отклонява с повече от ± 0,15 % от номиналната стойност, посочена от производителя. </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Широчината на измервателния лъч на радарното устройство за измерване на скоростта на отделно превозно средство не трябва да надхвърля широчината на лъча, посочена от производителя.</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Осевата линия на измервателния лъч на антената на радарното устройство за измерване на скоростта не трябва да се отклонява с повече от ± 1° от осевата линия на антената.“ </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8</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член 29 се добавя нов член 29.а, както следва:</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29.a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(допълнителни изисквания за радарните устройства за измерване на скоростта на няколко превозни средства)</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За целите на лабораторните и полевите изпитвания радарните устройства за измерване на скоростта на няколко превозни средства показват местоположението и разстоянието на измерваното превозно средство от устройството за измерване на скоростта.“.</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9</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30 се изменя и гласи, както следва:</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30</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(допълнителни изисквания за лазерните устройства за измерване на скоростта на отделно превозно средство)</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Честотата на предаваните импулси на лазерното устройство за измерване на скоростта на отделно превозно средство не трябва да се отклонява с повече от ± 1 % от номиналната стойност, посочена от производителя. </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Лазерно устройство за измерване на скоростта, измерващо отделно превозно средство, указва разстоянието на измерваното превозно средство с деление не повече от 0,1 m. Измереното разстояние на измереното превозно средство не трябва да се отклонява с повече от ± 0,2 m от действителната стойност на разстояние до 50 m или 0,4 % за разстояния, по-големи от 50 m.</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Максимално допустимото разстояние на измерваното превозно средство, измерено с лазерно устройство за измерване на скоростта на отделно превозно средство, е 1 000 m. </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Максимално допустимият пространствен ъгъл на измервателния лъч на лазерното устройство за измерване на скоростта на отделно превозно средство в хоризонтална и вертикална посока е 3 mrad. </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Формата на лазерното устройство за измерване на скоростта на отделно превозно средство трябва ясно да показва ограничението от 3 mrad. </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Мерникът на лазерното устройството за измерване на скоростта на отделно превозно средство трябва да бъде ясно видим с невъоръжено око и с измервателно оборудване за проверка на регулировката на мерника и измервателния лъч. </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Измервателният лъч на лазерното устройство за измерване на скоростта на отделно превозно средство трябва да е напълно разположен в границите на мерника. </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(8) Лазерното устройство за измерване на скоростта на отделно превозно средство е оборудвано с най-малко две увеличения на полето на видимост на мерника за измерване на скоростта на измерваното превозно средство на разстояние от 300 m до 600 m, а за измервания на разстояние над 600 m най-малко три пъти полето на видимост на мерника.  Увеличението може да бъде интегрирано в устройството за измерване на скоростта или може да се внедри като отделно приспособление, което трябва да може да бъде прикрепвано или премахвано от устройството за измерване на скоростта. В случай на отделно приспособление, </w:t>
      </w:r>
      <w:r>
        <w:rPr>
          <w:rFonts w:ascii="Arial" w:hAnsi="Arial"/>
          <w:sz w:val="21"/>
        </w:rPr>
        <w:lastRenderedPageBreak/>
        <w:t>приспособлението трябва да има същия сериен номер като устройството за измерване на скоростта.</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Лазерно устройство за измерване на скоростта на отделно превозно средство дава възможност за изпитване за измерване на скорост от 0 km/h при фиксирана цел.“ </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10</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член 30 се добавя нов член 30.а, както следва:</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30.a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(допълнителни изисквания за лазерни устройства за измерване на скоростта на няколко превозни средства)</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За целите на лабораторните и полевите изпитвания лазерните устройства за измерване на скоростта на няколко превозни средства показват местоположението и разстоянието на измерваното превозно средство от устройството за измерване на скоростта.“.</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11</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32, трети параграф думите „и трябва да бъде най-малко 200 пъти по-дълъг от дължината на зоната на идентификация“ се заличават.</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Параграф 5 се изменя и гласи както следва:</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Началото и краят на участъка на измерване се маркират със светлоотразителна лента по целия път и посредством колчета за измерване по протежение на пътната повърхност.  Светлоотразителната лента е видима при документирано измерване заедно с измерваното превозно средство.“.</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12</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член 37 се добавя нов член 37.а, както следва:</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37.a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(допълнителни кодове)</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(1) Институтът по метрология на Република Словения може да поставя допълнителни идентификационни знаци върху устройствата за измерване на скоростта, за да бъдат идентифицирани в процедурите за проверка. </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Притежателите на устройства за измерване на скоростта не отстраняват маркировките, посочени в предходния параграф.“.</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13</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член 39 се добавя нов член 39.а, както следва:</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39.а</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(специфично измервателно оборудване и достъп до еталона)</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Ако е необходимо да се използва специален хардуер, софтуер, свързващи кабели или интерфейси, които не са свободно достъпни на пазара или които са защитени с права на интелектуална собственост, производителят е длъжен да предостави това оборудване безплатно на Института по метрология на Република Словения.</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В процедурите, посочени в предходния параграф, производителят трябва да осигури на Института по метрология на Република Словения най-високо ниво на достъп до софтуера, с който разполага производителят, както и свободен достъп до хардуера на устройството за измерване на скоростта.“.</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14</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42 след думите на члена, който се определя като параграф 1, се вмъква нов параграф 2, който гласи следното:</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В случай на съмнение относно съответствието на устройството за измерване на скоростта с изискванията на настоящия правилник, могат да се извършват други изследвания и изпитвания, за да се потвърди съответствието с изискванията, определени в предходния параграф.“.</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15</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44 се изменя и гласи, както следва:</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44</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(специални изпитвания на радарни устройства за измерване на скоростта)</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За радарните устройствата за измерване на скоростта изпитването се извършва съгласно изискванията, порочни в член 5 от настоящия правилник с полеви изпитвания в най-малко три точки на измерване или съгласно изискванията, посочени в член 6 от настоящия правилник с лабораторно изпитване в най-малко 10 точки на измерване.</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Когато се изпитва точността на радарно устройство за измерване на скоростта, функционирането на предавателните и приемащите антени се проверява едновременно. </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За радарните устройства за измерване на скоростта на отделно превозно средство се проверява съответствието с изискванията, посочени в член 7 от настоящия правилник.</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Широчината на измервателния лъч се проверява в случай на радарни устройства за измерване на скоростта на отделно превозно средство при следните условия: </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затихване с –3 dB спрямо максималната стойност на мощността на предавания сигнал; и</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въз основа на преглед на цялостната начертана диаграма на излъчване на антената спрямо –45° до + 45°, като оставащите пикове на измервателния лъч затихват най-малко с –15 dB спрямо основния сигнал.</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За радарните устройства за измерване на скоростта на няколко превозни средства едновременно, се проверява точността на позиционирането на превозното средство, посочено в член 29, буква а) от настоящия правилник.“ </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16</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45 се изменя и гласи, както следва:</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45</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(специални изпитвания за лазерни устройства за измерване на скоростта)</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За лазерните устройствата за измерване на скоростта изпитването се извършва съгласно изискванията, порочни в член 5 от настоящия правилник с полеви изпитвания в най-малко три точки на измерване или съгласно изискванията, посочени в член 6 от настоящия правилник с лабораторно изпитване в най-малко 10 точки на измерване.</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За лазарните устройства за измерване на скоростта на отделно превозно средство се проверява съответствието с изискванията, посочени в параграфи 1, 2, 4 и 7 от член 30 от настоящия правилник.</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За устройствата за измерване на скоростта на няколко превозни средства едновременно, се проверява точността на позиционирането на превозното средство, посочено в член 30.а от настоящия правилник.“.</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Член 17</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46, параграф 1 се изменя и гласи както следва:</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За устройствата за засичане и измерване на скоростта е необходимо да се проведе изпитване за точност на измерването съгласно изискванията, посочени в член 6 от настоящия правилник чрез лабораторно изпитване при най-малко 10 точки на измерване или съгласно изискванията, посочени в член 5 от настоящия правилник чрез полеви изпитвания при три точки на измерване, с напълно интегрирано изпитване на устройството за засичане и измерване скоростта с движещо се превозно средство. Полевите изпитвания трябва да се извършват успешно в три точки на измерване и могат да се извършват с не повече от пет пробега, с три успешни измервания. Ако това изпитване не е успешно след пет пробега, изпитването се прекратява поради неподходяща настройка на измервателния уред.“.</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След параграф 1 се добавя нов параграф 2, който гласи следното:</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Устройствата за засичане и измерване на скоростта с детектори за местоположение, монтирани на пътната повърхност, трябва да се подлагат на полево изпитване.“.</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Съществуващият параграф 2 става параграф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18</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47, параграф 1 се изменя и гласи както следва:</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За устройствата за измерване на скоростта при определен участък се провежда изпитване за точност на измерването съгласно изискванията, посочени в член 5 от настоящия правилник посредством полево изпитване при три точки на измерване с изпитване на напълно интегрирано устройство за измерване на скоростта при определен участък с движещо се превозно средство. Полевите изпитвания трябва да се извършват успешно в три точки на измерване и могат да се извършват с не повече от пет пробега, с три успешни измервания. Ако това изпитване не е успешно след пет пробега, изпитването се прекратява поради неподходяща настройка на измервателния уред.“.</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19</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48 се изменя и гласи, както следва:</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48</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(специфични изпитвания за устройства за измерване на скоростта чрез проследяване)</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Устройствата за измерване на скоростта чрез проследяване се подлагат на изпитване за точност на измерването съгласно изискванията, посочени в член 6 от настоящия правилник чрез лабораторно изпитване с поне 10 собствени скорости или съгласно изискванията, посочени член 5 от настоящия правилник чрез полево изпитване с минимална собствена скорост въз основа на движение с постоянна скорост на измерващото превозно средство, без първоначалното и окончателното спиране на измерващото превозно средство.“.</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20</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49 се изменя и гласи, както следва:</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(специални изпитвания за устройствата за измерване на скоростта от движеща се точка, с изключение на устройствата за измерване чрез проследяване)</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За устройства за измерване на скоростта от движеща се точка, с изключение на устройствата за измерване на скоростта чрез проследяване, изпитванията за точността на измерването на скоростта на измерваното превозно средство и измерването на собствената скорост на превозното средство съгласно изискванията, посочени в член 6 от настоящия правилник се извършват отделно чрез лабораторно изпитване при 10 точки на измерване или съгласно изискванията, посочени в член 5 от настоящия правилник с полеви изпитвания при най-малко три точки.“.</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21</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В член 55, думите „и не измерва разстоянието до превозното средство или ъгъла на движение на превозното средство спрямо устройството за измерване на скоростта“ се заменят с думите „с преобразуване в един избран ъгъл“.</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22</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Член 57 се заличава.</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ПРЕХОДНИ И ЗАКЛЮЧИТЕЛНИ РАЗПОРЕДБИ</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23</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(пускане на пазара и първоначална проверка)</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Устройства за измерване на скоростта, които към датата на влизане в сила на настоящия правилник имат валидно одобрение на типа въз основа на Правилника относно метрологичните изисквания за устройствата за измерване на скоростта в пътното движение (Официален вестник на Република Словения [Uradni List RS], бр. 25/02 и 90/05) или Правилника относно метрологичните изисквания за устройствата за измерване на скоростта в пътното движение (Официален вестник на Република Словения [Uradni List RS], бр. 91/15), могат да бъдат пускани на пазара и да се извършва първоначална проверка съгласно тези правилници до изтичане на срока на одобрението на типа, при условие че отговарят на изискванията на тези правилници относно първоначалната проверка.</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24</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(подлагане на редовна и извънредна проверка)</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Устройства за измерване на скоростта, които се използват към датата на влизане в сила на настоящия правилник и които са преминали валидна първоначална проверка или редовна проверка въз основа на Правилника относно метрологичните изисквания за устройствата за измерване на скоростта в пътното движение (Официален вестник на Република Словения[Uradni List RS], бр. 25/02 и 90/05) или Правилника относно метрологичните изисквания за устройствата за измерване на скоростта в пътното движение (Официален вестник на Република Словения [Uradni List RS], бр. 91/15), могат да бъдат подлагани на редовна или извънредна проверка въз основа на тези правилници, при условие че отговарят на изискванията на тези правилници относно редовната проверка.</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Член 25</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(влизане в сила)</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Настоящият правилник влиза в сила на петнадесетия ден след публикуването му в Официален вестник на Република Словения.</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t>№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Любляна, 19 март 2024 г.</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r>
        <w:rPr>
          <w:rFonts w:ascii="Arial" w:hAnsi="Arial"/>
          <w:sz w:val="21"/>
        </w:rPr>
        <w:t xml:space="preserve">Matjaž Han </w:t>
      </w:r>
    </w:p>
    <w:p w14:paraId="1C1D48C4" w14:textId="77777777" w:rsidR="00221B1A" w:rsidRDefault="00E123F5">
      <w:pPr>
        <w:rPr>
          <w:rFonts w:ascii="Arial" w:eastAsia="Arial" w:hAnsi="Arial" w:cs="Arial"/>
        </w:rPr>
      </w:pPr>
      <w:r>
        <w:rPr>
          <w:rFonts w:ascii="Arial" w:hAnsi="Arial"/>
        </w:rPr>
        <w:t xml:space="preserve">Министър на икономиката, туризма и спорта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5C0803"/>
    <w:rsid w:val="00A77B3E"/>
    <w:rsid w:val="00BC3467"/>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3724</Words>
  <Characters>22015</Characters>
  <Application>Microsoft Office Word</Application>
  <DocSecurity>0</DocSecurity>
  <Lines>415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2024-08-14T10:41:00Z</dcterms:created>
  <dcterms:modified xsi:type="dcterms:W3CDTF">2024-08-14T10:41:00Z</dcterms:modified>
</cp:coreProperties>
</file>