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A66A" w14:textId="77777777" w:rsidR="00221B1A" w:rsidRDefault="00E123F5">
      <w:pPr>
        <w:pStyle w:val="zamik"/>
        <w:pBdr>
          <w:top w:val="none" w:sz="0" w:space="24" w:color="auto"/>
        </w:pBdr>
        <w:spacing w:after="210"/>
        <w:jc w:val="both"/>
        <w:rPr>
          <w:rFonts w:ascii="Arial" w:eastAsia="Arial" w:hAnsi="Arial" w:cs="Arial"/>
          <w:sz w:val="21"/>
          <w:szCs w:val="21"/>
        </w:rPr>
      </w:pPr>
      <w:r>
        <w:rPr>
          <w:rFonts w:ascii="Arial" w:hAnsi="Arial"/>
          <w:sz w:val="21"/>
        </w:rPr>
        <w:t>Vastavalt metroloogiaseaduse artikli 9 lõigetele 1 ja 5, artikli 11 lõikele 5 ja artikli 12 rakendamiseks (Sloveenia Vabariigi ametlik väljaanne [</w:t>
      </w:r>
      <w:r>
        <w:rPr>
          <w:rFonts w:ascii="Arial" w:hAnsi="Arial"/>
          <w:i/>
          <w:sz w:val="21"/>
        </w:rPr>
        <w:t>Uradni List RS</w:t>
      </w:r>
      <w:r>
        <w:rPr>
          <w:rFonts w:ascii="Arial" w:hAnsi="Arial"/>
          <w:sz w:val="21"/>
        </w:rPr>
        <w:t>] nr 26/05 – ametlik konsolideeritud tekst) annab majandus-, turismi- ja spordiminister välja järgmise dokumendi:</w:t>
      </w:r>
    </w:p>
    <w:p w14:paraId="1AF1E363"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E E S K I R J A D,</w:t>
      </w:r>
    </w:p>
    <w:p w14:paraId="4CAD0D41"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millega muudetakse maanteeliikluse kiirusmõõteseadmete metroloogilisi nõudeid käsitlevaid eeskirju</w:t>
      </w:r>
    </w:p>
    <w:p w14:paraId="25E24A9C"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w:t>
      </w:r>
    </w:p>
    <w:p w14:paraId="75550DE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Maanteeliikluse kiirusmõõteseadmete metroloogilisi nõudeid käsitlevate eeskirjade (Sloveenia Vabariigi ametlik väljaanne [Uradni List RS] nr 91/15) artikli 1 teine lõige jäetakse välja ning olemasolevast esimesest lõikest saab artikli tekst.</w:t>
      </w:r>
    </w:p>
    <w:p w14:paraId="5B03187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w:t>
      </w:r>
    </w:p>
    <w:p w14:paraId="20CEFE2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 1 järele lisatakse uus artikkel 1.a järgmises sõnastuses.</w:t>
      </w:r>
    </w:p>
    <w:p w14:paraId="3FF7EA7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1a</w:t>
      </w:r>
    </w:p>
    <w:p w14:paraId="24EBA796"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(Teavitamise kord ja klausel)</w:t>
      </w:r>
    </w:p>
    <w:p w14:paraId="7F88E7B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w:t>
      </w:r>
      <w:r>
        <w:t xml:space="preserve">Käesolevad eeskirjad on välja antud, võttes arvesse Euroopa Parlamendi ja nõukogu 9. septembri 2015. aasta </w:t>
      </w:r>
      <w:hyperlink r:id="rId4" w:tgtFrame="_blank" w:tooltip="to EUR-Lex" w:history="1">
        <w:r>
          <w:rPr>
            <w:rFonts w:ascii="Arial" w:hAnsi="Arial"/>
            <w:color w:val="0000EE"/>
            <w:sz w:val="21"/>
            <w:u w:val="single" w:color="0000EE"/>
          </w:rPr>
          <w:t>direktiivis (EU) 2015/1535</w:t>
        </w:r>
      </w:hyperlink>
      <w:r>
        <w:t xml:space="preserve"> (millega nähakse ette tehnilistest eeskirjadest ning infoühiskonna teenuste eeskirjadest teatamise kord) sätestatud teatamise korda (kodifitseeritud tekst) (ELT L 241, 17.</w:t>
      </w:r>
      <w:r>
        <w:rPr>
          <w:rFonts w:ascii="Arial" w:hAnsi="Arial"/>
          <w:sz w:val="21"/>
        </w:rPr>
        <w:t xml:space="preserve"> 9. 2015, lk 1).“</w:t>
      </w:r>
    </w:p>
    <w:p w14:paraId="422EBA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Neid eeskirju ei kohaldata toodete suhtes, mis on seaduslikult toodetud või turustatud teistes Euroopa Liidu liikmesriikides ja Türgis või toodetud Euroopa Vabakaubanduse Assotsiatsiooni (EFTA) riikides, mis on samuti Euroopa Majanduspiirkonna lepingule alla kirjutanud, kooskõlas siseriiklike õigusaktidega, mis tagavad avaliku huvi samaväärse kaitse, nagu on kindlaks määratud Sloveenia Vabariigi õigusaktides.</w:t>
      </w:r>
    </w:p>
    <w:p w14:paraId="15AD7C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w:t>
      </w:r>
      <w:r>
        <w:t xml:space="preserve">Eeskirju rakendatakse kooskõlas Euroopa Parlamendi ja nõukogu 19. märtsi 2019. aasta </w:t>
      </w:r>
      <w:hyperlink r:id="rId5" w:tgtFrame="_blank" w:tooltip="to EUR-Lex" w:history="1">
        <w:r>
          <w:rPr>
            <w:rFonts w:ascii="Arial" w:hAnsi="Arial"/>
            <w:color w:val="0000EE"/>
            <w:sz w:val="21"/>
            <w:u w:val="single" w:color="0000EE"/>
          </w:rPr>
          <w:t>määrusega (EU) 2019/515</w:t>
        </w:r>
      </w:hyperlink>
      <w:r>
        <w:t xml:space="preserve">, mis käsitleb teises liikmesriigis seaduslikult turustatavate kaupade vastastikust tunnustamist ja millega tunnistatakse kehtetuks </w:t>
      </w:r>
      <w:hyperlink r:id="rId6" w:tgtFrame="_blank" w:tooltip="to EUR-Lex" w:history="1">
        <w:r>
          <w:rPr>
            <w:rFonts w:ascii="Arial" w:hAnsi="Arial"/>
            <w:color w:val="0000EE"/>
            <w:sz w:val="21"/>
            <w:u w:val="single" w:color="0000EE"/>
          </w:rPr>
          <w:t>määrus (EÜ) nr 764/2008</w:t>
        </w:r>
      </w:hyperlink>
      <w:r>
        <w:t xml:space="preserve"> (ELT L 91, 29.</w:t>
      </w:r>
      <w:r>
        <w:rPr>
          <w:rFonts w:ascii="Arial" w:hAnsi="Arial"/>
          <w:sz w:val="21"/>
        </w:rPr>
        <w:t xml:space="preserve"> 3. 2019, lk 1).</w:t>
      </w:r>
    </w:p>
    <w:p w14:paraId="3B7FD04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3</w:t>
      </w:r>
    </w:p>
    <w:p w14:paraId="31655E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Artiklit 2 muudetakse järgmiselt.</w:t>
      </w:r>
    </w:p>
    <w:p w14:paraId="18F0BF5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w:t>
      </w:r>
    </w:p>
    <w:p w14:paraId="66EA6E4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Nendes eeskirjades kasutatud mõistetel on järgmised tähendused.</w:t>
      </w:r>
    </w:p>
    <w:p w14:paraId="4A94D68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 kiirusemõõteseade – vahend sõidukite kiiruse mõõtmiseks maanteeliikluses;</w:t>
      </w:r>
    </w:p>
    <w:p w14:paraId="4AF60EB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 radarkiirusmõõteseadmed – kiirusemõõteseadmed, mis kasutavad oma töös RADAR-põhimõtet ja Doppleri efekti;</w:t>
      </w:r>
    </w:p>
    <w:p w14:paraId="5C9F8C5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 radar – vahemaa või asukoha tuvastamine ja mõõtmine raadiosignaalide abil;</w:t>
      </w:r>
    </w:p>
    <w:p w14:paraId="6FD8148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 Doppleri efekt – füüsikaline nähtus, mille puhul lainepikkuse muutus on võrdeline laineallika kiirusega vaatleja suhtes;</w:t>
      </w:r>
    </w:p>
    <w:p w14:paraId="4F99B72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5. laserkiirusmõõteseadmed – kiirusmõõteseadmed, mis kasutavad oma tööks lasersignaali edastamist ja vastuvõtmist vastavalt LIDARi põhimõttele;</w:t>
      </w:r>
    </w:p>
    <w:p w14:paraId="5714EB5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6. LIDAR – kauguse mõõtmine valgusvihu abil;</w:t>
      </w:r>
    </w:p>
    <w:p w14:paraId="5894AEE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7. vahemaa/aja mõõtmise seadmed – kiirusemõõtmisseadmed sõiduki kiiruse mõõtmiseks sõiduki mõõdetud liikumisaja põhjal marsruudil, mille pikkus on mõõdetud;</w:t>
      </w:r>
    </w:p>
    <w:p w14:paraId="5B06FFB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8. tuvastuskiiruse mõõteseadmed – kauguse/aja mõõtmise seadmete alamtüüp, mis mõõdab sõiduki kiirust lühikesel vahemaal, mõõtes vähemalt kolme järjestikuse sõiduki asendi vahelist liikumisaega, kus sõiduki asukohaandurid on seotud sama ajaallikaga ning detektorite vahelised kaugused on teada;</w:t>
      </w:r>
    </w:p>
    <w:p w14:paraId="368D6FA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9. ristlõike kiiruse mõõtmise seadmed – kauguse/aja mõõtjate alamtüüp, mis mõõdavad keskmist kiirust pikemal vahemaal, mõõtes sõiduaega ja tehes kindlaks sõiduki teadaoleva pikkusega mõõtelõigu algus- ja lõpp-punktides;</w:t>
      </w:r>
    </w:p>
    <w:p w14:paraId="6B01B89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10. jägimispõhised kiirusemõõteseadmed – mõõdetud sõidukile järgnevale mõõtesõidukile paigaldatud vahemaa/aja mõõteseadmete alatüüp, mis mõõdab mõõdetava sõiduki keskmist kiirust, võttes aluseks läbitud lõigu või marsruudi läbitud teepikkuse ja mõõdetava sõiduki sõiduaja;</w:t>
      </w:r>
    </w:p>
    <w:p w14:paraId="3C12EE37"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11. mõõtesõiduk – sõiduk, millele on paigaldatud kiirusmõõtmisseade, mis võimaldab mõõta oma kiirust ja mõõdetava sõiduki kiirust liikuvast punktist mõõtmise teel;</w:t>
      </w:r>
    </w:p>
    <w:p w14:paraId="3D4995E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12. mõõdetav sõiduk – sõiduk, mille kiirust mõõdetakse kiirusmõõteseadmega;</w:t>
      </w:r>
    </w:p>
    <w:p w14:paraId="4B08F4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13. kasutaja – isik, kes käsitseb kiirusmõõteseadet ja teeb kiirusmõõtmisi;</w:t>
      </w:r>
    </w:p>
    <w:p w14:paraId="31AB9CF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14. automaatsed kiirusemõõteseadmed – kiirusmõõteseadmed, mis sooritavad mõõtmise automaatselt ilma kasutaja sekkumiseta;</w:t>
      </w:r>
    </w:p>
    <w:p w14:paraId="1FB0E69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15. mitteautomaatne kiirusemõõteseade – kiirusmõõteseade, mis teeb mõõtmisi kasutaja juhtimisel;</w:t>
      </w:r>
    </w:p>
    <w:p w14:paraId="608B70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16. mõõtmine paigalseisupunktist – kiirusemõõteseade mõõdab mõõdetud sõiduki kiirust punktist, mis ei liigu;</w:t>
      </w:r>
    </w:p>
    <w:p w14:paraId="607AB25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17. mõõtmine liikuvast punktist – kiirusemõõteseade mõõdab mõõdetud sõiduki kiirust liikuvast punktist;</w:t>
      </w:r>
    </w:p>
    <w:p w14:paraId="5E17926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18. lubatud piirviga (edaspidi: MPE) – mõõtevea äärmuslik väärtus, mis on lubatud spetsifikatsioonide või eeskirjadega vastavalt konkreetse mõõtmise, mõõtmise või mõõtesüsteemi teadaolevale kontrollväärtusele;</w:t>
      </w:r>
    </w:p>
    <w:p w14:paraId="4959915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19. mõjutav kogus – kogus, mis ei ole mõõdetud kogus, kuid mis mõjutab mõõtmistulemust;</w:t>
      </w:r>
    </w:p>
    <w:p w14:paraId="0C2917A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20. nimitöötingimused – töötingimused, mis peavad olema mõõtmise ajal täidetud, et kiirusemõõteseade toimiks ettenähtud viisil;</w:t>
      </w:r>
    </w:p>
    <w:p w14:paraId="1F7D879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21. hälve – mõjutav kogus, mille väärtus jääb asjakohases nõudes kindlaksmääratud piiridesse, kuid jääb väljapoole meetme kindlaksmääratud arvestuslikke töötingimusi; mõjutav kogus on häire, kui selle mõjutava koguse nimitöötingimusi ei ole kindlaks määratud;</w:t>
      </w:r>
    </w:p>
    <w:p w14:paraId="2DC658A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22. välikatse – menetlus, mille käigus katsetatakse kiirusmõõteseadet teadaoleva kiirusega sõidukite kiiruse mõõtmise alusel realistlikes kasutustingimustes;</w:t>
      </w:r>
    </w:p>
    <w:p w14:paraId="2D4316F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23. simulatsioon – protsess, mille käigus mõõdetava sõiduki juhtimine asendatakse muu füüsilise nähtusega, mis võib kajastada sõiduki sõidukiirust, sõidusuunda, sõiduki läbitud vahemaad või sõiduki sõiduaega;</w:t>
      </w:r>
    </w:p>
    <w:p w14:paraId="01D4F2F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24. laboratoorne katse – menetlus, mille käigus katsetatakse kiirusmõõteseadet simulatsiooni alusel;</w:t>
      </w:r>
    </w:p>
    <w:p w14:paraId="6179195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25. omakiirus – mõõtesõiduki kiirus liikuvast punktist kiiruse mõõtmisel;</w:t>
      </w:r>
    </w:p>
    <w:p w14:paraId="7DCECA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26. mõõtetelg – nähtav joon, mille suunas kiiruse mõõtmise seade mõõdab mõõdetud sõiduki kiirust;</w:t>
      </w:r>
    </w:p>
    <w:p w14:paraId="01376BB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27. sõiduki sõidusuund – nähtav sirgjoon, mida mööda mõõdetavat sõidukit juhitakse;</w:t>
      </w:r>
    </w:p>
    <w:p w14:paraId="462C42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28. koosinusnähtus – füüsiline nähtus, mis esineb siis, kui kiirusmõõteseadme mõõtetelg nihkub mõõdetud sõiduki liikumissuunast tasapinnal või ruumis teatava nurga all;</w:t>
      </w:r>
    </w:p>
    <w:p w14:paraId="2AFBDA4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29. kandesagedus – üks või mitu sagedust, mille juures radari kiirusmõõtur edastab;</w:t>
      </w:r>
    </w:p>
    <w:p w14:paraId="1AF1ED4D"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30. asukohaandur – andur või seade, mis määrab kindlaks, kas mõõdetud sõiduk on läbinud valitud punkti;</w:t>
      </w:r>
    </w:p>
    <w:p w14:paraId="4E2961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31. sisenemispunkt – ala, kus mõõdetud sõiduk siseneb mõõtesektsiooni;</w:t>
      </w:r>
    </w:p>
    <w:p w14:paraId="247E79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32. väljumispunkt – ala, kus mõõdetud sõiduk väljub mõõtesektsioonist;</w:t>
      </w:r>
    </w:p>
    <w:p w14:paraId="22F810A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33. mõõdetud lõigu pikkus – pikkus, mis vastab kõige lühemale nähtavale kõverale sisenemis- ja väljumispunktide vahel ning kulgeb piki teelõiku, mis on mõlemalt poolt piiratud teemärgistuse või sõidutee servaga;</w:t>
      </w:r>
    </w:p>
    <w:p w14:paraId="21A340A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34. liikumisandur – sõiduki osa, mis võimaldab mõõta sõiduki omakiirust;</w:t>
      </w:r>
    </w:p>
    <w:p w14:paraId="0EF39DF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35. kahe liikluses mõõdetud sõiduki vaheline ajaline erinevus – aeg mõõdetud kiirusel, mida teine mõõdetud sõiduk sõidab esimese mõõdetud sõiduki taga, et jõuda punktini, kus mõõdetakse esimese mõõdetud sõiduki kiirust;</w:t>
      </w:r>
    </w:p>
    <w:p w14:paraId="33008E2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36. ohutuserinevus – kiiruse numbriline väärtus, mida võetakse igal mõõtmisel mõõdetava sõiduki suhtes arvesse;</w:t>
      </w:r>
    </w:p>
    <w:p w14:paraId="375B7F6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37. laiendatud mõõtemääramatus – kombineeritud standardse mõõtemääramatuse korrutis teguriga, mis on suurem kui 1;</w:t>
      </w:r>
    </w:p>
    <w:p w14:paraId="4C33ACE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38. „– „mõõdik“ tähendab pöörlemissageduse mõõtmise seadme osa, mis võimaldab kiirusmõõteseadme mõõtetelje joondada mõõdetava sõidukiga ning see peab peegeldama mõõtekiire lubatud asendit ja paisumist;</w:t>
      </w:r>
    </w:p>
    <w:p w14:paraId="757DA20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39. – „üksiksõiduki kiirusmõõteseade“ tähendab kiirusmõõteseadet, mis oma töörežiimi alusel saab samaaegselt mõõta ja dokumenteerida ainult ühe sõiduki kiirust;</w:t>
      </w:r>
    </w:p>
    <w:p w14:paraId="6FBE3E5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40. – „mitme sõiduki kiirusmõõteseade“ tähendab kiirusmõõteseadet, mis oma töörežiimi alusel suudab samaaegselt jälgida, mõõta ja dokumenteerida mitme sõiduki kiirust.“</w:t>
      </w:r>
    </w:p>
    <w:p w14:paraId="706A47E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4</w:t>
      </w:r>
    </w:p>
    <w:p w14:paraId="3854461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 18 kolmandas lõigus lisatakse pärast sõna „kiirus“ sõnad „või pärast sõiduki liikumist vähemalt 10 meetri võrra.“</w:t>
      </w:r>
    </w:p>
    <w:p w14:paraId="1412125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5</w:t>
      </w:r>
    </w:p>
    <w:p w14:paraId="145549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Artiklit 19 muudetakse järgmiselt.</w:t>
      </w:r>
    </w:p>
    <w:p w14:paraId="26FB178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19</w:t>
      </w:r>
    </w:p>
    <w:p w14:paraId="09C35D0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(täiendavad nõuded mõõtmiste dokumenteerimiseks, mis mõõdavad liikuvast punktist, välja arvatud jälgimispõhised mõõteseadmed)</w:t>
      </w:r>
    </w:p>
    <w:p w14:paraId="26D4C97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„Kiirusmõõteseadmega liikuvast punktist mõõdetud kiiruse dokumenteeritud mõõtmine, välja arvatud kiirusmõõteseadmete puhul vastavalt jälgimise põhimõttele, peab lisaks käesoleva eeskirja artikli 17 nõuete täitmisele hõlmama ka mõõtesõiduki kiirust mõõtmise ajal.“</w:t>
      </w:r>
    </w:p>
    <w:p w14:paraId="4C41674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6</w:t>
      </w:r>
    </w:p>
    <w:p w14:paraId="04238CC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Artiklit 26 muudetakse järgmiselt.</w:t>
      </w:r>
    </w:p>
    <w:p w14:paraId="62DC3F1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26</w:t>
      </w:r>
    </w:p>
    <w:p w14:paraId="366CB0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(nõuded katseliidesele)</w:t>
      </w:r>
    </w:p>
    <w:p w14:paraId="02AD3E2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Kiirusmõõteseadmed peavad olema varustatud katseliidesega, mis võimaldab kiirusmõõteseadet kasutada ning saada vastavushindamiseks, vastavustõendamiseks ja metroloogiliseks kontrolliks vajalikke andmeid või signaale.</w:t>
      </w:r>
    </w:p>
    <w:p w14:paraId="4B36FE9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Katseliides peab võimaldama juurdepääsu saamist vähemalt järgmistele andmetele:</w:t>
      </w:r>
    </w:p>
    <w:p w14:paraId="17D0DFB1"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mõõdetud kiirus;</w:t>
      </w:r>
    </w:p>
    <w:p w14:paraId="432239B4"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mõõdetud sõiduki kaugus või asukoht (kiirusmõõteseadmetega, mille puhul mõõtmise põhimõte seda võimaldab);</w:t>
      </w:r>
    </w:p>
    <w:p w14:paraId="130C9545"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sõiduki enda mõõdetud kiirused (kiirusmõõteseadmetega, mis mõõdavad liikuvast punktist);</w:t>
      </w:r>
    </w:p>
    <w:p w14:paraId="64C73A9A"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kiirusmõõteseadme ja selle osade kordumatu identifitseerimine;</w:t>
      </w:r>
    </w:p>
    <w:p w14:paraId="4A200B2C"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kiirusmõõteseadme tarkvara identifitseerimisandmed ja selle kontrollsumma; ning</w:t>
      </w:r>
    </w:p>
    <w:p w14:paraId="4A598009"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enesekontrolli tulemus.</w:t>
      </w:r>
    </w:p>
    <w:p w14:paraId="6691A61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Katseliides peab olema kaitstud volitamata juurdepääsu eest.“</w:t>
      </w:r>
    </w:p>
    <w:p w14:paraId="7C9CE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7</w:t>
      </w:r>
    </w:p>
    <w:p w14:paraId="297DE0E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Artiklit 29 muudetakse järgmiselt.</w:t>
      </w:r>
    </w:p>
    <w:p w14:paraId="5D2917F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29</w:t>
      </w:r>
    </w:p>
    <w:p w14:paraId="0C884A3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(täiendavad nõuded radarkiirusmõõdikutele, mis mõõdavad üksiksõidukit)</w:t>
      </w:r>
    </w:p>
    <w:p w14:paraId="6394461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Üksiksõidukikiiruse mõõtmise radarseadme individuaalne kandja sagedus ei tohi erineda tootja määratud nimiväärtusest rohkem kui ±0,15%. </w:t>
      </w:r>
    </w:p>
    <w:p w14:paraId="4A51FB4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Üksiksõiduki kiiruse mõõtmise radarseadme laius ei tohi ületada tootja määratud valgusvihu laiust.</w:t>
      </w:r>
    </w:p>
    <w:p w14:paraId="4622D17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Kiiruse mõõtmise radarseadme antenni keskjoon ei tohi antenni keskjoonest kõrvale kalduda rohkem kui ±1°.“</w:t>
      </w:r>
    </w:p>
    <w:p w14:paraId="40CA1B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8</w:t>
      </w:r>
    </w:p>
    <w:p w14:paraId="247F2EC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 29 järele lisatakse uus artikkel 29.a järgmises sõnastuses:</w:t>
      </w:r>
    </w:p>
    <w:p w14:paraId="3E32832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29.a</w:t>
      </w:r>
    </w:p>
    <w:p w14:paraId="32DF2AF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(täiendavad nõuded mitme sõiduki kiiruse mõõtmise radarseadmetele)</w:t>
      </w:r>
    </w:p>
    <w:p w14:paraId="36811D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Mitme sõiduki kiiruse mõõtmise radarseadmed peavad labori- ja välikatsetel näitama mõõdetava sõiduki asukohta ja kaugust kiirusmõõteseadmest.“</w:t>
      </w:r>
    </w:p>
    <w:p w14:paraId="124FDFB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9</w:t>
      </w:r>
    </w:p>
    <w:p w14:paraId="1D451C2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Artiklit 30 muudetakse järgmiselt.</w:t>
      </w:r>
    </w:p>
    <w:p w14:paraId="7F57083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30</w:t>
      </w:r>
    </w:p>
    <w:p w14:paraId="48E341A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(täiendavad nõuded kiiruse mõõtmise laserseadmetele, millega mõõdetakse üksiksõidukit)</w:t>
      </w:r>
    </w:p>
    <w:p w14:paraId="515B9B6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Üksiksõiduki kiiruse mõõtmise laserseadme laserimpulsside sagedus ei tohi erineda tootja määratud nimiväärtusest rohkem kui ±1%. </w:t>
      </w:r>
    </w:p>
    <w:p w14:paraId="4266C8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Üksiksõiduki kiiruse mõõtmise laserseade peab näitama mõõdetud sõiduki kaugust vahekaugusega kuni 0,1 m. Mõõdetava sõiduki mõõdetud kaugus ei tohi erineda tegelikust väärtusest rohkem kui ±0,2 m kaugusel kuni 50 meetrit või 0,4 % rohkem kui 50 m pika vahemaa korral.</w:t>
      </w:r>
    </w:p>
    <w:p w14:paraId="7C2280B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Üksiksõiduki kiiruse mõõtmise laserseadmega on mõõdetud sõiduki suurim lubatud vahemaa 1000 m. </w:t>
      </w:r>
    </w:p>
    <w:p w14:paraId="52B0C4E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Üksiksõiduki horisontaal- ja vertikaalsuunas mõõdetud kiiruse mõõtmise laserseadme mõõtekiire suurim lubatud ruuminurk peab olema 3 mrad. </w:t>
      </w:r>
    </w:p>
    <w:p w14:paraId="627E6BE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(5) Üksiksõiduki kiiruse mõõtmise laserseadme kuju peab selgelt näitama piirväärtust 3 mrad. </w:t>
      </w:r>
    </w:p>
    <w:p w14:paraId="26FEF15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(6) Üksiksõiduki kiiruse mõõtmise laserseadme gabariit peab olema palja silmaga selgelt nähtav ning varustatud mõõteseadmetega mõõturi ja mõõtekiire reguleerimise kontrollimiseks. </w:t>
      </w:r>
    </w:p>
    <w:p w14:paraId="1D7D37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(7) Üksiksõiduki kiiruse mõõtmise laserseade peab paiknema täielikult gabariidi piirides. </w:t>
      </w:r>
    </w:p>
    <w:p w14:paraId="67C139A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(8) Üksiksõiduki kiiruse mõõtmise laserseadmed peavad olema varustatud vähemalt kahe gabariidi vaatevälja suurendusega, et mõõta mõõdetud sõiduki kiirust 300–600 m kaugusel ja mõõtmisel rohkem kui 600 m kaugusel peab suurendus olema vähemalt kolm korda suurem kui mõõteriista vaateväli.  Suurenduse saab integreerida kiirusmõõteseadmesse või kasutada seda eraldi lisaseadmena, mida saab kiirusmõõteseadmele kinnitada või sellest eraldada. Eraldi lisaseadme korral peab sellel olema sama seerianumber kui kiirusmõõteseadmel.</w:t>
      </w:r>
    </w:p>
    <w:p w14:paraId="7ACCCFB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(9) Üksiksõiduki kiiruse mõõtmise laserseade peab võimaldama kiiruse mõõtmise katset 0 km/h fikseeritud sihtmärgiga.“ </w:t>
      </w:r>
    </w:p>
    <w:p w14:paraId="1E48C35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10</w:t>
      </w:r>
    </w:p>
    <w:p w14:paraId="6879EAB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Artikli 30 järele lisatakse uus artikkel 30.a järgmises sõnastuses:</w:t>
      </w:r>
    </w:p>
    <w:p w14:paraId="282F5F9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30.a</w:t>
      </w:r>
    </w:p>
    <w:p w14:paraId="3C72817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(lisanõuded mitme sõiduki kiiruse mõõtmise laserseadmetele)</w:t>
      </w:r>
    </w:p>
    <w:p w14:paraId="0FDD7DC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Mitme sõiduki kiiruse mõõtmise laserseadmed peavad laboris ja välikatsetes näitama mõõdetava sõiduki asukohta ja kaugust kiirusmõõteseadmest.“</w:t>
      </w:r>
    </w:p>
    <w:p w14:paraId="3F2E58E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11</w:t>
      </w:r>
    </w:p>
    <w:p w14:paraId="7015CFE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 32 kolmandast lõikest jäetakse välja tekst „ja peab olema identifitseerimispiirkonna pikkusest vähemalt 200 korda pikem“.</w:t>
      </w:r>
    </w:p>
    <w:p w14:paraId="0FD5313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Lõiget 5 muudetakse ja see sõnastatakse järgmiselt.</w:t>
      </w:r>
    </w:p>
    <w:p w14:paraId="00CE37F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Mõõtelõigu algus ja lõpp märgistatakse valgustpeegeldava ribaga kogu tee ulatuses ja piki teepinda mõõtekiilude abil. Helkurlint peab olema nähtav dokumenteeritud mõõtmisel koos mõõdetava sõidukiga.“</w:t>
      </w:r>
    </w:p>
    <w:p w14:paraId="0246CE6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12</w:t>
      </w:r>
    </w:p>
    <w:p w14:paraId="716962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 37 järele lisatakse uus artikkel 37.a järgmises sõnastuses:</w:t>
      </w:r>
    </w:p>
    <w:p w14:paraId="72F0904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37.a</w:t>
      </w:r>
    </w:p>
    <w:p w14:paraId="11DB94F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(täiendavad koodid)</w:t>
      </w:r>
    </w:p>
    <w:p w14:paraId="2FEF735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Sloveenia Vabariigi metroloogiainstituut võib kinnitada kiirusmõõteseadmetele täiendavaid identifitseerimismärke nende identifitseerimiseks kontrollimenetluses.</w:t>
      </w:r>
    </w:p>
    <w:p w14:paraId="1029C59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Kiirusmõõteseadmete hoidikud ei tohi eemaldada eelmises lõigus osutatud märgistust.“</w:t>
      </w:r>
    </w:p>
    <w:p w14:paraId="2D8E605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13</w:t>
      </w:r>
    </w:p>
    <w:p w14:paraId="4A13AB3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 39 järele lisatakse uus artikkel 39.a järgmises sõnastuses:</w:t>
      </w:r>
    </w:p>
    <w:p w14:paraId="6F9B8E1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„Artikkel 39.a</w:t>
      </w:r>
    </w:p>
    <w:p w14:paraId="3DA68B3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(spetsiifilised mõõteseadmed ja juurdepääs kriteeriumile)</w:t>
      </w:r>
    </w:p>
    <w:p w14:paraId="393720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Kui on vaja kasutada spetsiaalset riistvara, tarkvara, ühenduskaableid või liideseid, mis ei ole turul vabalt kättesaadavad või mis on intellektuaalomandi õigusega kaitstud, on tootja kohustatud need seadmed tarnima ja jätma need Sloveenia Vabariigi metroloogiainstituudile tasuta kasutamiseks.</w:t>
      </w:r>
    </w:p>
    <w:p w14:paraId="12D894D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Eelmises lõigus nimetatud protseduuride käigus peab tootja tagama Sloveenia Vabariigi metroloogiainstituudile kõrgeima taseme kasutaja juurdepääsu tarkvarale, mis tootjal on, ning vaba juurdepääsu kiirusemõõteseadme riistvarale.“</w:t>
      </w:r>
    </w:p>
    <w:p w14:paraId="19D1CEF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14</w:t>
      </w:r>
    </w:p>
    <w:p w14:paraId="20FCFC8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Artiklis 42 lisatakse lõikes 1 nimetatud artikli sõnade järele uus lõige 2, mis on sõnastatud järgmiselt:</w:t>
      </w:r>
    </w:p>
    <w:p w14:paraId="247055A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Kui tekib kahtlus kiirusmõõteseadme vastavuses käesoleva eeskirja nõuetele, võib teha muid uuringuid ja katseid, et kinnitada vastavust esimeses lõikes sätestatud nõuetele.“</w:t>
      </w:r>
    </w:p>
    <w:p w14:paraId="0492D19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15</w:t>
      </w:r>
    </w:p>
    <w:p w14:paraId="0F806E1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 44 sõnastust muudetakse järgmiselt:</w:t>
      </w:r>
    </w:p>
    <w:p w14:paraId="4D0C647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44</w:t>
      </w:r>
    </w:p>
    <w:p w14:paraId="6F75EEB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(radarite kiirusmõõteseadmete erikatsed)</w:t>
      </w:r>
    </w:p>
    <w:p w14:paraId="1A54782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Radari kiirusemõõteseadmete puhul tehakse mõõtetäpsuse test vastavalt käesoleva eeskirja artiklis 5 nimetatud nõuetele välikatsega vähemalt kolmes mõõtepunktis või vastavalt käesoleva eeskirja artiklis 6 nimetatud nõuetele laboratoorsete katsetega vähemalt kümnes mõõtmispunktis.</w:t>
      </w:r>
    </w:p>
    <w:p w14:paraId="3592C3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Kiiruse mõõtmise radarseadme täpsuse katsetamisel kontrollitakse samaaegselt edastavate ja vastuvõtvate antennide toimivust.</w:t>
      </w:r>
    </w:p>
    <w:p w14:paraId="5A5EAEE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Kontrollitakse üksiksõiduki kiiruse mõõtmise radarseadme vastavust käesolevate eeskirjade artikli 7 nõuetele.</w:t>
      </w:r>
    </w:p>
    <w:p w14:paraId="7D68395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Üksiksõiduki kiiruse mõõtmise radarseadmete puhul kontrollitakse mõõtekiirte laiust järgmistel tingimustel: </w:t>
      </w:r>
    </w:p>
    <w:p w14:paraId="226BC61F"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lastRenderedPageBreak/>
        <w:t>sumbumisel –3 dB võrreldes edastatava signaali maksimaalse võimsuse väärtusega; ning</w:t>
      </w:r>
    </w:p>
    <w:p w14:paraId="1B9C6A1B"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võttes aluseks ülevaate antennikiire üldisest skeemist, mis on võetud suhtega –45° kuni +45°, kus mõõtekiire ülejäänud piigid summutatakse põhisignaali suhtes vähemalt –15 dB võrra.</w:t>
      </w:r>
    </w:p>
    <w:p w14:paraId="5A9F55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Mitme sõiduki kiiruse mõõtmise radarseadmete puhul kontrollitakse samaaegselt käesoleva eeskirja artiklis 29.a osutatud sõiduki asukoha õigsust.“</w:t>
      </w:r>
    </w:p>
    <w:p w14:paraId="2D97DCA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16</w:t>
      </w:r>
    </w:p>
    <w:p w14:paraId="35F9250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Artiklit 45 muudetakse järgmiselt.</w:t>
      </w:r>
    </w:p>
    <w:p w14:paraId="320D302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45</w:t>
      </w:r>
    </w:p>
    <w:p w14:paraId="3EFD99D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(laserkiirusmõõtmisseadmete erikatsed)</w:t>
      </w:r>
    </w:p>
    <w:p w14:paraId="2202C99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Laserkiirusemõõteseadmete puhul tehakse mõõtetäpsuse test vastavalt käesoleva eeskirja artiklis 5 nimetatud nõuetele välikatsega vähemalt kolmes mõõtepunktis või vastavalt käesoleva eeskirja artiklis 6 nimetatud nõuetele laboratoorsete katsetega vähemalt kümnes mõõtmispunktis.</w:t>
      </w:r>
    </w:p>
    <w:p w14:paraId="5FFD21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Kontrollitakse üksiksõiduki kiiruse mõõtmise laserseadmete vastavust nende eeskirjade artikli 30 esimesele, teisele, neljandale ja seitsmendale lõikele.</w:t>
      </w:r>
    </w:p>
    <w:p w14:paraId="0CFF69D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Mitme sõiduki kiiruse mõõtmise laserseadmete puhul kontrollitakse samaaegselt eeskirja artiklis 30.a nimetatud sõiduki positsioneerimise õigsust.“</w:t>
      </w:r>
    </w:p>
    <w:p w14:paraId="3D8D175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17</w:t>
      </w:r>
    </w:p>
    <w:p w14:paraId="68C5D04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 46 esimene lõige sõnastatakse järgmiselt.</w:t>
      </w:r>
    </w:p>
    <w:p w14:paraId="07D3316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Kiirusmõõteseadmete puhul on vaja teostada mõõtmistäpsuse katse vastavalt käesolevate eeskirjade artikli 6 nõuetele laborikatsetega vähemalt kümnes mõõtepunktis või vastavalt käesolevate eeskirjade artikli 5 nõuetele, tehes välikatseid kolmes mõõtepunktis täielikult integreeritud kiirusetuvastusseadme katsega sõiduki juhtimisega. Välikatsed tuleb edukalt läbi viia kolmes mõõtmispunktis ja seda võib läbi viia maksimaalselt viie katsega, millest kolm mõõtmist on edukad. Kui katsetamine pärast viit katset ei õnnestu, lõpetatakse katse mõõtja ebapiisava paigaldamise tõttu.“</w:t>
      </w:r>
    </w:p>
    <w:p w14:paraId="4C1BAD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Lõike 1 järele lisatakse uus lõige 2 järgmises sõnastuses.</w:t>
      </w:r>
    </w:p>
    <w:p w14:paraId="5CE02E6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Teepinnale paigaldatud asendianduritega tuvastuskiiruse mõõteseadmeid katsetatakse välitingimustes.“</w:t>
      </w:r>
    </w:p>
    <w:p w14:paraId="1F614BD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Olemasolev lõige 2 muutub lõikeks 3.</w:t>
      </w:r>
    </w:p>
    <w:p w14:paraId="72A714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Artikkel 18</w:t>
      </w:r>
    </w:p>
    <w:p w14:paraId="0EC96DF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 47 esimene lõige sõnastatakse järgmiselt.</w:t>
      </w:r>
    </w:p>
    <w:p w14:paraId="608BF73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Teelõigu kiirusmõõteseadmete puhul tehakse mõõtmistäpsuse katse vastavalt nende eeskirjade artikli 5 nõuetele, teostades välikatseid kolmes mõõtepunktis täielikult integreeritud teelõigu kiirusmõõteseadme katsetamisega sõiduki juhtimise teel. Välikatsed tuleb edukalt läbi viia kolmes mõõtmispunktis ja seda võib läbi viia maksimaalselt viie katsega, millest kolm mõõtmist on edukad. Kui katsetamine pärast viit katset ei õnnestu, lõpetatakse katse mõõtja ebapiisava paigaldamise tõttu.“</w:t>
      </w:r>
    </w:p>
    <w:p w14:paraId="7496EC9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19</w:t>
      </w:r>
    </w:p>
    <w:p w14:paraId="5CFE416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 48 sõnastust muudetakse järgmiselt:</w:t>
      </w:r>
    </w:p>
    <w:p w14:paraId="211F03D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48</w:t>
      </w:r>
    </w:p>
    <w:p w14:paraId="3DE28A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(jälgimispõhiste kiirusmõõteseadmete erikatsed)</w:t>
      </w:r>
    </w:p>
    <w:p w14:paraId="36E70F1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Jälgimispõhiste kiirusmõõteseadmetega katsetatakse mõõtmistäpsust vastavalt käesolevate eeskirjade artikli 6 nõuetele laborikatsetega vähemalt 10 omakiirusega või vastavalt käesoleva määruse artikli 5 nõuetele, katsetades välitingimustes minimaalselt ühel kiirusel, mis põhineb mõõtesõiduki püsikiirusel, ilma mõõtesõiduki alg- ja lõpppeatamiseta.“</w:t>
      </w:r>
    </w:p>
    <w:p w14:paraId="593B862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20</w:t>
      </w:r>
    </w:p>
    <w:p w14:paraId="5B957B7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Artiklit 49 muudetakse järgmiselt.</w:t>
      </w:r>
    </w:p>
    <w:p w14:paraId="10AEC8D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49</w:t>
      </w:r>
    </w:p>
    <w:p w14:paraId="1C5BD1E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(erikatsed kiirusmõõteseadmetele, mis mõõdavad liikuvast punktist, välja arvatud jälgimispõhised mõõteseadmed)</w:t>
      </w:r>
    </w:p>
    <w:p w14:paraId="0991213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Kiirusmõõteseadmete puhul, mis mõõdavad kiirust liikuvast punktist, välja arvatud jälgimispõhised kiirusmõõteseadmed, tehakse katseid, mis käsitlevad mõõdetava sõiduki mõõdetud kiiruse mõõtmistäpsust ja sõiduki enda kiirust vastavalt käesoleva eeskirja artikli 6 nõuetele, laborikatsetega kümnes mõõtepunktis või vastavalt käesoleva määruse artikli 5 nõuetele, kusjuures välikatseid tehakse vähemalt kolme punktiga.“</w:t>
      </w:r>
    </w:p>
    <w:p w14:paraId="1FB392E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Artikkel 21</w:t>
      </w:r>
    </w:p>
    <w:p w14:paraId="47172E3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Artiklis 55 asendatakse sõnad „ja mitte mõõta kaugust sõidukist või sõiduki liikumisnurka kiirusmõõteseadme suhtes“ sõnadega „koos teisendamisega üheks valitud nurgaks“.</w:t>
      </w:r>
    </w:p>
    <w:p w14:paraId="5F54B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22</w:t>
      </w:r>
    </w:p>
    <w:p w14:paraId="4F24741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Artikkel 57 kustutakse.</w:t>
      </w:r>
    </w:p>
    <w:p w14:paraId="4487024E" w14:textId="77777777" w:rsidR="00221B1A" w:rsidRDefault="00E123F5">
      <w:pPr>
        <w:pStyle w:val="center"/>
        <w:pBdr>
          <w:top w:val="none" w:sz="0" w:space="24" w:color="auto"/>
        </w:pBdr>
        <w:spacing w:before="210" w:after="210"/>
        <w:rPr>
          <w:rFonts w:ascii="Arial" w:eastAsia="Arial" w:hAnsi="Arial" w:cs="Arial"/>
          <w:caps/>
          <w:sz w:val="21"/>
          <w:szCs w:val="21"/>
        </w:rPr>
      </w:pPr>
      <w:r>
        <w:rPr>
          <w:rFonts w:ascii="Arial" w:hAnsi="Arial"/>
          <w:caps/>
          <w:sz w:val="21"/>
        </w:rPr>
        <w:t>ÜLEMINEKU- JA LÕPPSÄTTED</w:t>
      </w:r>
    </w:p>
    <w:p w14:paraId="0A7043A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23</w:t>
      </w:r>
    </w:p>
    <w:p w14:paraId="0FE024E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(turuletoomine ja esmataatlus)</w:t>
      </w:r>
    </w:p>
    <w:p w14:paraId="24F567F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Kiirusmõõteseadmed, millel on käesoleva eeskirja jõustumise kuupäeval kehtiv tüübikinnitus maanteeliikluse kiirusmõõteseadmete metroloogilisi nõudeid käsitlevate eeskirjade (Sloveenia Vabariigi ametlik väljaanne [Uradni List RS] nr 25/02 ja 90/05) või kiirusmõõteseadmete metroloogilisi nõudeid käsitlevate eeskirjade (Sloveenia Vabariigi ametlik väljaanne [Uradni List RS] Nr 91/15) alusel võib turule tuua käesolevate eeskirjade alusel kuni tüübikinnituse kehtivusaja lõpuni, tingimusel et need vastavad käesolevate eeskirjade esmataatlusega seotud nõuetele.</w:t>
      </w:r>
    </w:p>
    <w:p w14:paraId="75A2870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24</w:t>
      </w:r>
    </w:p>
    <w:p w14:paraId="77242ED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(korrapärase ja erakorralise kontrolli esitamine)</w:t>
      </w:r>
    </w:p>
    <w:p w14:paraId="42264A5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Kiirusmõõteseadmed, mis on kasutusel käesolevate eeskirjade jõustumise kuupäeval ja millel on kehtiv esmataatlus või korrapärane kontroll maanteeliikluse kiirusmõõteseadmete metroloogilisi nõudeid käsitlevate eeskirjade (Sloveenia Vabariigi ametlik väljaanne [Uradni List RS] nr 25/02 ja 90/05) või kiirusmõõteseadmete metroloogilisi nõudeid käsitlevate eeskirjade (Sloveenia Vabariigi ametlik väljaanne [Uradni List RS] nr 91/15) alusel võib käesolevate eeskirjade alusel allutada korrapärasele või erakorralisele kontrollile, tingimusel et need vastavad käesolevate eeskirjade korrapärase kontrollimise nõuetele.</w:t>
      </w:r>
    </w:p>
    <w:p w14:paraId="51FDFFA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25</w:t>
      </w:r>
    </w:p>
    <w:p w14:paraId="1844CD8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(jõustumine)</w:t>
      </w:r>
    </w:p>
    <w:p w14:paraId="228CBE0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Käesolevad eeskirjad jõustuvad viieteistkümnendal päeval pärast nende avaldamist Sloveenia Vabariigi ametlikus väljaandes.</w:t>
      </w:r>
    </w:p>
    <w:p w14:paraId="0C630F87" w14:textId="77777777" w:rsidR="00221B1A" w:rsidRDefault="00E123F5">
      <w:pPr>
        <w:pStyle w:val="evidencnastevilka"/>
        <w:spacing w:before="210" w:after="210"/>
        <w:rPr>
          <w:rFonts w:ascii="Arial" w:eastAsia="Arial" w:hAnsi="Arial" w:cs="Arial"/>
          <w:sz w:val="21"/>
          <w:szCs w:val="21"/>
        </w:rPr>
      </w:pPr>
      <w:r>
        <w:rPr>
          <w:rFonts w:ascii="Arial" w:hAnsi="Arial"/>
          <w:sz w:val="21"/>
        </w:rPr>
        <w:lastRenderedPageBreak/>
        <w:t>Nr 007-218/2023/15</w:t>
      </w:r>
    </w:p>
    <w:p w14:paraId="4F57609E" w14:textId="77777777" w:rsidR="00221B1A" w:rsidRDefault="00E123F5">
      <w:pPr>
        <w:pStyle w:val="krajdatumsprejetja"/>
        <w:spacing w:before="210" w:after="210"/>
        <w:rPr>
          <w:rFonts w:ascii="Arial" w:eastAsia="Arial" w:hAnsi="Arial" w:cs="Arial"/>
          <w:sz w:val="21"/>
          <w:szCs w:val="21"/>
        </w:rPr>
      </w:pPr>
      <w:r>
        <w:rPr>
          <w:rFonts w:ascii="Arial" w:hAnsi="Arial"/>
          <w:sz w:val="21"/>
        </w:rPr>
        <w:t>Ljubljana, 19. märts 2024</w:t>
      </w:r>
    </w:p>
    <w:p w14:paraId="66227E8A" w14:textId="77777777" w:rsidR="00221B1A" w:rsidRDefault="00E123F5">
      <w:pPr>
        <w:pStyle w:val="evidencnastevilka"/>
        <w:spacing w:before="210" w:after="210"/>
        <w:rPr>
          <w:rFonts w:ascii="Arial" w:eastAsia="Arial" w:hAnsi="Arial" w:cs="Arial"/>
          <w:sz w:val="21"/>
          <w:szCs w:val="21"/>
        </w:rPr>
      </w:pPr>
      <w:r>
        <w:rPr>
          <w:rFonts w:ascii="Arial" w:hAnsi="Arial"/>
          <w:sz w:val="21"/>
        </w:rPr>
        <w:t>EVA 2023-2180-0012</w:t>
      </w:r>
    </w:p>
    <w:p w14:paraId="545D589C" w14:textId="77777777" w:rsidR="00221B1A" w:rsidRDefault="00E123F5">
      <w:pPr>
        <w:pStyle w:val="podpisnik"/>
        <w:spacing w:before="210" w:after="210"/>
        <w:ind w:left="5669"/>
        <w:rPr>
          <w:rFonts w:ascii="Arial" w:eastAsia="Arial" w:hAnsi="Arial" w:cs="Arial"/>
          <w:sz w:val="21"/>
          <w:szCs w:val="21"/>
        </w:rPr>
      </w:pPr>
      <w:r>
        <w:rPr>
          <w:rFonts w:ascii="Arial" w:hAnsi="Arial"/>
          <w:sz w:val="21"/>
        </w:rPr>
        <w:t xml:space="preserve">Matjaž Han </w:t>
      </w:r>
    </w:p>
    <w:p w14:paraId="1C1D48C4" w14:textId="77777777" w:rsidR="00221B1A" w:rsidRDefault="00E123F5">
      <w:pPr>
        <w:rPr>
          <w:rFonts w:ascii="Arial" w:eastAsia="Arial" w:hAnsi="Arial" w:cs="Arial"/>
        </w:rPr>
      </w:pPr>
      <w:r>
        <w:rPr>
          <w:rFonts w:ascii="Arial" w:hAnsi="Arial"/>
        </w:rPr>
        <w:t xml:space="preserve">Majandus-, turismi- ja spordiminister </w:t>
      </w:r>
    </w:p>
    <w:p w14:paraId="2A7D56DB" w14:textId="77777777" w:rsidR="00221B1A" w:rsidRDefault="00E123F5">
      <w:pPr>
        <w:rPr>
          <w:rFonts w:ascii="Arial" w:eastAsia="Arial" w:hAnsi="Arial" w:cs="Arial"/>
        </w:rPr>
      </w:pPr>
      <w:r>
        <w:rPr>
          <w:rFonts w:ascii="Arial" w:hAnsi="Arial"/>
        </w:rPr>
        <w:t xml:space="preserve"> </w:t>
      </w:r>
    </w:p>
    <w:p w14:paraId="2579C642"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21B1A"/>
    <w:rsid w:val="0058293A"/>
    <w:rsid w:val="005C0803"/>
    <w:rsid w:val="00A77B3E"/>
    <w:rsid w:val="00CA2A55"/>
    <w:rsid w:val="00E123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98B7E"/>
  <w15:docId w15:val="{7DCD1881-B20D-4C80-BB52-115082F5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 w:type="paragraph" w:customStyle="1" w:styleId="p">
    <w:name w:val="p"/>
    <w:basedOn w:val="Normal"/>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reg/2008/764/oj" TargetMode="External"/><Relationship Id="rId5" Type="http://schemas.openxmlformats.org/officeDocument/2006/relationships/hyperlink" Target="http://data.europa.eu/eli/reg/2019/515/oj" TargetMode="External"/><Relationship Id="rId4" Type="http://schemas.openxmlformats.org/officeDocument/2006/relationships/hyperlink" Target="http://data.europa.eu/eli/dir/2015/1535/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2300</Words>
  <Characters>17480</Characters>
  <Application>Microsoft Office Word</Application>
  <DocSecurity>0</DocSecurity>
  <Lines>323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PRAV14968 NPB0</dc:title>
  <dc:creator>Jožica Škof Nikolič</dc:creator>
  <cp:keywords>class='Internal'</cp:keywords>
  <cp:lastModifiedBy>Ragnhild Efraimsson</cp:lastModifiedBy>
  <cp:revision>2</cp:revision>
  <dcterms:created xsi:type="dcterms:W3CDTF">2024-08-14T10:43:00Z</dcterms:created>
  <dcterms:modified xsi:type="dcterms:W3CDTF">2024-08-14T10:43:00Z</dcterms:modified>
</cp:coreProperties>
</file>