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Metrologialain (Slovenian virallinen lehti [</w:t>
      </w:r>
      <w:proofErr w:type="spellStart"/>
      <w:r>
        <w:rPr>
          <w:rFonts w:ascii="Arial" w:hAnsi="Arial"/>
          <w:i/>
          <w:sz w:val="21"/>
        </w:rPr>
        <w:t>Uradni</w:t>
      </w:r>
      <w:proofErr w:type="spellEnd"/>
      <w:r>
        <w:rPr>
          <w:rFonts w:ascii="Arial" w:hAnsi="Arial"/>
          <w:i/>
          <w:sz w:val="21"/>
        </w:rPr>
        <w:t xml:space="preserve"> </w:t>
      </w:r>
      <w:proofErr w:type="spellStart"/>
      <w:r>
        <w:rPr>
          <w:rFonts w:ascii="Arial" w:hAnsi="Arial"/>
          <w:i/>
          <w:sz w:val="21"/>
        </w:rPr>
        <w:t>List</w:t>
      </w:r>
      <w:proofErr w:type="spellEnd"/>
      <w:r>
        <w:rPr>
          <w:rFonts w:ascii="Arial" w:hAnsi="Arial"/>
          <w:i/>
          <w:sz w:val="21"/>
        </w:rPr>
        <w:t xml:space="preserve"> RS</w:t>
      </w:r>
      <w:r>
        <w:rPr>
          <w:rFonts w:ascii="Arial" w:hAnsi="Arial"/>
          <w:sz w:val="21"/>
        </w:rPr>
        <w:t>] nro 26/05 – virallinen konsolidoitu teksti) 9 §:n 1 ja 5 momentin, 11 §:n 5 momentin nojalla ja 12 §:n täytäntöönpanemiseksi elinkeino-, matkailu- ja urheiluministeri antaa seuraavat</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 xml:space="preserve">S Ä </w:t>
      </w:r>
      <w:proofErr w:type="spellStart"/>
      <w:r>
        <w:rPr>
          <w:rFonts w:ascii="Arial" w:hAnsi="Arial"/>
          <w:b/>
          <w:caps/>
          <w:sz w:val="21"/>
        </w:rPr>
        <w:t>Ä</w:t>
      </w:r>
      <w:proofErr w:type="spellEnd"/>
      <w:r>
        <w:rPr>
          <w:rFonts w:ascii="Arial" w:hAnsi="Arial"/>
          <w:b/>
          <w:caps/>
          <w:sz w:val="21"/>
        </w:rPr>
        <w:t xml:space="preserve"> N </w:t>
      </w:r>
      <w:proofErr w:type="spellStart"/>
      <w:r>
        <w:rPr>
          <w:rFonts w:ascii="Arial" w:hAnsi="Arial"/>
          <w:b/>
          <w:caps/>
          <w:sz w:val="21"/>
        </w:rPr>
        <w:t>N</w:t>
      </w:r>
      <w:proofErr w:type="spellEnd"/>
      <w:r>
        <w:rPr>
          <w:rFonts w:ascii="Arial" w:hAnsi="Arial"/>
          <w:b/>
          <w:caps/>
          <w:sz w:val="21"/>
        </w:rPr>
        <w:t xml:space="preserve"> Ö T</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tieliikenteen nopeudenmittauslaitteiden metrologisia vaatimuksia koskevien sääntöjen muuttamisesta</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 §</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tieliikenteessä käytettävien nopeudenmittauslaitteiden metrologisia vaatimuksia koskevien sääntöjen (Slovenian tasavallan virallinen lehti [</w:t>
      </w:r>
      <w:proofErr w:type="spellStart"/>
      <w:r>
        <w:rPr>
          <w:rFonts w:ascii="Arial" w:hAnsi="Arial"/>
          <w:i/>
          <w:sz w:val="21"/>
        </w:rPr>
        <w:t>Uradni</w:t>
      </w:r>
      <w:proofErr w:type="spellEnd"/>
      <w:r>
        <w:rPr>
          <w:rFonts w:ascii="Arial" w:hAnsi="Arial"/>
          <w:i/>
          <w:sz w:val="21"/>
        </w:rPr>
        <w:t xml:space="preserve"> </w:t>
      </w:r>
      <w:proofErr w:type="spellStart"/>
      <w:r>
        <w:rPr>
          <w:rFonts w:ascii="Arial" w:hAnsi="Arial"/>
          <w:i/>
          <w:sz w:val="21"/>
        </w:rPr>
        <w:t>List</w:t>
      </w:r>
      <w:proofErr w:type="spellEnd"/>
      <w:r>
        <w:rPr>
          <w:rFonts w:ascii="Arial" w:hAnsi="Arial"/>
          <w:i/>
          <w:sz w:val="21"/>
        </w:rPr>
        <w:t xml:space="preserve"> RS</w:t>
      </w:r>
      <w:r>
        <w:rPr>
          <w:rFonts w:ascii="Arial" w:hAnsi="Arial"/>
          <w:sz w:val="21"/>
        </w:rPr>
        <w:t>] nro 91/15) 1 §:n 2 momentti ja tehdään nykyisestä 1 momentista pykälän teksti.</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 §</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 §:n jälkeen uusi 1 a § seuraavasti:</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 a §.</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(Ilmoitusmenettely ja lauseke)</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Nämä säännöt on annettu teknisiä määräyksiä ja tietoyhteiskunnan palveluja koskevia määräyksiä koskevien tietojen toimittamisessa noudatettavasta menettelystä 9 päivänä syyskuuta 2015 annetun Euroopan parlamentin ja neuvoston </w:t>
      </w:r>
      <w:hyperlink r:id="rId4" w:tgtFrame="_blank" w:tooltip="to EUR-Lex" w:history="1">
        <w:r>
          <w:rPr>
            <w:rFonts w:ascii="Arial" w:hAnsi="Arial"/>
            <w:color w:val="0000EE"/>
            <w:sz w:val="21"/>
            <w:u w:val="single" w:color="0000EE"/>
          </w:rPr>
          <w:t>direktiivin (EU) 2015/1535</w:t>
        </w:r>
      </w:hyperlink>
      <w:r>
        <w:rPr>
          <w:rFonts w:ascii="Arial" w:hAnsi="Arial"/>
          <w:sz w:val="21"/>
        </w:rPr>
        <w:t xml:space="preserve"> (kodifikaatio) (EUVL L 241, 17. 9. 2015, s. 1) mukaisesti.</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Näiden sääntöjen määräyksiä ei sovelleta tuotteisiin, joita laillisesti valmistetaan tai pidetään kaupan muissa Euroopan unionin jäsenvaltioissa ja Turkissa tai jotka on tuotettu Euroopan vapaakauppaliiton (EFTA) maissa, jotka ovat myös Euroopan talousalueesta tehdyn sopimuksen allekirjoittajavaltioita, sellaisen kansallisen lainsäädännön mukaisesti, jolla taataan vastaava yleisen edun suojelun taso Slovenian tasavallan lainsäädännön mukaisesti.</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Nämä säännöt pannaan täytäntöön toisessa jäsenvaltiossa laillisesti kaupan pidettyjen tavaroiden vastavuoroisesta tunnustamisesta ja</w:t>
      </w:r>
      <w:r>
        <w:t xml:space="preserve"> </w:t>
      </w:r>
      <w:hyperlink r:id="rId5" w:tgtFrame="_blank" w:tooltip="to EUR-Lex" w:history="1">
        <w:r>
          <w:rPr>
            <w:rFonts w:ascii="Arial" w:hAnsi="Arial"/>
            <w:color w:val="0000EE"/>
            <w:sz w:val="21"/>
            <w:u w:val="single" w:color="0000EE"/>
          </w:rPr>
          <w:t>asetuksen (EY) N:o 764/2008</w:t>
        </w:r>
      </w:hyperlink>
      <w:r>
        <w:rPr>
          <w:rFonts w:ascii="Arial" w:hAnsi="Arial"/>
          <w:sz w:val="21"/>
        </w:rPr>
        <w:t xml:space="preserve"> kumoamisesta 19 päivänä maaliskuuta 2019 annetun Euroopan parlamentin ja neuvoston </w:t>
      </w:r>
      <w:hyperlink r:id="rId6" w:tgtFrame="_blank" w:tooltip="to EUR-Lex" w:history="1">
        <w:r>
          <w:rPr>
            <w:rFonts w:ascii="Arial" w:hAnsi="Arial"/>
            <w:color w:val="0000EE"/>
            <w:sz w:val="21"/>
            <w:u w:val="single" w:color="0000EE"/>
          </w:rPr>
          <w:t>asetuksen (EU) 2019/515</w:t>
        </w:r>
      </w:hyperlink>
      <w:r>
        <w:rPr>
          <w:rFonts w:ascii="Arial" w:hAnsi="Arial"/>
          <w:sz w:val="21"/>
        </w:rPr>
        <w:t xml:space="preserve"> (EUVL L 91, 29. 3. 2019, s. 1) mukaisesti.</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3 §</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Muutetaan 2 § seuraavasti:</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 §</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Näissä säännöissä käytetyillä termeillä on seuraavat merkitykset:</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’nopeudenmittauslaitteella’ tarkoitetaan laitetta, jolla mitataan ajoneuvojen nopeus tieliikenteessä;</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’tutkanopeudenmittauslaitteilla’ tarkoitetaan nopeudenmittauslaitteita, joiden toiminta perustuu RADAR-periaatteeseen ja Doppler-ilmiöön;</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w:t>
      </w:r>
      <w:proofErr w:type="spellStart"/>
      <w:r>
        <w:rPr>
          <w:rFonts w:ascii="Arial" w:hAnsi="Arial"/>
          <w:sz w:val="21"/>
        </w:rPr>
        <w:t>RADARilla</w:t>
      </w:r>
      <w:proofErr w:type="spellEnd"/>
      <w:r>
        <w:rPr>
          <w:rFonts w:ascii="Arial" w:hAnsi="Arial"/>
          <w:sz w:val="21"/>
        </w:rPr>
        <w:t>’ tarkoitetaan etäisyyden tai sijainnin havaitsemista ja mittaamista radiosignaalien avulla;</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’Doppler-ilmiöllä’ tarkoitetaan fyysistä ilmiötä, jossa aallon taajuuden muutos johtuu lähteen ja havaitsijan liikkeestä toisiinsa nähden;</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’lasernopeudenmittauslaitteilla’ tarkoitetaan nopeudenmittauslaitteita, joiden toiminta perustuu lasersignaalin lähetykseen ja vastaanottoon LIDAR-periaatteen mukaisesti;</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w:t>
      </w:r>
      <w:proofErr w:type="spellStart"/>
      <w:r>
        <w:rPr>
          <w:rFonts w:ascii="Arial" w:hAnsi="Arial"/>
          <w:sz w:val="21"/>
        </w:rPr>
        <w:t>LIDARilla</w:t>
      </w:r>
      <w:proofErr w:type="spellEnd"/>
      <w:r>
        <w:rPr>
          <w:rFonts w:ascii="Arial" w:hAnsi="Arial"/>
          <w:sz w:val="21"/>
        </w:rPr>
        <w:t>’ tarkoitetaan etäisyyden mittaamista valokeilan avulla;</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’etäisyyteen/aikaan perustuvilla nopeudenmittauslaitteilla’ tarkoitetaan nopeudenmittauslaitteita, joilla mitataan ajoneuvon nopeus ajoneuvon mitatun matka-ajan perusteella mitatun pituisella matkalla;</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’ilmaisinnopeudenmittauslaitteilla’ tarkoitetaan etäisyyteen/aikaan perustuvien nopeudenmittauslaitteiden alatyyppiä, jolla mitataan ajoneuvon nopeus lyhyellä matkalla mittaamalla vähintään ajoneuvon kolmen peräkkäisen sijainnin välinen matka-aika, kun ajoneuvon sijainnin ilmaisimet on kytketty samaan aikalähteeseen ja ilmaisimien väliset etäisyydet ovat tiedossa;</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’osuusnopeudenmittauslaitteilla’ tarkoitetaan etäisyyteen/aikaan perustuvien nopeudenmittauslaitteiden alatyyppiä, jolla mitataan keskinopeutta pidemmällä matkalla mittaamalla matka-aika ja tunnistamalla ajoneuvo pituudeltaan tunnetun mittausosuuden alku- ja päätepisteissä;</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’seurantaan perustuvilla nopeudenmittauslaitteilla’ tarkoitetaan etäisyyteen/aikaan perustuvien nopeudenmittauslaitteiden alatyyppiä, joka on asennettu mitattua ajoneuvoa seuraavaan mittausajoneuvoon ja jolla mitataan mitatun ajoneuvon keskinopeus kuljetun osuuden tai reitin mitatun etäisyyden ja mittausajoneuvon matka-ajan perusteella;</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’mittausajoneuvolla’ tarkoitetaan ajoneuvoa, johon on asennettu nopeudenmittauslaite, jolla voidaan mitata sen oma nopeus ja mitatun ajoneuvon nopeus liikkuvasta pisteestä tehtävän mittauksen perusteella;</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’mitatulla ajoneuvolla’ tarkoitetaan ajoneuvoa, jonka nopeus mitataan nopeudenmittauslaitteella;</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’käyttäjällä’ tarkoitetaan henkilöä, joka käsittelee nopeudenmittauslaitetta ja tekee nopeudenmittauksia;</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14. ’automaattisilla nopeudenmittauslaitteilla’ tarkoitetaan nopeudenmittauslaitteita, jotka suorittavat mittauksen automaattisesti ilman käyttäjän suorittamia toimia;</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’muulla kuin automaattisella nopeudenmittauslaitteella’ tarkoitetaan nopeudenmittauslaitteita, jotka suorittavat mittauksen käyttäjän pyynnöstä;</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’liikkumattomasta pisteestä tehtävällä mittauksella’ tarkoitetaan sitä, että nopeudenmittauslaite mittaa mitatun ajoneuvon nopeuden pisteestä, joka ei liiku;</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’liikkuvasta pisteestä tehtävällä mittauksella’ tarkoitetaan sitä, että nopeudenmittauslaite mittaa mitatun ajoneuvon nopeuden liikkuvasta pisteestä;</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’suurimmalla sallitulla virheellä’ tarkoitetaan mittausvirheen ääriarvoa, joka sallitaan eritelmissä tai määräyksissä tietyn mittauksen, mittauslaitteen tai mittausjärjestelmän tunnetun viitearvon mukaisesti;</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’vaikutussuureella’ tarkoitetaan suuretta, joka ei ole mittaussuure mutta joka vaikuttaa mittaustulokseen;</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’nimellisillä käyttöedellytyksillä’ tarkoitetaan käyttöedellytyksiä, joiden on täytyttävä mittauksen aikana, jotta nopeudenmittauslaite toimii suunnitellulla tavalla;</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’häiriöllä’ tarkoitetaan vaikutussuuretta, jonka arvo on asianmukaisessa vaatimuksessa määritettyjen rajojen sisällä mutta mittauslaitteelle määritettyjen nimellisten käyttöedellytysten ulkopuolella; vaikutussuure on häiriö, jos kyseisen vaikutussuureen nimellisiä käyttöedellytyksiä ei ole määritetty;</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’kenttätestillä’ tarkoitetaan menettelyä, jossa nopeudenmittauslaitetta testataan mittaamalla sellaisten ajoneuvojen nopeus, joiden nopeus on tunnettu realistisissa käyttöolosuhteissa;</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’simuloinnilla’ tarkoitetaan menettelyä, jossa mitatun ajoneuvon ajaminen korvataan toisella fyysisellä ilmiöllä, joka voi edustaa ajoneuvon ajonopeutta, ajoneuvon kulkusuuntaa, ajoneuvon kulkemaa matkaa tai ajoneuvon ajoaikaa;</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’laboratoriotestillä’ tarkoitetaan menettelyä, jossa nopeudenmittauslaitetta testataan simuloinnin perusteella;</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’omalla nopeudella’ tarkoitetaan mittausajoneuvon nopeutta, kun nopeutta mitataan liikkuvasta pisteestä;</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’mittausakselilla’ näennäistä linjaa, jonka suuntaisesta nopeudenmittauslaite mittaa mitatun ajoneuvon nopeuden;</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’ajoneuvon kulkusuunnalla’ tarkoitetaan näennäistä suoraa linjaa, jota pitkin mitattua ajoneuvoa ajetaan;</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’kosini-ilmiöllä’ tarkoitetaan fyysistä ilmiötä, joka tapahtuu, kun nopeudenmittauslaitteen mittausakseli siirtyy mitatun ajoneuvon ajosuunnasta tietyssä kulmassa tasossa tai avaruudessa;</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’kantotaajuudella’ tarkoitetaan yhtä tai useampaa taajuutta, jolla tutkanopeudenmittauslaite lähettää signaalia;</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’sijainnin ilmaisimella’ tarkoitetaan ilmaisinta tai laitetta, joka määrittää, milloin mitattu ajoneuvo on ohittanut valitun pisteen;</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31. ’saapumispisteellä’ tarkoitetaan aluetta, jolla mitattu ajoneuvo saapuu mittausosuudelle;</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’poistumispisteellä’ tarkoitetaan aluetta, jolla mitattu ajoneuvo poistuu mittausosuudelta;</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’mittausosuuden pituudella’ tarkoitetaan pituutta, joka edustaa lyhintä näennäistä käyrää saapumis- ja poistumispisteiden välillä ja kulkee tieosuudella, jota rajoittavat molemmilla puolilla tiemerkinnät tai ajoradan reuna;</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’liiketunnistimella’ tarkoitetaan ajoneuvon osaa, joka mahdollistaa ajoneuvon oman nopeuden mittaamisen;</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’liikenteessä olevien kahden mitatun ajoneuvon aikaerolla’ tarkoitetaan aikaa, jonka toinen mitattu ajoneuvo tarvitsee mitatulla nopeudella ajaessaan ensimmäisen mitatun ajoneuvon takana saavuttaakseen pisteen, jossa ensimmäisen mitatun ajoneuvon nopeus mitataan;</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’virhemarginaalilla’ nopeuden numeerista arvoa, joka otetaan kussakin mittauksessa huomioon mitatun ajoneuvon hyväksi;</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’laajennetulla mittausepävarmuudella’ tarkoitetaan tuloa, joka saadaan kertomalla yhdistetty mittauksen standardiepävarmuus lukua 1 suuremmalla kertoimella;</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’mittarilla’ tarkoitetaan nopeudenmittauslaitteen osaa, jonka avulla nopeudenmittauslaitteen mittausakseli voidaan kohdistaa mitattavaan ajoneuvoon ja sen on heijastettava mittaussäteen sallittua sijaintia ja laajenemista,</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’yksittäisten ajoneuvojen nopeudenmittauslaitteella’ tarkoitetaan nopeudenmittauslaitetta, joka toimintatapansa perusteella voi samanaikaisesti mitata ja kirjata vain yhden ajoneuvon nopeuden,</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’useita ajoneuvoja samanaikaisesti mittaavalla nopeudenmittauslaitteella’ tarkoitetaan nopeudenmittauslaitetta, joka toimintatapansa perusteella pystyy samanaikaisesti seuraamaan, mittaamaan ja kirjaamaan useiden ajoneuvojen nopeuden.”.</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4 §</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18 §:n 3 momentissa ilmaisun ”nopeus” jälkeen ilmaisu ”tai sen jälkeen, kun ajoneuvo on liikkunut vähintään 10 metriä.”</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5 §</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19 § seuraavasti:</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”19 §</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(liikkuvasta pisteestä tehtävien mittausten kirjaamista koskevat lisävaatimukset, lukuun ottamatta seurantaan perustuvia mittauslaitteita)</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Kirjattuun nopeusmittaukseen, joka mitataan liikkuvasta pisteestä nopeudenmittauslaitteilla, lukuun ottamatta seurantaperiaatteen mukaisia nopeudenmittauslaitteita, on sisällyttävä näiden sääntöjen 17 §:n vaatimusten lisäksi mittausajoneuvon nopeus mittaushetkellä.”</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6 §</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26 § seuraavasti:</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”26 §</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(testausrajapintaa koskevat vaatimukset)</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Nopeudenmittauslaitteissa on oltava testausrajapinta, joka mahdollistaa nopeudenmittauslaitteen käytön sekä vaatimustenmukaisuuden arvioinnin, tarkastuksen ja metrologisen valvonnan suorittamiseen tarvittavien tietojen tai signaalien saamisen.</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Testausrajapinnan on mahdollistettava pääsy ainakin seuraaviin tietoihin:</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mitattu nopeus,</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mitatun ajoneuvon etäisyys tai sijainti (nopeudenmittauslaitteissa, joissa mittausperiaate sallii tämän),</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mittausajoneuvon mitattu oma nopeus (nopeudenmittauslaitteille, jotka mittaavat liikkuvasta pisteestä),</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nopeudenmittauslaitteen ja sen osien yksilöllinen tunniste,</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nopeudenmittauslaitteen ohjelmiston tunniste ja sen tarkistussumma ja</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oman tarkastuksen tulos.</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Testausrajapinta on suojattava niin, ettei siihen pääse luvatta käsiksi.”</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7 §</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29 § seuraavasti:</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”29 §</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(yksittäisiä ajoneuvoja mittaavia tutkanopeudenmittauslaitteita koskevat lisävaatimukset)</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Yksittäisiä ajoneuvoja mittaavan tutkanopeudenmittauslaitteen yksittäinen kantotaajuus saa poiketa enintään ± 0,15 prosenttia valmistajan ilmoittamasta nimellisarvosta.</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Yksittäisiä ajoneuvoja mittaavan tutkanopeudenmittauslaitteen mittaussäteen leveys ei saa olla leveämpi kuin valmistajan ilmoittama säteen leveys.</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Tutkanopeudenmittauslaitteen antennin mittaussäteen keskilinja saa poiketa enintään ± 1° antennin keskilinjasta.”</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8 §</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29 §:n jälkeen uusi 29 a § seuraavasti:</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”29 a §.</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(useita ajoneuvoja samanaikaisesti mittaavia tutkanopeudenmittauslaitteita koskevat lisävaatimukset)</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Useita ajoneuvoja samanaikaisesti mittaavien tutkanopeudenmittauslaitteiden on laboratorio- ja kenttätestauksessa osoitettava mitatun ajoneuvon sijainti ja etäisyys nopeudenmittauslaitteesta.”.</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9 §</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30 § seuraavasti:</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”30 §</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(yksittäisiä ajoneuvoja mittaavia lasernopeudenmittauslaitteita koskevat lisävaatimukset)</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Yksittäisiä ajoneuvoja mittaavan lasernopeudenmittauslaitteen lähettämien pulssien taajuus ei saa poiketa enempää kuin ± 1 % valmistajan ilmoittamasta nimellisarvosta.</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Yksittäisiä ajoneuvoja mittaavan lasernopeudenmittauslaitteen on ilmoitettava mitatun ajoneuvon etäisyys enintään 0,1 metrin poikkeuksella. Mitatun ajoneuvon mitattu etäisyys saa poiketa enintään ± 0,2 metriä todellisesta arvosta enintään 50 metrin etäisyydellä tai 0,4 prosenttia yli 50 metrin etäisyydellä.</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Mitatun ajoneuvon suurin sallittu etäisyys mitattuna yksittäisiä ajoneuvoja mittaavalla lasernopeudenmittauslaitteella on 1 000 metriä.</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(4) Yksittäisiä ajoneuvoja mittaavan lasernopeudenmittauslaitteen mittaussäteen suurin sallittu tilakulma vaaka- ja pystysuunnassa on 3 </w:t>
      </w:r>
      <w:proofErr w:type="spellStart"/>
      <w:r>
        <w:rPr>
          <w:rFonts w:ascii="Arial" w:hAnsi="Arial"/>
          <w:sz w:val="21"/>
        </w:rPr>
        <w:t>mrad</w:t>
      </w:r>
      <w:proofErr w:type="spellEnd"/>
      <w:r>
        <w:rPr>
          <w:rFonts w:ascii="Arial" w:hAnsi="Arial"/>
          <w:sz w:val="21"/>
        </w:rPr>
        <w:t>.</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Yksittäisiä ajoneuvoja mittaavan lasernopeudenmittauslaitteen muodosta on käytävä selvästi ilmi 3 milliradiaanin raja.</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Yksittäisiä ajoneuvoja mittaavan lasernopeudenmittauslaitteen mittarin on oltava selvästi nähtävissä paljain silmin sekä mittauslaitteilla, joilla tarkistetaan mittarin ja mittaussäteen kohdistus.</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Yksittäisiä ajoneuvoja mittaavan lasernopeudenmittauslaitteen mittaussäteen on sijaittava täysin mittarin rajojen sisällä.</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Yksittäisiä ajoneuvoja mittaavissa lasernopeudenmittauslaitteissa on oltava vähintään kaksinkertainen mittarin näkökentän suurennus mitatun ajoneuvon nopeuden mittaamiseksi 300–600 metrin etäisyydeltä ja yli 600 metrin etäisyydeltä tehtäviä mittauksia varten vähintään kolminkertainen mittarin näkökentän suurennus. Suurennus voidaan integroida nopeudenmittauslaitteeseen tai toteuttaa erillisen lisälaitteen avulla, joka voidaan kiinnittää nopeudenmittauslaitteeseen tai poistaa siitä. Jos erillistä lisälaitetta käytetään, lisälaitteen sarjanumeron on oltava sama kuin nopeudenmittauslaitteen.</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Yksittäisiä ajoneuvoja mittaavan lasernopeudenmittauslaitteen on mahdollistettava kiinteän kohteen nopeuden mittaustesti nopeudella 0 km/h.”.</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10 §</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30 §:n jälkeen uusi 30 a § seuraavasti:</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”30 a §.</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(useita ajoneuvoja samanaikaisesti mittaavia lasernopeudenmittauslaitteita koskevat lisävaatimukset)</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Useita ajoneuvoja samanaikaisesti mittaavien lasernopeudenmittauslaitteiden on laboratorio- ja kenttätestauksessa osoitettava mitatun ajoneuvon sijainti ja etäisyys nopeudenmittauslaitteesta.”.</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11 §</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32 §:n 3 momentista ilmaisu ”ja sen on oltava vähintään 200 kertaa pidempi kuin tunnistusalueen pituus”.</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5 momentti seuraavasti:</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lastRenderedPageBreak/>
        <w:t>”(</w:t>
      </w:r>
      <w:proofErr w:type="gramEnd"/>
      <w:r>
        <w:rPr>
          <w:rFonts w:ascii="Arial" w:hAnsi="Arial"/>
          <w:sz w:val="21"/>
        </w:rPr>
        <w:t>5) Mittausosuuden alku ja loppu on merkittävä heijastavalla nauhalla koko tien poikki ja mittauskiiloilla tien pintaa pitkin. Heijastinnauhan on oltava näkyvissä dokumentoidussa mittauksessa yhdessä mitatun ajoneuvon kanssa.”</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12 §</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37 §:n jälkeen uusi 37 a § seuraavasti:</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”37 a §</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(lisämerkinnät)</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Slovenian tasavallan metrologian instituutti voi kiinnittää nopeudenmittauslaitteisiin lisätunnistemerkkejä niiden tunnistamiseksi tarkastusmenettelyissä.</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Nopeudenmittauslaitteiden haltijat eivät saa poistaa edellisessä momentissa tarkoitettuja merkintöjä.”.</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13 §</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39 §:n jälkeen uusi 39 a § seuraavasti:</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”39 a §</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(erityiset mittauslaitteet ja pääsy mittauslaitteeseen)</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Jos on tarpeen käyttää erityisiä laitteistoja, ohjelmistoja, liitäntäkaapeleita tai rajapintoja, joita ei ole vapaasti saatavilla markkinoilla tai jotka on suojattu teollis- ja tekijänoikeuksilla, valmistaja on velvollinen toimittamaan nämä laitteet ja jättämään ne maksutta Slovenian tasavallan metrologian instituutin käyttöön.</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Edellisessä momentissa tarkoitetuissa menettelyissä valmistajan on annettava Slovenian tasavallan metrologian instituutille korkeimman tason käyttöoikeus valmistajan ohjelmistoon sekä vapaa pääsy nopeudenmittauslaitteen laitteistoon.”.</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14 §</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42 §:ään 1 momentiksi numeroidun pykälän tekstin jälkeen uusi 2 momentti seuraavasti:</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lastRenderedPageBreak/>
        <w:t>”(</w:t>
      </w:r>
      <w:proofErr w:type="gramEnd"/>
      <w:r>
        <w:rPr>
          <w:rFonts w:ascii="Arial" w:hAnsi="Arial"/>
          <w:sz w:val="21"/>
        </w:rPr>
        <w:t>2) Jos on epäselvyyttä siitä, onko nopeudenmittauslaite näiden sääntöjen vaatimusten mukainen, voidaan suorittaa muita tarkastuksia ja testejä sen varmistamiseksi, että edellisessä momentissa säädettyjä vaatimuksia noudatetaan.”.</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15 §</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44 § seuraavasti:</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”44 §</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(tutkanopeusmittauslaitteiden erikoistestit)</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Tutkanopeudenmittauslaitteille on tehtävä mittaustarkkuustesti näiden sääntöjen 5 §:n vaatimusten mukaisilla kenttätesteillä vähintään kolmessa mittauspisteessä tai näiden sääntöjen 6 §:n mukaisilla laboratoriotesteillä vähintään 10 mittauspisteessä.</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Tutkanopeudenmittauslaitteen tarkkuutta testattaessa lähetys- ja vastaanottoantennien suorituskyky on tarkastettava samanaikaisesti.</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Yksittäisiä ajoneuvoja mittaavien tutkanopeudenmittauslaitteiden osalta on tarkastettava näiden sääntöjen 7 §:n vaatimusten noudattaminen.</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Mittaussäteen leveys on tarkastettava yksittäisiä ajoneuvoja mittaavien tutkanopeudenmittauslaitteiden osalta seuraavissa olosuhteissa:</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 xml:space="preserve">kun vaimennus on -3 dB suhteessa lähetetyn signaalin enimmäistehoarvoon ja </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perustuen yleiskuvaan antennisäteen kokonaiskaaviosta, joka on piirretty suhteessa -45°:</w:t>
      </w:r>
      <w:proofErr w:type="spellStart"/>
      <w:r>
        <w:rPr>
          <w:rFonts w:ascii="Arial" w:hAnsi="Arial"/>
          <w:sz w:val="21"/>
        </w:rPr>
        <w:t>sta</w:t>
      </w:r>
      <w:proofErr w:type="spellEnd"/>
      <w:r>
        <w:rPr>
          <w:rFonts w:ascii="Arial" w:hAnsi="Arial"/>
          <w:sz w:val="21"/>
        </w:rPr>
        <w:t xml:space="preserve"> + 45°:</w:t>
      </w:r>
      <w:proofErr w:type="spellStart"/>
      <w:r>
        <w:rPr>
          <w:rFonts w:ascii="Arial" w:hAnsi="Arial"/>
          <w:sz w:val="21"/>
        </w:rPr>
        <w:t>een</w:t>
      </w:r>
      <w:proofErr w:type="spellEnd"/>
      <w:r>
        <w:rPr>
          <w:rFonts w:ascii="Arial" w:hAnsi="Arial"/>
          <w:sz w:val="21"/>
        </w:rPr>
        <w:t xml:space="preserve"> ja jossa mittaussäteen jäljellä olevia huippuja tulee vaimentaa vähintään -15 dB perussignaaliin verrattuna.</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Useita ajoneuvoja samanaikaisesti mittaavien tutkanopeudenmittauslaitteiden osalta on tarkastettava ajoneuvon sijainnin määrittämisen oikeellisuus näiden sääntöjen 29 a §:n mukaisesti.”.</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16 §</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45 § seuraavasti:</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”45 §</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(lasernopeudenmittauslaitteiden erikoistestit)</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Lasernopeudenmittauslaitteille on tehtävä mittaustarkkuustesti näiden sääntöjen 5 §:n vaatimusten mukaisilla kenttätesteillä vähintään kolmessa mittauspisteessä tai näiden sääntöjen 6 §:n mukaisilla laboratoriotesteillä vähintään 10 mittauspisteessä.</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Yksittäisiä ajoneuvoja mittaavien lasernopeudenmittauslaitteiden osalta on tarkastettava näiden sääntöjen 30 §:n 1, 2, 4 ja 7 momentin vaatimusten noudattaminen.</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Useita ajoneuvoja samanaikaisesti mittaavien lasernopeudenmittauslaitteiden osalta on tarkastettava näiden sääntöjen 30 a §:ssä tarkoitetun ajoneuvon sijainnin määrittämisen oikeellisuus.”.</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17 §</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46 §:n 1 momentti seuraavasti:</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Ilmaisinnopeudenmittauslaitteille on tehtävä mittaustarkkuustesti näiden sääntöjen 6 §:n vaatimusten mukaisilla laboratoriotesteillä vähintään 10 mittauspisteessä tai näiden sääntöjen 5 §:n vaatimusten mukaisilla kenttätesteillä kolmessa mittauspisteessä täysin integroidun ilmaisinnopeudenmittauslaitteen testauksella ajoneuvoa ajettaessa. Kenttätestit on suoritettava onnistuneesti kolmessa mittauspisteessä, ja ne voidaan suorittaa enintään viidessä ajossa, joista kolmen on oltava onnistuneita. Jos testaus ei onnistu viiden ajon jälkeen, testi lopetetaan mittauslaitteen riittämättömien asetusten vuoksi.”.</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 momentin jälkeen uusi 2 momentti seuraavasti:</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2) Ilmaisinnopeudenmittauslaitteille, joissa on tien pinnalle asennetut sijainnin ilmaisimet, on suoritettava kenttätesti.”</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Tehdään nykyisestä 2 momentista 3 momentti.</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18 §</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47 §:n 1 momentti seuraavasti:</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Osuusnopeudenmittauslaitteille on tehtävä 5 §:n vaatimusten mukainen mittaustarkkuustesti kenttätesteillä kolmessa mittauspisteessä, joissa testataan täysin integroitua osionopeudenmittauslaitetta ajoneuvoa ajettaessa. Kenttätestit on suoritettava onnistuneesti kolmessa mittauspisteessä, ja ne voidaan suorittaa enintään viidessä ajossa, joista kolmen on oltava onnistuneita. Jos testaus ei onnistu viiden ajon jälkeen, testi lopetetaan mittauslaitteen riittämättömien asetusten vuoksi.”.</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19 §</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48 § seuraavasti:</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”48 §</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(seurantaan perustuvien nopeudenmittauslaitteiden erikoistestit)</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Seurantaan perustuville nopeudenmittauslaitteille on tehtävä mittaustarkkuustesti näiden sääntöjen 6 §:n vaatimusten mukaisilla laboratoriotesteillä vähintään 10 omalla nopeudella tai näiden sääntöjen 5 §:n vaatimusten mukaisilla kenttätesteillä vähintään yhdellä omalla nopeudella mittausajoneuvon vakionopeuden perusteella ilman mittausajoneuvon alku- ja loppupysäytystä.”.</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20 §</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49 § seuraavasti:</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”49 §</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(liikkuvasta pisteestä mittaavien nopeudenmittauslaitteiden erikoistestit, lukuun ottamatta seurantaan perustuvia mittauslaitteita)</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Liikkuvasta pisteestä mittaavien nopeudenmittauslaitteiden osalta, lukuun ottamatta seurantaan perustuvia nopeudenmittauslaitteita, mitatun ajoneuvon nopeuden nopeudenmittauksen mittaustarkkuutta ja näiden sääntöjen 6 §:n vaatimusten mukaista ajoneuvon oman nopeuden mittaamista koskevat testit on tehtävä erikseen laboratoriotesteillä 10 mittauspisteessä tai näiden sääntöjen 5 §:n vaatimusten mukaisilla kenttätesteillä vähintään kolmessa pisteessä.”</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21 §</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Korvataan 55 §:ssä ilmaisu ”eikä mittaa etäisyyttä ajoneuvoon tai ajoneuvon ajokulmaa suhteessa nopeudenmittauslaitteeseen” ilmaisulla ”muuntamalla yhteen valittuun kulmaan”.</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22 §</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57 §.</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SIIRTYMÄ- JA LOPPUSÄÄNNÖS</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23 §</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(markkinoille saattaminen ja alkutarkastus)</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Nopeudenmittauslaitteita, joilla on näiden sääntöjen voimaantulopäivänä voimassa oleva tyyppihyväksyntä tieliikenteen nopeudenmittauslaitteiden metrologisia vaatimuksia koskevien sääntöjen (Slovenian tasavallan virallinen lehti [</w:t>
      </w:r>
      <w:proofErr w:type="spellStart"/>
      <w:r>
        <w:rPr>
          <w:rFonts w:ascii="Arial" w:hAnsi="Arial"/>
          <w:sz w:val="21"/>
        </w:rPr>
        <w:t>Uradni</w:t>
      </w:r>
      <w:proofErr w:type="spellEnd"/>
      <w:r>
        <w:rPr>
          <w:rFonts w:ascii="Arial" w:hAnsi="Arial"/>
          <w:sz w:val="21"/>
        </w:rPr>
        <w:t xml:space="preserve"> </w:t>
      </w:r>
      <w:proofErr w:type="spellStart"/>
      <w:r>
        <w:rPr>
          <w:rFonts w:ascii="Arial" w:hAnsi="Arial"/>
          <w:sz w:val="21"/>
        </w:rPr>
        <w:t>List</w:t>
      </w:r>
      <w:proofErr w:type="spellEnd"/>
      <w:r>
        <w:rPr>
          <w:rFonts w:ascii="Arial" w:hAnsi="Arial"/>
          <w:sz w:val="21"/>
        </w:rPr>
        <w:t xml:space="preserve"> RS] nro 25/02 ja 90/05) tai tieliikenteen nopeudenmittauslaitteiden metrologisia vaatimuksia koskevien sääntöjen perusteella (Slovenian tasavallan virallinen lehti [</w:t>
      </w:r>
      <w:proofErr w:type="spellStart"/>
      <w:r>
        <w:rPr>
          <w:rFonts w:ascii="Arial" w:hAnsi="Arial"/>
          <w:sz w:val="21"/>
        </w:rPr>
        <w:t>Uradni</w:t>
      </w:r>
      <w:proofErr w:type="spellEnd"/>
      <w:r>
        <w:rPr>
          <w:rFonts w:ascii="Arial" w:hAnsi="Arial"/>
          <w:sz w:val="21"/>
        </w:rPr>
        <w:t xml:space="preserve"> </w:t>
      </w:r>
      <w:proofErr w:type="spellStart"/>
      <w:r>
        <w:rPr>
          <w:rFonts w:ascii="Arial" w:hAnsi="Arial"/>
          <w:sz w:val="21"/>
        </w:rPr>
        <w:t>List</w:t>
      </w:r>
      <w:proofErr w:type="spellEnd"/>
      <w:r>
        <w:rPr>
          <w:rFonts w:ascii="Arial" w:hAnsi="Arial"/>
          <w:sz w:val="21"/>
        </w:rPr>
        <w:t xml:space="preserve"> RS] nro 91/15), voidaan saattaa markkinoille ja tarkastaa näiden sääntöjen mukaisesti tyyppihyväksynnän voimassaolon päättymiseen saakka edellyttäen, että ne täyttävät näiden sääntöjen alkutarkastukseen liittyvät vaatimukset.</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24 §</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(toimittaminen säännölliseen ja ylimääräiseen tarkastukseen)</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Nopeudenmittauslaitteita, jotka ovat käytössä näiden sääntöjen voimaantulopäivänä ja jotka on alkutarkastettu tai tarkastettu säännöllisesti tieliikenteen nopeudenmittauslaitteiden metrologisia vaatimuksia koskevien sääntöjen (Slovenian tasavallan virallinen lehti [</w:t>
      </w:r>
      <w:proofErr w:type="spellStart"/>
      <w:r>
        <w:rPr>
          <w:rFonts w:ascii="Arial" w:hAnsi="Arial"/>
          <w:sz w:val="21"/>
        </w:rPr>
        <w:t>Uradni</w:t>
      </w:r>
      <w:proofErr w:type="spellEnd"/>
      <w:r>
        <w:rPr>
          <w:rFonts w:ascii="Arial" w:hAnsi="Arial"/>
          <w:sz w:val="21"/>
        </w:rPr>
        <w:t xml:space="preserve"> </w:t>
      </w:r>
      <w:proofErr w:type="spellStart"/>
      <w:r>
        <w:rPr>
          <w:rFonts w:ascii="Arial" w:hAnsi="Arial"/>
          <w:sz w:val="21"/>
        </w:rPr>
        <w:t>List</w:t>
      </w:r>
      <w:proofErr w:type="spellEnd"/>
      <w:r>
        <w:rPr>
          <w:rFonts w:ascii="Arial" w:hAnsi="Arial"/>
          <w:sz w:val="21"/>
        </w:rPr>
        <w:t xml:space="preserve"> RS] nro 25/02 ja 90/05) tai tieliikenteen nopeudenmittauslaitteiden metrologisia vaatimuksia koskevien sääntöjen perusteella (Slovenian tasavallan virallinen lehti [</w:t>
      </w:r>
      <w:proofErr w:type="spellStart"/>
      <w:r>
        <w:rPr>
          <w:rFonts w:ascii="Arial" w:hAnsi="Arial"/>
          <w:sz w:val="21"/>
        </w:rPr>
        <w:t>Uradni</w:t>
      </w:r>
      <w:proofErr w:type="spellEnd"/>
      <w:r>
        <w:rPr>
          <w:rFonts w:ascii="Arial" w:hAnsi="Arial"/>
          <w:sz w:val="21"/>
        </w:rPr>
        <w:t xml:space="preserve"> </w:t>
      </w:r>
      <w:proofErr w:type="spellStart"/>
      <w:r>
        <w:rPr>
          <w:rFonts w:ascii="Arial" w:hAnsi="Arial"/>
          <w:sz w:val="21"/>
        </w:rPr>
        <w:t>List</w:t>
      </w:r>
      <w:proofErr w:type="spellEnd"/>
      <w:r>
        <w:rPr>
          <w:rFonts w:ascii="Arial" w:hAnsi="Arial"/>
          <w:sz w:val="21"/>
        </w:rPr>
        <w:t xml:space="preserve"> RS] nro 91/15), voidaan toimittaa säännölliseen tai ylimääräiseen tarkastukseen näiden sääntöjen mukaisesti edellyttäen, että ne täyttävät näiden sääntöjen säännölliseen tarkastukseen liittyvät vaatimukset.</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25 §</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(voimaantulo)</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Nämä säännöt tulevat voimaan viidentenätoista päivänä sen jälkeen, kun ne on julkaistu Slovenian tasavallan virallisessa lehdessä.</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Nro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Ljubljana, 19 päivänä maaliskuuta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proofErr w:type="spellStart"/>
      <w:r>
        <w:rPr>
          <w:rFonts w:ascii="Arial" w:hAnsi="Arial"/>
          <w:sz w:val="21"/>
        </w:rPr>
        <w:t>Matjaž</w:t>
      </w:r>
      <w:proofErr w:type="spellEnd"/>
      <w:r>
        <w:rPr>
          <w:rFonts w:ascii="Arial" w:hAnsi="Arial"/>
          <w:sz w:val="21"/>
        </w:rPr>
        <w:t xml:space="preserve"> </w:t>
      </w:r>
      <w:proofErr w:type="spellStart"/>
      <w:r>
        <w:rPr>
          <w:rFonts w:ascii="Arial" w:hAnsi="Arial"/>
          <w:sz w:val="21"/>
        </w:rPr>
        <w:t>Han</w:t>
      </w:r>
      <w:proofErr w:type="spellEnd"/>
      <w:r>
        <w:rPr>
          <w:rFonts w:ascii="Arial" w:hAnsi="Arial"/>
          <w:sz w:val="21"/>
        </w:rPr>
        <w:t xml:space="preserve"> </w:t>
      </w:r>
    </w:p>
    <w:p w14:paraId="1C1D48C4" w14:textId="77777777" w:rsidR="00221B1A" w:rsidRDefault="00E123F5">
      <w:pPr>
        <w:rPr>
          <w:rFonts w:ascii="Arial" w:eastAsia="Arial" w:hAnsi="Arial" w:cs="Arial"/>
        </w:rPr>
      </w:pPr>
      <w:r>
        <w:rPr>
          <w:rFonts w:ascii="Arial" w:hAnsi="Arial"/>
        </w:rPr>
        <w:t xml:space="preserve">Talous-, matkailu- ja urheiluministeri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C0803"/>
    <w:rsid w:val="009A4E1D"/>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19/515/oj" TargetMode="External"/><Relationship Id="rId5" Type="http://schemas.openxmlformats.org/officeDocument/2006/relationships/hyperlink" Target="http://data.europa.eu/eli/reg/2008/764/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2298</Words>
  <Characters>19672</Characters>
  <Application>Microsoft Office Word</Application>
  <DocSecurity>0</DocSecurity>
  <Lines>351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2024-08-14T10:43:00Z</dcterms:created>
  <dcterms:modified xsi:type="dcterms:W3CDTF">2024-08-14T10:43:00Z</dcterms:modified>
</cp:coreProperties>
</file>