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Decretul guvernamental nr. 559/2023 din 14 decembrie 2023 privind</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activitățile de prevenire a producerii de deșeuri biodegradabile, norme detaliate privind activitățile de gestionare a deșeurilor legate de deșeurile biodegradabile și clasificarea compostului produs din deșeuri biologice</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În temeiul autorizației acordate prin articolul 88 alineatul (1) punctele 28 și 29 din Legea CLXXXV din 2012 privind deșeurile și în ceea ce privește articolul 20, pe baza autorizației acordate în temeiul articolului 31 alineatul (1) litera (a) litera dublă (ac) din Legea CXXX din 2010 privind legislația și acționând în cadrul funcțiilor sale prevăzute la articolul 15 alineatul (1) din Legea fundamentală, guvernul stabilește următoarele:</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Domeniul de aplicare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(1) Prezentul regulament se referă la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prevenirea producerii de deșeuri biodegradabile;</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deșeurile biodegradabile;</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deșeurile stabilizate;</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deșeurile mixte;</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reziduurile de fermentație;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compost;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compostarea la domiciliu și comunitară;</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compostarea la fața locului;</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materialele bioplastice compostabile;</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adjuvantul tehnologic pentru compostarea la fața locului;</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stabilizare;</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producția de biogaz;</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adjuvantul tehnologic pentru producția de biogaz și</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încetarea statutului de deșeu al deșeurilor biodegradabile.</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Prezentul regulament nu se aplică:</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eliminării biologice a formațiunilor geologice contaminate sau a solurilor contaminate excavate în cadrul unui proces de remediere;</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reziduurilor de suprafață și subterane ale culturilor formate în timpul activităților agricole și forestiere;</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biogazului format în mod natural în depozitul de deșeuri și</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deșeurilor de ulei de gătit și grăsimi care fac obiectul schemei de răspundere extinsă a producătorilor.</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Definiții</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2</w:t>
      </w:r>
      <w:r>
        <w:rPr>
          <w:rFonts w:ascii="Times New Roman" w:hAnsi="Times New Roman"/>
          <w:sz w:val="24"/>
        </w:rPr>
        <w:t>  În sensul prezentului decret:</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„subprodus de origine animală”</w:t>
      </w:r>
      <w:r>
        <w:rPr>
          <w:rFonts w:ascii="Times New Roman" w:hAnsi="Times New Roman"/>
          <w:sz w:val="24"/>
        </w:rPr>
        <w:t xml:space="preserve"> înseamnă subproduse de origine animală în sensul articolului 3 alineatul (1) din Regulamentul (CE) nr. 1069/2009 al Parlamentului European și al Consiliului din 21 octombrie 2009 de stabilire a unor norme sanitare privind subprodusele de origine animală și produsele derivate care nu sunt destinate consumului uman și de abrogare a Regulamentului (CE) nr. 1774/2002 (denumit în continuare „Regulamentul privind subprodusele de origine animală”);</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„produse derivate” înseamnă produse derivate din subproduse de origine animală în sensul articolului 3 alineatul (2) din Regulamentul (CE) nr. 1069/2009 al Parlamentului European și al Consiliului din 21 octombrie 2009 de stabilire a unor norme sanitare privind subprodusele de origine animală și produsele derivate care nu sunt destinate consumului uman și de abrogare a Regulamentului (CE) nr. 1774/2002 (denumit în continuare „Regulamentul privind subprodusele de origine animală”);</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„biogaz”</w:t>
      </w:r>
      <w:r>
        <w:rPr>
          <w:rFonts w:ascii="Times New Roman" w:hAnsi="Times New Roman"/>
          <w:sz w:val="24"/>
        </w:rPr>
        <w:t xml:space="preserve"> înseamnă un amestec de metan, dioxid de carbon și urme de gaze, formate în timpul descompunerii anaerobe a unei substanțe biodegradabile;</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„producție de biogaz”</w:t>
      </w:r>
      <w:r>
        <w:rPr>
          <w:rFonts w:ascii="Times New Roman" w:hAnsi="Times New Roman"/>
          <w:sz w:val="24"/>
        </w:rPr>
        <w:t xml:space="preserve"> înseamnă o operațiune de recuperare în care materialul sau deșeurile biodegradabile sunt descompuse în condiții controlate, într-un mediu anaerob, cu utilizarea microorganismelor, ceea ce duce la formarea biogazului și a reziduurilor de fermentație ca urmare a descompunerii;</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„tratament biologic”</w:t>
      </w:r>
      <w:r>
        <w:rPr>
          <w:rFonts w:ascii="Times New Roman" w:hAnsi="Times New Roman"/>
          <w:sz w:val="24"/>
        </w:rPr>
        <w:t xml:space="preserve"> înseamnă producția de biogaz, tratarea prealabilă a deșeurilor verzi, compostarea și stabilizarea;</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„zonă de tratare prealabilă”</w:t>
      </w:r>
      <w:r>
        <w:rPr>
          <w:rFonts w:ascii="Times New Roman" w:hAnsi="Times New Roman"/>
          <w:sz w:val="24"/>
        </w:rPr>
        <w:t xml:space="preserve"> înseamnă un loc sau o zonă completă cu protecție tehnică, care face parte din situl utilizat pentru pregătirea tratării biologice și în care se începe tratarea deșeurilor biodegradabile;</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„reziduuri de fermentație”</w:t>
      </w:r>
      <w:r>
        <w:rPr>
          <w:rFonts w:ascii="Times New Roman" w:hAnsi="Times New Roman"/>
          <w:sz w:val="24"/>
        </w:rPr>
        <w:t xml:space="preserve"> înseamnă deșeuri solide sau lichide generate în timpul producției de biogaz;</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w:t>
      </w:r>
      <w:r>
        <w:rPr>
          <w:rFonts w:ascii="Times New Roman" w:hAnsi="Times New Roman"/>
          <w:i/>
          <w:sz w:val="24"/>
        </w:rPr>
        <w:t>„deșeuri alimentare”</w:t>
      </w:r>
      <w:r>
        <w:rPr>
          <w:rFonts w:ascii="Times New Roman" w:hAnsi="Times New Roman"/>
          <w:sz w:val="24"/>
        </w:rPr>
        <w:t xml:space="preserve"> înseamnă deșeurile alimentare, astfel cum sunt definite în anexa 1 la Regulamentul (UE) nr. 142/2011 al Comisiei de punere în aplicare a Regulamentului (CE) nr. 1069/2009 al Parlamentului European și al Consiliului de stabilire a unor norme sanitare privind subprodusele de origine animală și produsele derivate care nu sunt destinate consumului uman și de punere în aplicare a Directivei 97/78/CE a Consiliului în ceea ce privește anumite probe și produse exceptate de la controalele sanitar-veterinare la frontieră în temeiul directivei respective, precum și produsele alimentare – în sensul articolului 2 din Regulamentul (CE) nr. 178/2002 al Parlamentului European și al Consiliului din 28 ianuarie 2002 de stabilire a principiilor și a cerințelor generale ale legislației alimentare, de instituire a Autorității Europene pentru Siguranța Alimentară și de stabilire a procedurilor în domeniul siguranței produselor alimentare – care au devenit deșeuri;</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„compostare la domiciliu”</w:t>
      </w:r>
      <w:r>
        <w:rPr>
          <w:rFonts w:ascii="Times New Roman" w:hAnsi="Times New Roman"/>
          <w:sz w:val="24"/>
        </w:rPr>
        <w:t xml:space="preserve"> înseamnă prelucrarea pentru uz propriu a deșeurilor verzi și a deșeurilor verzi de bucătărie sau a altor materii organice de origine vegetală, în imobilul în care sunt produse sau în care sunt generate sau pe teritoriul unei alte proprietăți de compostare la domiciliu, pentru a furniza substanțe nutritive plantelor, prin care prelucrarea are ca rezultat formarea compostului menajer;</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„igienizare”</w:t>
      </w:r>
      <w:r>
        <w:rPr>
          <w:rFonts w:ascii="Times New Roman" w:hAnsi="Times New Roman"/>
          <w:sz w:val="24"/>
        </w:rPr>
        <w:t xml:space="preserve"> înseamnă minimizarea formei vegetative a microbilor infecțioși din deșeurile biodegradabile pentru a exclude infecția;</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„compost”</w:t>
      </w:r>
      <w:r>
        <w:rPr>
          <w:rFonts w:ascii="Times New Roman" w:hAnsi="Times New Roman"/>
          <w:sz w:val="24"/>
        </w:rPr>
        <w:t xml:space="preserve"> înseamnă deșeuri în conformitate cu anexa 1 precum și materialele asemănătoare humusului cu un conținut ridicat de materie organică, astfel cum sunt definite în legislația separată, care sunt produse din deșeuri vegetale menajere și din deșeuri vegetale de bucătărie, cu ajutorul ajutorului tehnologic, în cursul compostării la domiciliu și comunitare sau la fața locului și care au încetat să mai fie deșeuri;</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„unitate de compostare”</w:t>
      </w:r>
      <w:r>
        <w:rPr>
          <w:rFonts w:ascii="Times New Roman" w:hAnsi="Times New Roman"/>
          <w:sz w:val="24"/>
        </w:rPr>
        <w:t xml:space="preserve"> înseamnă un lot de deșeuri biodegradabile și de adjuvanți tehnologici tratați în mod uniform în conformitate cu tehnologia aplicată, în urma operațiunilor de tratare prealabilă;</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„lot de compost”</w:t>
      </w:r>
      <w:r>
        <w:rPr>
          <w:rFonts w:ascii="Times New Roman" w:hAnsi="Times New Roman"/>
          <w:sz w:val="24"/>
        </w:rPr>
        <w:t xml:space="preserve"> înseamnă compost din aceeași unitate de compostare;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„deșeuri biodegradabile care fac obiectul unei concesiuni”</w:t>
      </w:r>
      <w:r>
        <w:rPr>
          <w:rFonts w:ascii="Times New Roman" w:hAnsi="Times New Roman"/>
          <w:sz w:val="24"/>
        </w:rPr>
        <w:t xml:space="preserve"> înseamnă deșeurile vegetale ecologice biodegradabile, care provin dintr-o grădină sau dintr-un parc și care fac obiectul unei concesiuni în temeiul Legii privind deșeurile, precum și deșeurile vegetale de bucătărie și deșeurile alimentare tratate ca deșeuri similare deșeurilor menajere generate de un utilizator de bunuri imobile casnice sau (necomerciale) sau deșeurile vegetale și alimentare de bucătărie generate de un (organizație economică) proprietar imobiliar, altul decât un operator, în conformitate cu decretul ministerial de stabilire a normelor de sănătate animală pentru subprodusele de origine animală care nu sunt destinate consumului uman;</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„deșeuri alimentare de bucătărie”</w:t>
      </w:r>
      <w:r>
        <w:rPr>
          <w:rFonts w:ascii="Times New Roman" w:hAnsi="Times New Roman"/>
          <w:sz w:val="24"/>
        </w:rPr>
        <w:t xml:space="preserve"> înseamnă alimente de bucătărie și alimente destinate consumului uman în gospodării, care au devenit deșeuri și care nu sunt considerate deșeuri vegetale de bucătărie;</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„deșeuri vegetale de bucătărie”</w:t>
      </w:r>
      <w:r>
        <w:rPr>
          <w:rFonts w:ascii="Times New Roman" w:hAnsi="Times New Roman"/>
          <w:sz w:val="24"/>
        </w:rPr>
        <w:t xml:space="preserve"> înseamnă deșeurile de legume de bucătărie provenite de la gospodării sunt considerate deșeuri vegetale de bucătărie, în cazul în care deșeurile vegetale de bucătărie conțin reziduuri de legume și fructe brute, zaț de cafea (cu excepția filtrelor, capsulelor și a altor materiale de ambalare), frunze de ceai (fără sac și alte materiale de ambalare), condimente, ierburi aromatice, coji de ouă;</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17. </w:t>
      </w:r>
      <w:r>
        <w:rPr>
          <w:rFonts w:ascii="Times New Roman" w:hAnsi="Times New Roman"/>
          <w:i/>
          <w:sz w:val="24"/>
        </w:rPr>
        <w:t>„colecție comunitară”</w:t>
      </w:r>
      <w:r>
        <w:rPr>
          <w:rFonts w:ascii="Times New Roman" w:hAnsi="Times New Roman"/>
          <w:sz w:val="24"/>
        </w:rPr>
        <w:t xml:space="preserve"> înseamnă colectarea separată a deșeurilor vegetale și a deșeurilor vegetale de bucătărie într-o locație apropiată de clădirile rezidențiale, de către o comunitate de utilizatori imobiliari (persoane fizice) care locuiesc într-o serie de clădiri rezidențiale;</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„compostare comunitară”</w:t>
      </w:r>
      <w:r>
        <w:rPr>
          <w:rFonts w:ascii="Times New Roman" w:hAnsi="Times New Roman"/>
          <w:sz w:val="24"/>
        </w:rPr>
        <w:t xml:space="preserve"> înseamnă compostare la domiciliu în cazul în care tratarea prealabilă a compostării, compostarea și utilizarea compostului sunt efectuate în comun de condominii, cooperative de locuințe sau comunități mici;</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„intensitate respiratorie”</w:t>
      </w:r>
      <w:r>
        <w:rPr>
          <w:rFonts w:ascii="Times New Roman" w:hAnsi="Times New Roman"/>
          <w:sz w:val="24"/>
        </w:rPr>
        <w:t xml:space="preserve"> înseamnă consumul de oxigen din conținutul de materie organică al deșeurilor biodegradabile [mg O</w:t>
      </w:r>
      <w:r>
        <w:rPr>
          <w:rFonts w:ascii="Times New Roman" w:hAnsi="Times New Roman"/>
          <w:sz w:val="24"/>
          <w:vertAlign w:val="subscript"/>
        </w:rPr>
        <w:t>2</w:t>
      </w:r>
      <w:r>
        <w:rPr>
          <w:rFonts w:ascii="Times New Roman" w:hAnsi="Times New Roman"/>
          <w:sz w:val="24"/>
        </w:rPr>
        <w:t>/g substanță uscată];</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„compost certificat de produs”</w:t>
      </w:r>
      <w:r>
        <w:rPr>
          <w:rFonts w:ascii="Times New Roman" w:hAnsi="Times New Roman"/>
          <w:sz w:val="24"/>
        </w:rPr>
        <w:t xml:space="preserve"> înseamnă deșeuri în conformitate cu anexa 1, precum și produsele fertilizante și de îmbunătățire a solului care nu mai sunt în stare de deșeu și care sunt adecvate pentru utilizarea agricolă, astfel cum se prevede în autorizație; astfel de substanțe fertilizante și de îmbunătățire a solului de tipul humusului sunt produse prin compostare la fața locului cu ajutorul adjuvantului tehnologic, sunt bogate în nutrienți vegetali, cu un conținut ridicat de materie organică și sunt autorizate să fie comercializate în conformitate cu decretul ministerial privind autorizarea, depozitarea, comercializarea și utilizarea produselor care îmbunătățesc randamentul;</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„sistem de compostare deschis”</w:t>
      </w:r>
      <w:r>
        <w:rPr>
          <w:rFonts w:ascii="Times New Roman" w:hAnsi="Times New Roman"/>
          <w:sz w:val="24"/>
        </w:rPr>
        <w:t xml:space="preserve"> înseamnă tehnologia de compostare utilizată la locul de compostare, prin care unitatea de compostare este în contact direct cu aerul, iar unitatea de compostare nu este acoperită, închisă de elemente tehnice sau arhitecturale;</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„stabilizare”</w:t>
      </w:r>
      <w:r>
        <w:rPr>
          <w:rFonts w:ascii="Times New Roman" w:hAnsi="Times New Roman"/>
          <w:sz w:val="24"/>
        </w:rPr>
        <w:t xml:space="preserve"> înseamnă o operațiune de tratare prealabilă în care biodegradabilitatea deșeurilor mixte (care conțin deșeuri biodegradabile) este redusă prin combinațiile necesare de procese mecanice și biologice, rezultând o reducere a intensității respirației și crearea de deșeuri stabilizate care îndeplinesc condițiile de igienă, a căror intensitate respiratorie (AT4) a scăzut sub 10 mg O</w:t>
      </w:r>
      <w:r>
        <w:rPr>
          <w:rFonts w:ascii="Times New Roman" w:hAnsi="Times New Roman"/>
          <w:sz w:val="24"/>
          <w:vertAlign w:val="subscript"/>
        </w:rPr>
        <w:t>2</w:t>
      </w:r>
      <w:r>
        <w:rPr>
          <w:rFonts w:ascii="Times New Roman" w:hAnsi="Times New Roman"/>
          <w:sz w:val="24"/>
        </w:rPr>
        <w:t>/g substanță uscată;</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„deșeuri stabilizate”</w:t>
      </w:r>
      <w:r>
        <w:rPr>
          <w:rFonts w:ascii="Times New Roman" w:hAnsi="Times New Roman"/>
          <w:sz w:val="24"/>
        </w:rPr>
        <w:t xml:space="preserve"> înseamnă o substanță derivată din tratamentul mecanic-biologic al deșeurilor biologice improprii compostării sau biodegradării anaerobe, în cazul cărora, după stabilizare, intensitatea respirației (AT4) după patru zile scade sub 10 mg O</w:t>
      </w:r>
      <w:r>
        <w:rPr>
          <w:rFonts w:ascii="Times New Roman" w:hAnsi="Times New Roman"/>
          <w:sz w:val="24"/>
          <w:vertAlign w:val="subscript"/>
        </w:rPr>
        <w:t>2</w:t>
      </w:r>
      <w:r>
        <w:rPr>
          <w:rFonts w:ascii="Times New Roman" w:hAnsi="Times New Roman"/>
          <w:sz w:val="24"/>
        </w:rPr>
        <w:t>/g, iar intensitatea respirației dinamice este mai mică de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„compostare la fața locului”</w:t>
      </w:r>
      <w:r>
        <w:rPr>
          <w:rFonts w:ascii="Times New Roman" w:hAnsi="Times New Roman"/>
          <w:sz w:val="24"/>
        </w:rPr>
        <w:t xml:space="preserve"> înseamnă o operațiune de recuperare într-un loc de compostare prin care deșeurile biodegradabile și adjuvantul tehnologic adăugat sunt degradate prin procese biologice autotermale și termofile prin intermediul microorganismelor și al altor organisme vii în prezența oxigenului și, prin urmare, se formează un compost cu componente și agenți patogeni organici și anorganici stabili din punct de vedere biologic, a căror concentrație în compost nu depășește valorile specificate în anexa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„bioplastice adecvate pentru compostarea la fața locului”</w:t>
      </w:r>
      <w:r>
        <w:rPr>
          <w:rFonts w:ascii="Times New Roman" w:hAnsi="Times New Roman"/>
          <w:sz w:val="24"/>
        </w:rPr>
        <w:t xml:space="preserve"> înseamnă deșeuri de plastic, marcate sau certificate pentru biodegradare, care respectă standardul MSZ EN 13432 sau o soluție tehnică echivalentă și care, pe lângă compostarea la fața locului, pot fi utilizate pentru producția de biogaz, dacă sunt colectate împreună cu deșeurile alimentare de bucătărie;</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„sistem închis de compostare”</w:t>
      </w:r>
      <w:r>
        <w:rPr>
          <w:rFonts w:ascii="Times New Roman" w:hAnsi="Times New Roman"/>
          <w:sz w:val="24"/>
        </w:rPr>
        <w:t xml:space="preserve"> înseamnă tehnologia de compostare utilizată la locul de compostare, în care procesul de compostare se desfășoară într-o unitate închisă cu ajutorul unor elemente tehnice sau arhitecturale.</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Norme privind prevenirea generării de deșeuri biodegradabile</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3. </w:t>
      </w:r>
      <w:r>
        <w:rPr>
          <w:rFonts w:ascii="Times New Roman" w:hAnsi="Times New Roman"/>
          <w:sz w:val="24"/>
        </w:rPr>
        <w:t>(1) În cazul în care acest lucru este fezabil din punct de vedere tehnic, benefic pentru mediu și adecvat din punct de vedere economic, materia organică pe bază de plante face obiectul compostării la domiciliu sau comunitare.</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Compostul în conformitate cu normele prezentului decret poate fi luat în considerare pentru a atinge valoarea-țintă prevăzută în Decizia de punere în aplicare (UE) 2019/1004 a Comisiei din 7 iunie 2019 de stabilire a normelor pentru calculul, verificarea și raportarea datelor privind deșeurile în conformitate cu Directiva 2008/98/CE a Parlamentului European și a Consiliului și de abrogare a Deciziei de punere în aplicare C(2012) 2384 a Comisiei.</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Cel puțin o dată la cinci ani, compania de concesiune colectează date privind cantitatea și utilizarea compostului generat prin compostarea la domiciliu sau comunitară.</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Sensibilizarea și educarea populației cu privire la prevenirea generării de deșeuri biodegradabile vor fi puse în aplicare cu ajutorul Programului național pentru prevenirea risipei de alimente. Acest program, care este operat de Oficiul Național pentru Siguranța Lanțului Alimentar (NÉBIH), va contribui la cauza cu o serie de prelegeri la nivel național, sub titlul „Maradék nélkül” („Wasteless”), pentru a permite Ungariei să atingă obiectivul nr. 12.3 din obiectivele de dezvoltare durabilă ale Organizației Națiunilor Unite până în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Norme privind colectarea separată a deșeurilor biodegradabile</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(1) Deșeurile biodegradabile sunt colectate de deținătorul deșeurilor, în mod voluntar, la locul generării deșeurilor, într-un container de colectare destinat exclusiv în acest scop și într-un mod care să nu pună în pericol mediul.</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În cadrul activităților sale menționate la alineatul (9), societatea de concesiune pune la dispoziția deținătorului de deșeuri un container special pentru colectarea deșeurilor vegetale de bucătărie și a deșeurilor alimentare de bucătărie. </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În ceea ce privește transportul și monitorizarea deșeurilor alimentare de bucătărie, dispozițiile relevante din Decretul ministerial de stabilire a normelor de sănătate animală pentru subprodusele de origine animală care nu sunt destinate consumului uman se aplică în cazul în care prelucrarea se efectuează într-o instalație de biogaz sau compost.  În ceea ce privește deșeurile biodegradabile care fac obiectul unei concesiuni, cerințele pentru emiterea unui document comercial, astfel cum sunt prevăzute de Decretul ministerial de stabilire a normelor de sănătate animală pentru subprodusele de origine animală care nu sunt destinate consumului uman, nu se aplică primirii și acceptării din gospodării.</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Se interzice utilizarea deșeurilor alimentare colectate separat din gospodării în scopul hrănirii, iar deținătorul de licență nu are dreptul de a utiliza astfel de deșeuri nici direct, nici indirect.</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Colectarea, transportul și monitorizarea deșeurilor alimentare de la organizațiile economice, atunci când sunt prelucrate într-o instalație de biogaz și compostare, se efectuează în conformitate cu dispozițiile relevante din Decretul ministerial de stabilire a normelor de sănătate animală pentru subprodusele de origine animală care nu sunt destinate consumului uman.</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Metoda și frecvența primirii, colectării și transportului deșeurilor biodegradabile care fac obiectul unei concesiuni sunt stabilite de societatea de concesiune.</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(7) Colectarea și transportul deșeurilor biodegradabile care fac obiectul concesiunii pot fi efectuate cu o autorizație de gestionare a deșeurilor.</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Deținătorul de deșeuri se asigură că deșeurile biodegradabile furnizate societății de concesiune nu conțin alte deșeuri, inclusiv materiale de ambalare și materiale străine.</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Societatea concesionară asigură condițiile de colectare separată în temeiul prezentului decret, atunci când acest lucru este fezabil din punct de vedere tehnic și profesional. Societatea de concesiune asigură în primul rând colectarea din ușă în ușă dacă aceasta nu implică costuri economice disproporționate. Societatea de concesiune înființează puncte de colectare a deșeurilor într-o dimensiune care corespunde numărului de rezidenți, în cazul în care colectarea din ușă în ușă nu este disponibilă.</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Fără a aduce atingere dispozițiilor Decretului guvernamental privind normele care reglementează proiectarea și funcționarea anumitor instalații de gestionare a deșeurilor, societatea de concesiune desemnează șantierul de colectare a deșeurilor exploatat de societatea de concesionare sau de un subcontractant al concesiunii drept punct de colectare a deșeurilor.</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5</w:t>
      </w:r>
      <w:r>
        <w:rPr>
          <w:rFonts w:ascii="Times New Roman" w:hAnsi="Times New Roman"/>
          <w:sz w:val="24"/>
        </w:rPr>
        <w:t>  Deșeurile biodegradabile care conțin substanțele enumerate în anexele I și II la Regulamentul (UE) 2019/1021 privind poluanții organici persistenți nu pot face obiectul compostării și nu trebuie transformate în reziduuri de fermentație.</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Norme privind colectarea separată a deșeurilor vegetale și a deșeurilor vegetale de bucătărie la nivel comunitar</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6</w:t>
      </w:r>
      <w:r>
        <w:rPr>
          <w:rFonts w:ascii="Times New Roman" w:hAnsi="Times New Roman"/>
          <w:sz w:val="24"/>
        </w:rPr>
        <w:t xml:space="preserve">  În cazul în care deșeurile vegetale și deșeurile vegetale de bucătărie nu pot fi utilizate în niciun alt mod, astfel cum sunt definite la articolul 8, atunci deșeurile vegetale colectate separat și deșeurile vegetale de bucătărie se utilizează în principal prin compostarea la fața locului sau producția de biogaz și, în ultimă instanță, se utilizează prin valorificare energetică într-o centrală electrică pe bază de biomasă.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(1) Colectarea comunitară poate fi efectuată într-o zonă determinată de societatea de concesionare și convenită cu comunitatea locală sau într-o zonă privată întreținută de comunitatea rezidențială, dar numai într-un loc desemnat în cadrul imobilului.</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Accesul liber la amplasamentul de colectare comunitară, chiar și pentru persoanele cu handicap, trebuie asigurat în permanență.</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Colectarea comunitară poate fi efectuată fără o autorizație de gestionare a deșeurilor.</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Deșeurile vegetale care conțin componente periculoase la punctul de colectare comunitară, plasticul necertificat pentru biodegradabilitate în condiții de compostare la domiciliu și deșeurile, altele decât deșeurile vegetale și deșeurile vegetale menajere, nu se depozitează.</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Proprietarul imobilului sau o persoană care a fost mandatată, printr-un acord scris, de către comunitate sau comunitatea rezidențială trebuie să prevadă următoarele: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curățarea și întreținerea amplasamentului de colectare comunitară, precum și asigurarea personalului și a condițiilor materiale necesare; și</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instalarea, la fața locului, a unui panou informativ care să precizeze condițiile de utilizare.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Proprietarul imobilului implicat în colectare sau persoana autorizată de proprietar trebuie să notifice societății concesionare activitatea de colectare comunitară, chiar în momentul în care se stabilește amplasarea zonei închise, înainte de începerea și după încheierea colectării comunitare.</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Norme privind compostarea la domiciliu, compostarea comunitară și compostarea la fața locului</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(1) Cerințele fizice, chimice și biologice pentru composturile de uz neagricol sunt specificate în anexa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Proprietarul imobilului utilizat pentru compostare este responsabil cu implementarea sarcinilor de compostare la domiciliu și comunitară.</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Punerea în aplicare a sarcinilor de compostare la nivel comunitar prevăzute la alineatul (2) este gestionată în cadrul comunității prin intermediul unei persoane sau organizații desemnate de comunitate sau prin intermediul unei persoane sau organizații autorizate printr-un acord scris al comunității.</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Persoana sau entitatea menționată la alineatul (3) se ocupă de</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curățarea și întreținerea locului de colectare și asigurarea personalului și a condițiilor materiale necesare;</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instalarea, la fața locului, a panoului informativ care precizează condițiile de utilizare;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utilizarea compostului format;</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datele privind cantitatea și utilizarea compostului produs, care sunt furnizate societății concesionare în modul prevăzut de societatea concesionară.</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Compostarea la domiciliu sau comunitară nu poate fi utilizată pentru tratarea subproduselor de origine animală și a produselor derivate sau a materialelor plastice necertificate pentru biodegradabilitate în condiții de compostare la domiciliu.</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Deșeurile vegetale care conțin componente periculoase și deșeurile, altele decât deșeurile vegetale, nu se utilizează la compostarea la domiciliu și comunitară.</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(1) Compostarea la fața locului poate fi efectuată numai cu o autorizație de gestionare a deșeurilor pentru recuperare și se efectuează într-un loc de compostare printr-o operațiune de recuperare R3c specificată în Decretul ministerial de enumerare a operațiunilor de eliminare și recuperare legate de gestionarea deșeurilor.</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Pentru compostarea la fața locului a deșeurilor biodegradabile, tipurile de deșeuri și de adjuvanți tehnologici menționați în anexa 1pe lângă tipurile de deșeuri care pot fi utilizate ca adjuvanți tehnologici, pot fi utilizate.</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Nămolurile de epurare pot fi utilizate în timpul compostării la fața locului, atât timp cât sunt respectate cerințele stabilite în Decretul guvernamental privind normele de utilizare agricolă și de gestionare a apelor reziduale și a nămolurilor de epurare și există o autorizație de gestionare a deșeurilor eliberată în conformitate cu Decretul guvernamental privind înregistrarea și autorizarea oficială a activităților de gestionare a deșeurilor.</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Bioplasticele compostabile pot fi supuse unui tratament numai în cursul compostării la fața locului.</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(1) Normele tehnice pentru compostarea la fața locului, stabilizarea și producția de biogaz, precum și condițiile tehnice și operaționale necesare pentru compostarea la fața locului sunt specificate în anexa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Deșeurile biodegradabile, inclusiv bioplasticele care pot fi tratate prin compostare la fața locului, se depozitează separat de orice alte deșeuri și materiale în zona de tratare prealabilă până la începerea compostării.</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Pregătirea pentru compostarea deșeurilor biodegradabile, inclusiv a bioplasticelor care pot fi tratate prin compostare la fața locului, ar trebui începută în zona de tratare prealabilă. Deșeurile trebuie apoi transferate în zona de compostare pentru a efectua o tratare suplimentară.</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Se efectuează compostarea la fața locului în zona de compostare</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într-un sistem de compostare deschis,</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într-un sistem de compostare închis sau</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într-o combinație de unități în conformitate cu literele (a) și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Deșeurile biodegradabile, inclusiv bioplasticele care pot fi tratate prin compostare la fața locului, trebuie aranjate într-o unitate de compostare în zona de compostare, în funcție de sistemul de compostare selectat.</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Datele colectate de organismul de control al lanțului alimentar (astfel cum se prevede în Decretul ministerial de stabilire a normelor de sănătate animală pentru subprodusele de origine animală care nu sunt destinate consumului uman) cu privire la cantitatea de deșeuri alimentare – care pot fi clasificate ca subproduse de origine animală transferate sau primite pentru prelucrare – pot fi luate în considerare pentru numărul țintă de reciclare, în cazul prelucrării, la verificarea îndeplinirii obiectivului.</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Norme de stabilizare</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(1) Tipurile de deșeuri și adjuvanții tehnologici care pot fi utilizați pentru tratarea și stabilizarea biologică, precum și tipurile de deșeuri care pot fi utilizate ca adjuvanți tehnologici sunt specificate în anexa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Pentru stabilizare, numai deșeurile enumerate în anexa 1 pot fi utilizate, a căror tratare biologică poate fi efectuată cu o autorizație de gestionare a deșeurilor, sub rezerva normelor prevăzute de Decretul guvernamental privind înregistrarea și autorizarea oficială a activităților de gestionare a deșeurilor.</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Deșeurile stabilizate rezultate în urma stabilizării se utilizează numai pentru operațiunile de recuperare sau eliminare stabilite de autoritatea de gestionare a deșeurilor.</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Stabilizarea se efectuează într-o zonă cu pavaj solid.</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În timpul exploatării unui depozit de deșeuri, deșeurile stabilizate pot fi utilizate ca strat de acoperire sau pot fi utilizate pentru recultivarea lor pentru a acționa ca strat de nivelare sau de acoperire ca parte a stratului final superior, în conformitate cu Decretul ministerial privind anumite norme și condiții privind depozitarea deșeurilor și depozitele de deșeuri, prin care deșeurile stabilizate pot fi utilizate în măsura descrisă în orientările tehnice privind protecția și tehnologia, ținând seama de cele mai bune abordări disponibile pentru prevenirea poluării mediului și reducerea acesteia, astfel cum sunt definite în autorizația de gestionare a deșeurilor pentru eliminare.  Într-o măsură mai mare, biodeșeurile stabilizate nu se utilizează în scopul recuperării în timpul exploatării depozitului de deșeuri.</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Cantitatea de deșeuri stabilizate care poate fi utilizată la recultivarea unui depozit de deșeuri nu trebuie să depășească 500 de tone la hectar în substanța uscată.</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Condițiile tehnice necesare pentru stabilizare sunt specificate în anexa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Norme privind producția de biogaz</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(1) În cazul în care deșeurile biodegradabile sunt transportate la o instalație de biogaz, producția de biogaz cu autorizație de gestionare a deșeurilor poate fi realizată prin intermediul unei operațiuni de recuperare R3, astfel cum este definită în decretul ministerial, care enumeră operațiunile de eliminare și recuperare legate de gestionarea deșeurilor.</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Înființarea, autorizarea și exploatarea unei instalații de biogaz care prelucrează și subproduse de origine animală fac obiectul Decretului ministerial de stabilire a normelor de sănătate animală pentru subprodusele de origine animală care nu sunt destinate consumului uman, articolului 24 din Regulamentul (CE) nr. 1069/2009 al Parlamentului European și al Consiliului din 21 octombrie 2009 de stabilire a unor norme sanitare privind subprodusele de origine animală și produsele derivate care nu sunt destinate consumului uman și de abrogare a Regulamentului (CE) nr. 1774/2002 (Regulamentul privind subprodusele de origine animală) și al anexei V la Regulamentul (UE) nr. 142/2011 al Comisiei de punere în aplicare a Regulamentului (CE) nr. 1069/2009 a Parlamentului European și a Consiliului de stabilire a unor norme sanitare privind subprodusele de origine animală și produsele derivate care nu sunt destinate consumului uman și de punere în aplicare a Directivei 97/78/CE a Consiliului în ceea ce privește anumite probe și produse exceptate de la controalele sanitar-veterinare la frontieră în temeiul directivei respective [denumit în continuare „Regulamentul delegat (UE) nr. 142/2011”].  </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Pentru producerea de biogaz din deșeuri biodegradabile, tipurile de deșeuri menționate în anexa 1inclusiv bioplasticele adecvate pentru compostarea la fața locului, pot fi utilizate.</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Producția de biogaz din deșeuri biodegradabile într-o instalație de biogaz poate fi realizată printr-un proces de</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fermentație umed sau</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uscat</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Condițiile tehnice necesare pentru producția de biogaz sunt specificate în anexa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Datele colectate de organismul de control al lanțului alimentar (astfel cum se prevede în Decretul ministerial de stabilire a normelor de sănătate animală pentru subprodusele de origine animală care nu sunt destinate consumului uman) cu privire la cantitatea de deșeuri alimentare – care pot fi clasificate ca subproduse de origine animală transferate sau primite pentru prelucrare – pot fi luate în considerare pentru numărul țintă de reciclare, în cazul prelucrării, la verificarea îndeplinirii obiectivului.</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Norme privind încetarea statutului de deșeu</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(1) În cazul utilizării agricole, statutul de deșeu al deșeurilor biodegradabile încetează în cazul în care compostul și reziduurile de fermentație produse din acestea îndeplinesc cerințele specifice stabilite în</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Decretul ministerial privind autorizarea, depozitarea, comercializarea și utilizarea substanțelor care îmbunătățesc randamentul și</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Regulamentul (CE) 2019/1009 de stabilire a normelor privind punerea la dispoziție pe piață a produselor fertilizante UE.</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În cazul utilizărilor neagricole, statutul de deșeu al deșeurilor biodegradabile încetează în cazul în care compostul și reziduurile de fermentație produse din acestea îndeplinesc cerințele specificate în anexa 2. </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(1) Compostul poate fi predat de operatorul instalației de compostare și reziduurile de fermentare pot fi predate de operatorul instalației de biogaz unei alte persoane pentru utilizare, în cazul în care respectarea dispozițiilor articolului 9 alineatul (1) din Legea CLXXXV din 2012 privind deșeurile, în ceea ce privește încetarea statutului de deșeu, este confirmată de operator printr-o declarație de conformitate în conformitate cu anexa 4cu excepția cazului în care compostul sau reziduul de fermentație este predat în vederea tratării ulterioare în stare de deșeu.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Declarația de conformitate se întocmește pe bază individuală pentru fiecare destinatar și pentru fiecare tranzacție.</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Declarația de conformitate certifică informațiile conținute în aceasta până la întocmirea următoarei declarații de conformitate.</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Operatorul menționat la alineatul (1) întocmește două copii ale declarației de conformitate, care păstrează prima copie ca certificat și transmite duplicatul utilizatorului în momentul expedierii sau îl transmite într-un mod verificabil.</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Declarația de conformitate se păstrează de către operator și utilizator timp de cel puțin cinci ani.</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(1) În cazul utilizărilor neagricole, caracterul adecvat al proprietăților fizice, chimice, biologice și igienice-microbiologice ale compostului în temeiul prezentului decret este verificat de operatorul amplasamentului de compostare prin intermediul unei probe reprezentative de compost. Eșantionarea și pregătirea probelor acreditate se efectuează pe baza unui standard.</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Compostul produs într-un loc de compostare se eșantionează pe lot de compostare în următoarele cazuri și frecvență:</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în cazul în care capacitatea sitului de compostare nu depășește 10 000 de tone/an de referință al deșeurilor biodegradabile, cel puțin o dată pe an din compostul produs;</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în cazul în care instalația de compostare are o capacitate de peste 10 000 de tone pe an de referință de deșeuri biodegradabile, cel puțin de două ori pe an din compostul produs sau</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dacă tehnologia de la locul de compostare se schimbă.</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Încercarea în laborator a probei de compost se efectuează în conformitate cu un standard sau cu o metodă echivalentă într-un laborator acreditat pentru încercare.  Raportul de încercare de laborator care conține rezultatele încercării se păstrează timp de cel puțin cinci ani.</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Încercările pentru poluanții organici se efectuează în cazul în care una sau mai multe dintre substanțele utilizate sunt considerate substanțe riscante în conformitate cu anexa 1. </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În cazul în care compostul nu respectă cerințele privind încetarea statutului de deșeu prevăzute în anexa 2, acesta continuă să fie tratat și clasificat ca deșeu în conformitate cu decretul ministerial privind lista deșeurilor și apoi transferat unui administrator de deșeuri care deține o autorizație valabilă de gestionare a deșeurilor sau o autorizație unificată de utilizare a mediului. </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(1) În cazul utilizărilor neagricole, caracterul adecvat al proprietăților fizice, chimice, biologice și igienice-microbiologice ale reziduului de fermentare în temeiul prezentului decret este verificat de operatorul instalației de biogaz prin intermediul unei probe reprezentative din reziduul de fermentație.</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Reziduurile de fermentație produse în instalația de biogaz se eșantionează în următoarele cazuri și frecvență:</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în cazul în care instalația de biogaz are o capacitate de maximum 10 000 tone/an de referință de deșeuri biodegradabile, cel puțin o dată pe an din reziduul de fermentație rezultat;</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în cazul în care instalația de biogaz are o capacitate de peste 10 000 tone/an de referință de deșeuri biodegradabile, cel puțin de două ori pe an din reziduul de fermentație rezultat; sau</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dacă tehnologia de la instalația de biogaz se schimbă.</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Încercarea în laborator a probei de reziduuri de fermentație se efectuează în conformitate cu un standard într-un laborator acreditat pentru încercare.  Raportul de încercare de laborator care conține rezultatele încercării se păstrează timp de cel puțin cinci ani.</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Încercările pentru poluanții organici se efectuează în cazul în care una sau mai multe dintre substanțele utilizate sunt considerate substanțe riscante în conformitate cu anexa 1. </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Dispoziții finale</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17 </w:t>
      </w:r>
      <w:r>
        <w:rPr>
          <w:rFonts w:ascii="Times New Roman" w:hAnsi="Times New Roman"/>
          <w:sz w:val="24"/>
        </w:rPr>
        <w:t xml:space="preserve"> Prezentul decret intră în vigoare la 31 decembrie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(1) Prezentul decret servește scopului conformității cu</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Directiva 2008/98 Parlamentului European și a Consiliului din 19 noiembrie 2008 privind deșeurile și de abrogare a anumitor directive.</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Directiva 1999/31/CE a Consiliului din 26 aprilie 1999 privind depozitele de deșeuri</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Proiectul de decret a făcut obiectul unei notificări prealabile în conformitate cu Directiva (UE) 2015/1535 a Parlamentului European și a Consiliului din 9 septembrie 2015 referitoare la procedura de furnizare de informații în domeniul reglementărilor tehnice și al normelor privind serviciile societății informaționale.</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19 </w:t>
      </w:r>
      <w:r>
        <w:rPr>
          <w:rFonts w:ascii="Times New Roman" w:hAnsi="Times New Roman"/>
          <w:sz w:val="24"/>
        </w:rPr>
        <w:t xml:space="preserve"> Administratorii care și-au gestionat deșeurile alimentare înainte de intrarea în vigoare a prezentului decret, în conformitate cu dispozițiile regulamentului de stabilire a normelor de sănătate animală în ceea ce privește subprodusele de origine animală care nu sunt destinate consumului uman (denumit în continuare „regulamentul”), își pot continua activitățile după intrarea în vigoare a prezentului decret, în conformitate cu normele regulamentului respectiv.</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20</w:t>
      </w:r>
      <w:r>
        <w:rPr>
          <w:rFonts w:ascii="Times New Roman" w:hAnsi="Times New Roman"/>
          <w:sz w:val="24"/>
        </w:rPr>
        <w:t xml:space="preserve">  Decretul KvVM nr. 23/2003 din 29 decembrie 2003 al Ministerului Protecției Mediului și Gospodăririi Apelor privind tratarea deșeurilor biologice și cerințele tehnice privind compostarea se abrogă.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Prim-ministru (semnat)</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Anexa 1 la Decretul guvernamental nr. 559/2023 din 14 decembrie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Tipurile de deșeuri și de adjuvanți tehnologici care pot fi utilizați pentru tratarea și stabilizarea biologică și tipurile de deșeuri care pot fi utilizate ca adjuvanți tehnologici</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Tipuri de deșeuri care pot fi utilizate pentru tratarea biologică: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079"/>
        <w:gridCol w:w="1369"/>
        <w:gridCol w:w="2775"/>
        <w:gridCol w:w="2290"/>
        <w:gridCol w:w="1156"/>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Codul de identificare</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Descrierea tipului de deșeuri</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Notă</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Substanță riscantă</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numărul principal al grupului</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numărul subgrupului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AGRICULTURĂ, HORTICULTURĂ, ACVACULTURĂ, SILVICULTURĂ, VÂNĂTOARE ȘI PESCUIT, PRECUM ȘI DIN PREPARAREA ȘI PRELUCRAREA ALIMENTELOR</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agricultură, horticultură, acvacultură, silvicultură, vânătoare și pescuit</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spălare și curățare</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țesuturi animale</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Cu excepția țesutului osos.</w:t>
            </w:r>
            <w:r>
              <w:rPr>
                <w:rFonts w:ascii="Times New Roman" w:hAnsi="Times New Roman"/>
                <w:sz w:val="24"/>
              </w:rPr>
              <w:b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țesuturi vegetale</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fecale, urină și gunoi de grajd de la animale (inclusiv resturi de paie), efluente, colectate separat și tratate în afara incintei</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Prin paie uzate se înțelege așternutul folosit pentru a înmuia fecalele, urina și gunoiul de grajd. Fără a aduce atingere legislației naționale și a UE privind </w:t>
            </w:r>
            <w:r>
              <w:rPr>
                <w:rFonts w:ascii="Times New Roman" w:hAnsi="Times New Roman"/>
                <w:sz w:val="24"/>
              </w:rPr>
              <w:lastRenderedPageBreak/>
              <w:t>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din exploatarea forestieră</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lemn netratat.</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prepararea și prelucrarea cărnii, a peștelui și a altor alimente de origine animală</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spălare și curățare</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țesuturi animale</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care sunt improprii pentru consum ori procesare</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r>
              <w:rPr>
                <w:rFonts w:ascii="Times New Roman" w:hAnsi="Times New Roman"/>
                <w:sz w:val="24"/>
              </w:rPr>
              <w:b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din prepararea și prelucrarea fructelor, legumelor, cerealelor, uleiurilor alimentare, a pudrei de cacao, a cafelei, ceaiului și tutunului; producția de conserve; producția de drojdii și extracte de drojdii, prepararea și fermentarea melaselor</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spălare, curățare, decojire, centrifugare și separare</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care sunt improprii pentru consum ori procesare</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 s-au folosit agenți de extracție.</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prelucrarea zahărului</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industria produselor lactate</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care sunt improprii pentru consum ori procesare</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r>
              <w:rPr>
                <w:rFonts w:ascii="Times New Roman" w:hAnsi="Times New Roman"/>
                <w:sz w:val="24"/>
              </w:rPr>
              <w:b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industria de panificație, patiserie și cofetărie</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care sunt improprii pentru consum ori procesare</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producția de băuturi alcoolice și nealcoolice (cu excepția cafelei, a ceaiului și a pudrei de cacao)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la spălarea, curățarea și prelucrarea mecanică a materiei prime</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la distilarea băuturilor alcoolice</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care sunt improprii pentru consum ori procesare</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PRELUCRAREA LEMNULUI ȘI FABRICAREA DE PANOURI ȘI MOBILĂ, CELULOZĂ, HÂRTIE ȘI CARTON</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prelucrarea lemnului și din fabricarea panourilor și a mobilei</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scoarță și de plută</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lemn netratat.</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rumeguș, așchii, resturi, lemn, plăci din așchii de lemn și furnir cu conținut </w:t>
            </w:r>
            <w:r>
              <w:rPr>
                <w:rFonts w:ascii="Times New Roman" w:hAnsi="Times New Roman"/>
                <w:sz w:val="24"/>
              </w:rPr>
              <w:lastRenderedPageBreak/>
              <w:t>de substanțe periculoase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Numai lemn netratat.</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rezultate din fabricarea și prelucrarea hârtiei, a cartonului și a pastei de hârtie</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scoarță și de lemn</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mecanice de la fierberea hârtiei și cartonului reciclate</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reziduurile care nu conțin agenți de tratare chimică.</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la sortarea hârtiei și cartonului destinate reciclării</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reziduurile care nu conțin agenți de tratare chimică.</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rebuturi de fibre, nămoluri de fibre, materiale de etanșare și de acoperire rezultate din separare mecanică</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 altele decât cele specificate la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INDUSTRIA PIELĂRIEI, A BLĂNĂRIEI ȘI DIN INDUSTRIA TEXTILĂ</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industria pielăriei și a blănărie</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în special de la epurarea efluenților în incintă fără crom</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nămolurile care nu conțin agenți chimici de curățare, coagulare sau extracție.</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din industria textilă</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materii organice provenite din produse naturale (de exemplu, grăsime, ceară)</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efluenților în incintă, altele decât cele specificate la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fibre textile neprocesate</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Doar naturale.</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din fibre textile procesate</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cele fără contaminare chimică.</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AMBALAJE ȘI DEȘEURI DE AMBALAJE; MATERIALE ABSORBANTE, MATERIALE DE LUSTRUIRE, MATERIALE FILTRANTE ȘI ÎMBRĂCĂMINTE DE PROTECȚIE, NESPECIFICATE ÎN ALTĂ PARTE</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ambalaje și deșeuri de ambalaje (inclusiv deșeuri municipale de ambalaje colectate separat)</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ambalaje de hârtie și carton</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În cazul în care reciclarea în industria hârtiei nu este fezabilă sau este necesară pentru raportul carbon-azot al deșeurilor biodegradabile pregătite pentru tratare.</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de ambalaje din lemn</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NESPECIFICATE ÎN ALTĂ PARTE ÎN LISTĂ</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loturi declasate și produse nefolosite</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organice, altele decât cele specificate la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DE LA INSTALAȚII DE TRATARE A REZIDUURILOR, DE LA STAȚIILE EX-SITU DE EPURARE A APELOR REZIDUALE ȘI DE LA PREPARAREA APEI PENTRU CONSUMUL UMAN ȘI A APEI PENTRU UZ INDUSTRIAL</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compost fără specificarea provenienței</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Acea parte a materialului tratat care a rezultat din examinarea finală a tratării mecanico-biologice a deșeurilor și care poate fi reintrodusă la acest tratament pentru experimente de restabilizare sau pentru utilizare ca „inoculant” biologic</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de la tratarea anaerobă a deșeurilor</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faza fermentată de la epurarea anaerobă a deșeurilor municipale</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faza fermentată de la epurarea anaerobă a </w:t>
            </w:r>
            <w:r>
              <w:rPr>
                <w:rFonts w:ascii="Times New Roman" w:hAnsi="Times New Roman"/>
                <w:sz w:val="24"/>
              </w:rPr>
              <w:lastRenderedPageBreak/>
              <w:t>deșeurilor animale și vegetale</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de la instalațiile de epurare a apelor reziduale, nespecificate în altă parte</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Da</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epurarea apelor uzate orășenești</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rezultate din epurarea biologică a apelor reziduale industriale, altele decât cele specificate la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alte procedee de epurare a apelor reziduale industriale, altele decât cele specificate la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provenite din prepararea apei pentru consumul uman sau a apei de uz industrial</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solide de primă filtrare și de declorurare</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limpezirea apei</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de la decarbonatare</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MUNICIPALE (DEȘEURI MENAJERE ȘI DEȘEURI ASIMILABILE, PROVENITE DIN COMERȚ, INDUSTRIE ȘI INSTITUȚII), INCLUSIV FRACȚIUNI COLECTATE SEPARAT</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dacă provin dintr-un sistem de colectare separată.</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fracțiuni colectate separat (cu excepția celor de la secțiunea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hârtie și carton</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biodegradabile de la bucătării și cantine</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ulei și grăsimi comestibile</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Fără a aduce atingere legislației naționale și a UE privind subprodusele de origine animală.</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lemn, altul decât cel specificat la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Numai dacă nu sunt tratate cu substanțe chimice (inclusiv vopsire, tratament de suprafață).</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deșeuri din grădini și parcuri (inclusiv deșeurile din cimitire)</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biodegradabile</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În cazul scoarței, numai lemnul netratat. În cazul deșeurilor de cimitir colectate separat, numai în cazul primirii directe, cu condiția ca în cimitir să existe un sistem de colectare separată și să se poată verifica în mod corespunzător că deșeurile nu conțin materiale străine (de exemplu, folii, fire de flori și coroane, flori din plastic și componentele acestora).</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alte deșeuri municipale</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municipale amestecate</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După tratarea prealabilă.</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deșeuri din piețe</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În cazul în care piața operează un sistem de colectare separată.</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 din fosele septice</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Adjuvant tehnologic care poate fi utilizat pentru producerea compostului și a tipurilor de deșeuri care pot fi utilizate ca adjuvanți tehnologici: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2833"/>
        <w:gridCol w:w="2356"/>
        <w:gridCol w:w="3479"/>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Denumirea tipului de adjuvant pentru prelucrare</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Standardele de calitate și</w:t>
            </w:r>
            <w:r>
              <w:rPr>
                <w:rFonts w:ascii="Times New Roman" w:hAnsi="Times New Roman"/>
                <w:b/>
                <w:sz w:val="24"/>
              </w:rPr>
              <w:br/>
              <w:t>note</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granule de roci</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granule de bazalt,</w:t>
            </w:r>
            <w:r>
              <w:rPr>
                <w:rFonts w:ascii="Times New Roman" w:hAnsi="Times New Roman"/>
                <w:sz w:val="24"/>
              </w:rPr>
              <w:br/>
              <w:t>(b) granule de alginită,</w:t>
            </w:r>
            <w:r>
              <w:rPr>
                <w:rFonts w:ascii="Times New Roman" w:hAnsi="Times New Roman"/>
                <w:sz w:val="24"/>
              </w:rPr>
              <w:br/>
              <w:t>(c) granule din alte roci</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Nămoluri, sedimente</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nămoluri și sedimente naturale fără adaos de sol și fără impurități, inclusiv nămolurile și nămolurile necontaminate provenite de la curățarea și drenarea canalelor de canalizare</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Minerale din argilă</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minerale din argilă pură</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Var (piatră)</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granule de calcar,</w:t>
            </w:r>
            <w:r>
              <w:rPr>
                <w:rFonts w:ascii="Times New Roman" w:hAnsi="Times New Roman"/>
                <w:sz w:val="24"/>
              </w:rPr>
              <w:br/>
              <w:t>(b) granule de dolomită,</w:t>
            </w:r>
            <w:r>
              <w:rPr>
                <w:rFonts w:ascii="Times New Roman" w:hAnsi="Times New Roman"/>
                <w:sz w:val="24"/>
              </w:rPr>
              <w:br/>
              <w:t>(c) nămol de var din fabrică de zahăr,</w:t>
            </w:r>
            <w:r>
              <w:rPr>
                <w:rFonts w:ascii="Times New Roman" w:hAnsi="Times New Roman"/>
                <w:sz w:val="24"/>
              </w:rPr>
              <w:br/>
              <w:t>(d) carbonat de calciu non-standard,</w:t>
            </w:r>
            <w:r>
              <w:rPr>
                <w:rFonts w:ascii="Times New Roman" w:hAnsi="Times New Roman"/>
                <w:sz w:val="24"/>
              </w:rPr>
              <w:br/>
              <w:t>(e) deșeuri de nămol de var</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Cenușa rezultată din arderea biomasei</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cenușă vegetală</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Până la 2 m/m%.</w:t>
            </w:r>
            <w:r>
              <w:rPr>
                <w:rFonts w:ascii="Times New Roman" w:hAnsi="Times New Roman"/>
                <w:sz w:val="24"/>
              </w:rPr>
              <w:br/>
              <w:t>Nu conține cenușă zburătoare cu un conținut maxim de impurități (mg/kg în substanța uscată)</w:t>
            </w:r>
            <w:r>
              <w:rPr>
                <w:rFonts w:ascii="Times New Roman" w:hAnsi="Times New Roman"/>
                <w:sz w:val="24"/>
              </w:rPr>
              <w:br/>
              <w:t>(a) zinc (Zn): 1 500,</w:t>
            </w:r>
            <w:r>
              <w:rPr>
                <w:rFonts w:ascii="Times New Roman" w:hAnsi="Times New Roman"/>
                <w:sz w:val="24"/>
              </w:rPr>
              <w:br/>
              <w:t>(b) cupru (Cu): 250,</w:t>
            </w:r>
            <w:r>
              <w:rPr>
                <w:rFonts w:ascii="Times New Roman" w:hAnsi="Times New Roman"/>
                <w:sz w:val="24"/>
              </w:rPr>
              <w:br/>
              <w:t>(c) crom (Cr): 250,</w:t>
            </w:r>
            <w:r>
              <w:rPr>
                <w:rFonts w:ascii="Times New Roman" w:hAnsi="Times New Roman"/>
                <w:sz w:val="24"/>
              </w:rPr>
              <w:br/>
              <w:t>(d) plumb (Pb): 100,</w:t>
            </w:r>
            <w:r>
              <w:rPr>
                <w:rFonts w:ascii="Times New Roman" w:hAnsi="Times New Roman"/>
                <w:sz w:val="24"/>
              </w:rPr>
              <w:br/>
            </w:r>
            <w:r>
              <w:rPr>
                <w:rFonts w:ascii="Times New Roman" w:hAnsi="Times New Roman"/>
                <w:sz w:val="24"/>
              </w:rPr>
              <w:lastRenderedPageBreak/>
              <w:t>(e) vanadiu (V): 100,</w:t>
            </w:r>
            <w:r>
              <w:rPr>
                <w:rFonts w:ascii="Times New Roman" w:hAnsi="Times New Roman"/>
                <w:sz w:val="24"/>
              </w:rPr>
              <w:br/>
              <w:t>(f) cobalt (Co): 100,</w:t>
            </w:r>
            <w:r>
              <w:rPr>
                <w:rFonts w:ascii="Times New Roman" w:hAnsi="Times New Roman"/>
                <w:sz w:val="24"/>
              </w:rPr>
              <w:br/>
              <w:t>(g) nichel (Ni): 100,</w:t>
            </w:r>
            <w:r>
              <w:rPr>
                <w:rFonts w:ascii="Times New Roman" w:hAnsi="Times New Roman"/>
                <w:sz w:val="24"/>
              </w:rPr>
              <w:br/>
              <w:t>(h) molibden (Mo): 20,</w:t>
            </w:r>
            <w:r>
              <w:rPr>
                <w:rFonts w:ascii="Times New Roman" w:hAnsi="Times New Roman"/>
                <w:sz w:val="24"/>
              </w:rPr>
              <w:br/>
              <w:t>(i) arsen (As): 20,</w:t>
            </w:r>
            <w:r>
              <w:rPr>
                <w:rFonts w:ascii="Times New Roman" w:hAnsi="Times New Roman"/>
                <w:sz w:val="24"/>
              </w:rPr>
              <w:br/>
              <w:t>(j) cadmiu (Cd): 8,</w:t>
            </w:r>
            <w:r>
              <w:rPr>
                <w:rFonts w:ascii="Times New Roman" w:hAnsi="Times New Roman"/>
                <w:sz w:val="24"/>
              </w:rPr>
              <w:br/>
              <w:t>Nu trebuie să conțină cenușă zburătoare</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Sol (extras sau nămol)</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 natural necontaminat de la construcție sau demolare, nămol de la spălarea plantelor rădăcinoase</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Până la 15 m/m%.</w:t>
            </w:r>
            <w:r>
              <w:rPr>
                <w:rFonts w:ascii="Times New Roman" w:hAnsi="Times New Roman"/>
                <w:sz w:val="24"/>
              </w:rPr>
              <w:br/>
              <w:t>Conținutul maxim de poluanți (mg/kg de substanță uscată):</w:t>
            </w:r>
            <w:r>
              <w:rPr>
                <w:rFonts w:ascii="Times New Roman" w:hAnsi="Times New Roman"/>
                <w:sz w:val="24"/>
              </w:rPr>
              <w:br/>
              <w:t>(a) arsen (As): 30,</w:t>
            </w:r>
            <w:r>
              <w:rPr>
                <w:rFonts w:ascii="Times New Roman" w:hAnsi="Times New Roman"/>
                <w:sz w:val="24"/>
              </w:rPr>
              <w:br/>
              <w:t>(b) plumb (Pb): 100,</w:t>
            </w:r>
            <w:r>
              <w:rPr>
                <w:rFonts w:ascii="Times New Roman" w:hAnsi="Times New Roman"/>
                <w:sz w:val="24"/>
              </w:rPr>
              <w:br/>
              <w:t>(c) cadmiu (Cd): 1,1,</w:t>
            </w:r>
            <w:r>
              <w:rPr>
                <w:rFonts w:ascii="Times New Roman" w:hAnsi="Times New Roman"/>
                <w:sz w:val="24"/>
              </w:rPr>
              <w:br/>
              <w:t>(d) crom (Cr): 90,</w:t>
            </w:r>
            <w:r>
              <w:rPr>
                <w:rFonts w:ascii="Times New Roman" w:hAnsi="Times New Roman"/>
                <w:sz w:val="24"/>
              </w:rPr>
              <w:br/>
              <w:t>(e) cupru (Cu): 90;</w:t>
            </w:r>
            <w:r>
              <w:rPr>
                <w:rFonts w:ascii="Times New Roman" w:hAnsi="Times New Roman"/>
                <w:sz w:val="24"/>
              </w:rPr>
              <w:br/>
              <w:t>(f) nichel (Ni): 55,</w:t>
            </w:r>
            <w:r>
              <w:rPr>
                <w:rFonts w:ascii="Times New Roman" w:hAnsi="Times New Roman"/>
                <w:sz w:val="24"/>
              </w:rPr>
              <w:br/>
              <w:t>(g) mercur (Hg): 0,7,</w:t>
            </w:r>
            <w:r>
              <w:rPr>
                <w:rFonts w:ascii="Times New Roman" w:hAnsi="Times New Roman"/>
                <w:sz w:val="24"/>
              </w:rPr>
              <w:br/>
              <w:t>(h) zinc (Zn): 450,</w:t>
            </w:r>
            <w:r>
              <w:rPr>
                <w:rFonts w:ascii="Times New Roman" w:hAnsi="Times New Roman"/>
                <w:sz w:val="24"/>
              </w:rPr>
              <w:br/>
              <w:t>(i) hidrocarburi aromatice policiclice (HAP16: naftalină, fluor, fenantren, antracen, fluoroanten, piren, benzo[a]antracen, crisen, benzo[b]fluoroanten, benzo[k]fluoroanten, benzo[a]piren, indeno[1,2,3-cd]piren, dibenzo[a,h]antracen, benzo[g, h, i]perilen): 2,</w:t>
            </w:r>
            <w:r>
              <w:rPr>
                <w:rFonts w:ascii="Times New Roman" w:hAnsi="Times New Roman"/>
                <w:sz w:val="24"/>
              </w:rPr>
              <w:br/>
              <w:t xml:space="preserve">conținutul total de hidrocarburi: 200, care se examinează numai în cazul în care există o suspiciune de contaminare anterioară cu hidrocarburi sau de formare a nămolului de la spălare este necunoscută și există suspiciunea că este prezent un solvent, un agent de coagulare sau un agent de extracție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Lignoceluloză</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subproduse agricole de origine vegetală,</w:t>
            </w:r>
            <w:r>
              <w:rPr>
                <w:rFonts w:ascii="Times New Roman" w:hAnsi="Times New Roman"/>
                <w:sz w:val="24"/>
              </w:rPr>
              <w:br/>
              <w:t>(b) căpățâni de boabe goale/boabe neîmpletite,</w:t>
            </w:r>
            <w:r>
              <w:rPr>
                <w:rFonts w:ascii="Times New Roman" w:hAnsi="Times New Roman"/>
                <w:sz w:val="24"/>
              </w:rPr>
              <w:br/>
              <w:t>(c) gunoi de grajd cu paie,</w:t>
            </w:r>
            <w:r>
              <w:rPr>
                <w:rFonts w:ascii="Times New Roman" w:hAnsi="Times New Roman"/>
                <w:sz w:val="24"/>
              </w:rPr>
              <w:br/>
              <w:t xml:space="preserve">(d) tăieri de reducție </w:t>
            </w:r>
            <w:r>
              <w:rPr>
                <w:rFonts w:ascii="Times New Roman" w:hAnsi="Times New Roman"/>
                <w:sz w:val="24"/>
              </w:rPr>
              <w:lastRenderedPageBreak/>
              <w:t>vegetale,</w:t>
            </w:r>
            <w:r>
              <w:rPr>
                <w:rFonts w:ascii="Times New Roman" w:hAnsi="Times New Roman"/>
                <w:sz w:val="24"/>
              </w:rPr>
              <w:br/>
              <w:t>(e) deșeuri vegetale</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Produse care contribuie la procesul de compostare</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preparate microbiologice, culturi starter biologice</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Produs autorizat pentru comercializare și utilizare.</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Deșeuri provenite de la instalațiile de tratare a deșeurilor, de la instalațiile de tratare a apelor reziduale care tratează apele reziduale în afara amplasamentului, precum și deșeurile provenite de la apa potabilă și alimentarea cu apă industrială</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deșeuri solide de la filtrarea grosieră și fină;</w:t>
            </w:r>
            <w:r>
              <w:rPr>
                <w:rFonts w:ascii="Times New Roman" w:hAnsi="Times New Roman"/>
                <w:sz w:val="24"/>
              </w:rPr>
              <w:br/>
              <w:t>(b) nămolul rezultat din limpezirea apei;</w:t>
            </w:r>
            <w:r>
              <w:rPr>
                <w:rFonts w:ascii="Times New Roman" w:hAnsi="Times New Roman"/>
                <w:sz w:val="24"/>
              </w:rPr>
              <w:br/>
              <w:t>(c) nămoluri de la decarbonatare</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Anexa 2 la Decretul guvernamental nr. 559/2023 din 14 decembrie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Cerințe fizice, chimice și biologice pentru composturile de uz neagricol</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Statutul de deșeu al compostului produs din deșeuri biodegradabile se elimină prin respectarea valorilor-limită pentru următoarele categorii de utilizare: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24"/>
        <w:gridCol w:w="2836"/>
        <w:gridCol w:w="3029"/>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În cazul în care compostul produs din deșeuri biodegradabile este utilizat într-o zonă în care poate pune în pericol în mod direct sănătatea umană (în special în zonele verzi care aparțin zonelor rezidențiale și zonelor de agrement, locuri de joacă, parcuri, paturi de flori de pe marginea drumului, zone împădurite, promenade publice, zone de mers pe jos pentru câini, cutii de flori publice, zone care aparțin instalațiilor sportive, zone de plajă și zone aparținând instituțiilor publice), acest compost trebuie să îndeplinească, de asemenea, cerințele stabilite în anexa 3 punctul 4 din Decretul ministrului agriculturii și dezvoltării rurale nr. 36/2006 din 18 mai 2006 privind autorizarea, depozitarea, comercializarea și utilizarea substanțelor care contribuie la creșterea randamentului.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În cazul în care compostul produs din deșeuri biodegradabile este utilizat într-o zonă reglementată de Legea privind pădurile și protecția și gestionarea pădurilor, în modul reglementat de aceasta sau pe alte suprafețe împădurite externe, apoi compostul trebuie să îndeplinească, de asemenea, cerințele specificate la punctele 1.1 și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În cazul în care compostul produs din deșeuri biodegradabile este utilizat pentru recultivare, reaprovizionarea rănilor de peisaj sau este utilizat în iazuri închise de decantare în conformitate cu Decretul KvVM nr. 20/2006 din 5 aprilie 2006 al Ministerului pentru Protecția Mediului și Gestionarea Apelor privind anumite norme și condiții privind depozitarea deșeurilor și depozitele de deșeuri, atunci acest compost trebuie, de asemenea, să îndeplinească cerințele specificate la punctele 1.1 și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Proprietăți fizice și biologice: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805"/>
        <w:gridCol w:w="2183"/>
        <w:gridCol w:w="2133"/>
        <w:gridCol w:w="2668"/>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Proprietăți</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Notă</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Conținutul de materii organice</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Conținutul de materie organică al compostului este de cel puțin 15 % din conținutul de substanță uscată.</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Conținutul de materie organică al compostului este de cel puțin 15 % din conținutul de substanță uscată.</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Conținutul minim de materie organică se referă la produs la sfârșitul fazei de compostare înainte de a fi amestecat cu alte substanțe. Scopul este de </w:t>
            </w:r>
            <w:r>
              <w:rPr>
                <w:rFonts w:ascii="Times New Roman" w:hAnsi="Times New Roman"/>
                <w:sz w:val="24"/>
              </w:rPr>
              <w:lastRenderedPageBreak/>
              <w:t>a preveni diluarea ingredientelor (de exemplu, cu nisip, sol).</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Maturitatea compostului</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Temperatura maximă obținută în timpul încercării de autoîncălzire nu trebuie să depășească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Patogeni</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negativ,</w:t>
            </w:r>
            <w:r>
              <w:rPr>
                <w:rFonts w:ascii="Times New Roman" w:hAnsi="Times New Roman"/>
                <w:sz w:val="24"/>
              </w:rPr>
              <w:br/>
              <w:t>(b) Număr coliform fecal 500/g,</w:t>
            </w:r>
            <w:r>
              <w:rPr>
                <w:rFonts w:ascii="Times New Roman" w:hAnsi="Times New Roman"/>
                <w:sz w:val="24"/>
              </w:rPr>
              <w:br/>
              <w:t>(c) Numărul de streptococi fecali 500/g,</w:t>
            </w:r>
            <w:r>
              <w:rPr>
                <w:rFonts w:ascii="Times New Roman" w:hAnsi="Times New Roman"/>
                <w:sz w:val="24"/>
              </w:rPr>
              <w:br/>
              <w:t>(d) Ouă de helminți parazitari umani 25 g negativ</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Măsurarea acestui parametru este însoțită de măsurători periodice ale temperaturii.</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Semințe viabile de buruieni și formule de înmulțire a plantelor</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În compost nu trebuie să existe mai mult de două semințe viabile de buruieni pe litru.</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Măsurarea acestui parametru este însoțită de măsurători periodice ale temperaturii.</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Impurități macroscopice</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Printre particulele mai mari de 2 mm, compostul poate conține sticlă, metal și materiale plastice în cel mult 0,5 % din conținutul de substanță uscată.</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Printre particulele mai mari de 2 mm, compostul poate conține sticlă, metal și materiale plastice în cel mult 0,5 % din conținutul de substanță uscată.</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Trebuie făcută o distincție între pietre și impurități artificiale.</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Proprietăți chimice:</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Conținutul de metale grele: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311"/>
        <w:gridCol w:w="2192"/>
        <w:gridCol w:w="2217"/>
        <w:gridCol w:w="2949"/>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Metale grele</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Cantitate (mg/kg în substanța uscată) Categoria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Cantitate (mg/kg în substanța uscată) Categoria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Notă</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Zinc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Mercur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Cadmiu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Crom total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Produs finit, înainte de a se amesteca cu alte substanțe. În cazul cromului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Nichel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Plumb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Cupru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Seleniu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Impurități organice: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963"/>
        <w:gridCol w:w="1186"/>
        <w:gridCol w:w="1195"/>
        <w:gridCol w:w="1445"/>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Impurități organice</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Cantitatea</w:t>
            </w:r>
            <w:r>
              <w:rPr>
                <w:rFonts w:ascii="Times New Roman" w:hAnsi="Times New Roman"/>
                <w:b/>
                <w:sz w:val="24"/>
              </w:rPr>
              <w:br/>
              <w:t>Categoria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Cantitatea</w:t>
            </w:r>
            <w:r>
              <w:rPr>
                <w:rFonts w:ascii="Times New Roman" w:hAnsi="Times New Roman"/>
                <w:b/>
                <w:sz w:val="24"/>
              </w:rPr>
              <w:br/>
              <w:t>Categoria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Notă</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Conținut total de bifenil policlorurat indicativ (PCB7: PCB 28, 52, 101, 118, 138, 153, 180) (mg/kg în substanța uscată)</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Conținutul total de hidrocarburi aromatice policiclice (HAP16: naftalină, fluor, fenantren, antracen, fluoroanten, piren, benzo[a]antracen, crisen, benzo[b]fluoroanten, benzo[k]fluoroanten, benzo[a]piren, indeno[1,2,3-cd]piren, dibenzo[a,h]antracen, benzo[g, h, i]perilenă (conținut în mg/kg în substanța uscată)</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Produs finit, înainte de a se amesteca cu alte substanțe.</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Hidrocarburi alifatice totale (TPH) (mg/kg în substanța uscată)</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Odată cu drenarea reziduurilor de fermentație într-o instalație de tratare a apelor reziduale, statul de deșeu al reziduurilor de fermentare formate într-o instalație de biogaz încetează prin respectarea valorilor-limită stabilite în anexele 4 și 5 la Decretul ministerial privind valorile-limită pentru poluanții apei și a anumitor norme de aplicare a acestora.</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Anexa 3 la Decretul guvernamental nr. 559/2023 din 14 decembrie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Norme tehnice pentru compostarea la fața locului, stabilizare și producția de biogaz</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Compostarea la fața locului:</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În cazul sistemelor de compostare în sensul articolului 10 alineatul (3), cu excepția cazului în care subprodusele de origine animală sunt utilizate în compostarea la fața locului, la locul de compostare se asigură cel puțin următoarele temperaturi și frecvențe de amestecare și de rotație: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o temperatură de 55 °C trebuie menținută timp de cel puțin 14 zile într-o unitate de compostare deschisă pentru a asigura igienizarea, unde se efectuează cel puțin cinci amestecări sau rotații;</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o temperatură de 65 °C trebuie menținută timp de cel puțin șapte zile într-o unitate de compostare deschisă pentru a asigura igienizarea, unde se efectuează cel puțin două amestecări sau rotații;</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pentru a asigura igienizarea într-o unitate de compostare închisă, se menține o temperatură de 60 °C timp de cel puțin șapte zile.</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Pentru a atinge un nivel ridicat de activitate biologică în timpul compostării, trebuie să se asigure cel puțin următoarele condiții:</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cea mai bună structură și aerare disponibile;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alimentarea adecvată cu oxigen;</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umiditatea și conținutul adecvat de nutrienți;</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un raport carbon-azot de 25-35:1 și</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intervalul pH-ului de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După încheierea procesului de maturare intensivă, operatorul locului de compostare trebuie să matureze ulterior compostul în zona de posttratare până când temperatura acestuia în timpul încercării de autoîncălzire depășește 30 °C. Postmaturarea poate fi precedată de screening sau fracționare.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1.4 În cazul compostării subproduselor de origine animală sau a produselor derivate, este necesar să se urmeze parametrii de conversie și microbiologici prevăzuți la articolele 1 și 3 din capitolul III din anexa V la Regulamentul (UE) nr. 142/2011 al Comisiei. </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Stabilizare:</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Stabilizarea poate fi efectuată numai într-o instalație de gestionare a deșeurilor cu o incintă etanșă la apă.</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Stabilizarea asigură cel puțin următoarele condiții:</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(a) etape în funcție de cererea de temperatură a microorganismelor psicrofile, mezofile și termofile;</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 nivel ridicat de activitate biologică și un conținut adecvat de umiditate pentru deșeurile biodegradabile, dezvoltarea unor condiții de pH adecvate;</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pentru igienizare, cea mai bună structură disponibilă, aerare și omogenizare.</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Deșeurile mixte trebuie stabilizate până când intensitatea respirației (AT4) scade sub 10 mg O</w:t>
      </w:r>
      <w:r>
        <w:rPr>
          <w:rFonts w:ascii="Times New Roman" w:hAnsi="Times New Roman"/>
          <w:sz w:val="24"/>
          <w:vertAlign w:val="subscript"/>
        </w:rPr>
        <w:t>2</w:t>
      </w:r>
      <w:r>
        <w:rPr>
          <w:rFonts w:ascii="Times New Roman" w:hAnsi="Times New Roman"/>
          <w:sz w:val="24"/>
        </w:rPr>
        <w:t>/g de substanță uscată.</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Producția de biogaz:</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În cazul procedurilor menționate la articolul 12 alineatul (3), se asigură valorile minime de temperatură și perioadele de prezență, conform tabelului următor: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792"/>
        <w:gridCol w:w="2086"/>
        <w:gridCol w:w="3911"/>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Sistemul de operare al biogazului</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Valori de temperatură</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Durata de menținere a valorilor de temperatură</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Procesul de fermentație umedă</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minimum 25-35 de zile</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Procesul de fermentație uscată</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minimum 20-30 de zile</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Raportul optim carbon/azot: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Intervalul corespunzător al pH-ului: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3.4 În cazul utilizării subproduselor de origine animală sau a produselor derivate de către o instalație de biogaz, se aplică parametrii microbiologici și de conversie stabiliți la articolele 1 și 3 din capitolul III din anexa V la Regulamentul (UE) nr. 142/2011 al Comisiei. </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Anexa 4 la Decretul guvernamental nr. 559/2023 din 14 decembrie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Declarația de conformitate și conținutul acesteia</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Pentru lotul de compost se întocmește o declarație de conformitate în conformitate cu următorul tabel:</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DECLARAȚIA DE CONFORMITATE A</w:t>
            </w:r>
            <w:r>
              <w:rPr>
                <w:b/>
                <w:sz w:val="17"/>
              </w:rPr>
              <w:br/>
              <w:t>COMPOSTULUI</w:t>
            </w:r>
          </w:p>
        </w:tc>
        <w:tc>
          <w:tcPr>
            <w:tcW w:w="4549" w:type="dxa"/>
          </w:tcPr>
          <w:p w14:paraId="386EEDDB" w14:textId="77777777" w:rsidR="00D75B38" w:rsidRDefault="00D75B38" w:rsidP="00D75B38">
            <w:pPr>
              <w:pStyle w:val="TableParagraph"/>
              <w:spacing w:line="195" w:lineRule="exact"/>
              <w:ind w:left="106"/>
              <w:rPr>
                <w:sz w:val="17"/>
              </w:rPr>
            </w:pPr>
            <w:r>
              <w:rPr>
                <w:sz w:val="17"/>
              </w:rPr>
              <w:t>1. Numele operatorului amplasamentului de compostare: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Adresa sediului social al operatorului:</w:t>
            </w:r>
          </w:p>
        </w:tc>
        <w:tc>
          <w:tcPr>
            <w:tcW w:w="4549" w:type="dxa"/>
          </w:tcPr>
          <w:p w14:paraId="6FBDFC63" w14:textId="77777777" w:rsidR="00D75B38" w:rsidRDefault="00D75B38" w:rsidP="00D75B38">
            <w:pPr>
              <w:pStyle w:val="TableParagraph"/>
              <w:spacing w:line="195" w:lineRule="exact"/>
              <w:ind w:left="106"/>
              <w:rPr>
                <w:sz w:val="17"/>
              </w:rPr>
            </w:pPr>
            <w:r>
              <w:rPr>
                <w:sz w:val="17"/>
              </w:rPr>
              <w:t>3. Adresa locului de producție: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(ID-ul clientului pentru mediu):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(ID-ul teritorial pentru mediu: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Numărul statistic conform HCSO (Biroul Central de Statistică al Ungariei):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Numărul autorizației de gestionare a deșeurilor:</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Autorizația pentru introducerea pe piață și utilizarea compostului (dacă există):</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Numărul prelevărilor de probe de la sfârșitul statutului de deșeu și al rapoartelor de încercare de laborator (marca de identificare a probelor de deșeuri):</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Operația de tratament:</w:t>
            </w:r>
          </w:p>
        </w:tc>
        <w:tc>
          <w:tcPr>
            <w:tcW w:w="4549" w:type="dxa"/>
          </w:tcPr>
          <w:p w14:paraId="65F30F63" w14:textId="77777777" w:rsidR="00D75B38" w:rsidRDefault="00D75B38" w:rsidP="00D75B38">
            <w:pPr>
              <w:pStyle w:val="TableParagraph"/>
              <w:spacing w:line="195" w:lineRule="exact"/>
              <w:ind w:left="97"/>
              <w:rPr>
                <w:sz w:val="17"/>
              </w:rPr>
            </w:pPr>
            <w:r>
              <w:rPr>
                <w:sz w:val="17"/>
              </w:rPr>
              <w:t>13. Tehnologia de tratare:</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Deșeuri utilizate pentru producerea compostului:</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tip:</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cantitate:</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Adjuvant tehnologic utilizat pentru producerea compostului (dacă există):</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tip:</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cantitate:</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Standardul aplicat pentru producția de compost (dacă există):</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Categoria de utilizare a compostului:</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Lotul de compost eliminat din locul de compostare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Indicatorii de conținut de compost interni:</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reacție:</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greutatea în volum:</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conținutul de substanță uscată:</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conținutul de materii organice:</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salinitatea totală solubilă în apă:</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distribuția dimensiunilor particulelor:</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t>conținutul de substanță activă (N, P2O5,</w:t>
            </w:r>
            <w:r>
              <w:rPr>
                <w:sz w:val="17"/>
              </w:rPr>
              <w:t xml:space="preserve"> </w:t>
            </w:r>
            <w:r>
              <w:t>K2O,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Proprietățile fizice și biologice ale compostului:</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conținutul de materii organice:</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maturitatea compostului:</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agenți patogeni:</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semințe viabile de buruieni și formule de înmulțire a plantelor:</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impurități macroscopice:</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Proprietățile chimice ale compostului:</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Conținutul de metale grele:</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Impurități organice:</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Numele, adresa, sediul social al utilizatorului căruia îi este predat compostul:</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Adresa de livrare:</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Declar că compostul respectă condițiile de eliminare a deșeurilor stabilite în Decretul guvernamental nr. 559/2023 din 14 decembrie 2023 privind activitățile de prevenire a producerii de deșeuri biodegradabile, normele detaliate pentru activitățile de gestionare a deșeurilor legate de deșeurile biodegradabile și normele de clasificare a compostului produs din deșeuri biologice, precum și la articolul 9 alineatul (1) din Legea CLXXXV din 2012 privind deșeurile:</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Data și semnătura:</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Se întocmește o declarație de conformitate pentru lotul de fermentație reziduală în conformitate cu următorul tabel:</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DECLARAȚIA DE CONFORMITATE A</w:t>
            </w:r>
            <w:r>
              <w:rPr>
                <w:b/>
                <w:sz w:val="17"/>
              </w:rPr>
              <w:br/>
              <w:t>COMPOSTULUI</w:t>
            </w:r>
          </w:p>
        </w:tc>
        <w:tc>
          <w:tcPr>
            <w:tcW w:w="4546" w:type="dxa"/>
          </w:tcPr>
          <w:p w14:paraId="16F7218D" w14:textId="77777777" w:rsidR="00D75B38" w:rsidRDefault="00D75B38" w:rsidP="00D75B38">
            <w:pPr>
              <w:pStyle w:val="TableParagraph"/>
              <w:spacing w:line="195" w:lineRule="exact"/>
              <w:rPr>
                <w:sz w:val="17"/>
              </w:rPr>
            </w:pPr>
            <w:r>
              <w:rPr>
                <w:sz w:val="17"/>
              </w:rPr>
              <w:t>1. Numele operatorului instalației de biogaz:</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Adresa sediului social al operatorului:</w:t>
            </w:r>
          </w:p>
        </w:tc>
        <w:tc>
          <w:tcPr>
            <w:tcW w:w="4546" w:type="dxa"/>
          </w:tcPr>
          <w:p w14:paraId="61677E8E" w14:textId="77777777" w:rsidR="00D75B38" w:rsidRDefault="00D75B38" w:rsidP="00D75B38">
            <w:pPr>
              <w:pStyle w:val="TableParagraph"/>
              <w:spacing w:line="195" w:lineRule="exact"/>
              <w:rPr>
                <w:sz w:val="17"/>
              </w:rPr>
            </w:pPr>
            <w:r>
              <w:rPr>
                <w:sz w:val="17"/>
              </w:rPr>
              <w:t>3. Adresa locului de producție: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reziduurile de fermentație;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reziduurile de fermentație;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(ID-ul clientului pentru mediu):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(ID-ul teritorial pentru mediu: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Numărul statistic conform HCSO (Biroul Central de Statistică al Ungariei):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Numărul autorizației de gestionare a deșeurilor:</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Autorizația de introducere pe piață și de utilizare a reziduurilor de fermentație (dacă există):</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Operația de tratament:</w:t>
            </w:r>
          </w:p>
        </w:tc>
        <w:tc>
          <w:tcPr>
            <w:tcW w:w="4549" w:type="dxa"/>
          </w:tcPr>
          <w:p w14:paraId="12765214" w14:textId="77777777" w:rsidR="00D75B38" w:rsidRDefault="00D75B38" w:rsidP="00D75B38">
            <w:pPr>
              <w:pStyle w:val="TableParagraph"/>
              <w:spacing w:line="195" w:lineRule="exact"/>
              <w:ind w:left="97"/>
              <w:rPr>
                <w:sz w:val="17"/>
              </w:rPr>
            </w:pPr>
            <w:r>
              <w:rPr>
                <w:sz w:val="17"/>
              </w:rPr>
              <w:t>12. Tehnologia de tratare:</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Deșeurile utilizate pentru producerea reziduurilor de fermentație:</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tip:</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cantitate:</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t>Adjuvantul tehnologic (dacă există) utilizat pentru producerea reziduului de fermentare:</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tip:</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cantitate:</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Standardul aplicat pentru producția de biogaz (dacă există):</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Cantitatea de reziduu de fermentație format (kg sau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Proprietățile chimice ale reziduului de fermentare:</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Caracteristici chimice:</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reacție:</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conținutul de materii organice:</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total azot*</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fosfor total:</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Elemente riscante:</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Pentru un conținut de substanță uscată mai mic de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Pentru un conținut de substanță uscată de peste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Poluanți organici:</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Pentru un conținut de substanță uscată mai mic de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grăsimi animale și vegetale:</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agent tensioactiv anionic:</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Pentru un conținut de substanță uscată de peste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Proprietățile biologice ale reziduului de fermentare:</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Poluanți microbiologici:</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Număr coliform fecal:</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Numărul de ouă de helminți paraziți umani:</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Numărul de streptococi fecali:</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Numărul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Rezultatul încercării </w:t>
            </w:r>
            <w:r>
              <w:rPr>
                <w:i/>
                <w:sz w:val="17"/>
              </w:rPr>
              <w:t>Azotobacter agil</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Numele, adresa, locul de desfășurare a activității utilizatorului căruia i se transferă reziduul de fermentație: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Adresa de livrare:</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Declar că reziduul de fermentație respectă condițiile de încetare a statutului de deșeu prevăzute în Decretul guvernamental nr. 559/2023 din 14 decembrie 2023 privind activitățile de prevenire a producerii de deșeuri biodegradabile, normele detaliate privind activitățile de gestionare a deșeurilor legate de deșeurile biodegradabile și normele de clasificare a compostului produs din deșeuri biologice și la articolul 9 alineatul (1) din</w:t>
            </w:r>
          </w:p>
          <w:p w14:paraId="15E63BCD" w14:textId="77777777" w:rsidR="00D75B38" w:rsidRDefault="00D75B38" w:rsidP="00D75B38">
            <w:pPr>
              <w:pStyle w:val="TableParagraph"/>
              <w:spacing w:before="2"/>
              <w:rPr>
                <w:sz w:val="17"/>
              </w:rPr>
            </w:pPr>
            <w:r>
              <w:rPr>
                <w:sz w:val="17"/>
              </w:rPr>
              <w:t>Legea CLXXXV din 2012 privind deșeurile:</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Data și semnătura:</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158D" w14:textId="77777777" w:rsidR="00563FEC" w:rsidRDefault="00563FEC" w:rsidP="00D75B38">
      <w:pPr>
        <w:spacing w:after="0" w:line="240" w:lineRule="auto"/>
      </w:pPr>
      <w:r>
        <w:separator/>
      </w:r>
    </w:p>
  </w:endnote>
  <w:endnote w:type="continuationSeparator" w:id="0">
    <w:p w14:paraId="02A24653" w14:textId="77777777" w:rsidR="00563FEC" w:rsidRDefault="00563FEC"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8A68" w14:textId="77777777" w:rsidR="00563FEC" w:rsidRDefault="00563FEC" w:rsidP="00D75B38">
      <w:pPr>
        <w:spacing w:after="0" w:line="240" w:lineRule="auto"/>
      </w:pPr>
      <w:r>
        <w:separator/>
      </w:r>
    </w:p>
  </w:footnote>
  <w:footnote w:type="continuationSeparator" w:id="0">
    <w:p w14:paraId="025B5CBA" w14:textId="77777777" w:rsidR="00563FEC" w:rsidRDefault="00563FEC"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563FEC"/>
    <w:rsid w:val="009478CF"/>
    <w:rsid w:val="009D57B8"/>
    <w:rsid w:val="00A321C1"/>
    <w:rsid w:val="00AA287C"/>
    <w:rsid w:val="00BE3060"/>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8827</Words>
  <Characters>50932</Characters>
  <Application>Microsoft Office Word</Application>
  <DocSecurity>0</DocSecurity>
  <Lines>1958</Lines>
  <Paragraphs>948</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2024-07-24T13:58:00Z</dcterms:created>
  <dcterms:modified xsi:type="dcterms:W3CDTF">2024-07-24T13:58:00Z</dcterms:modified>
</cp:coreProperties>
</file>