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6043F" w:rsidRPr="002217AD" w14:paraId="4B918421" w14:textId="77777777" w:rsidTr="0066043F">
        <w:tc>
          <w:tcPr>
            <w:tcW w:w="5000" w:type="pct"/>
          </w:tcPr>
          <w:p w14:paraId="35850805" w14:textId="77777777" w:rsidR="0066043F" w:rsidRPr="00DD5BDD" w:rsidRDefault="0066043F" w:rsidP="005B3FB9">
            <w:pPr>
              <w:spacing w:before="240"/>
              <w:jc w:val="center"/>
              <w:rPr>
                <w:b/>
                <w:bCs/>
                <w:caps/>
              </w:rPr>
            </w:pPr>
            <w:r>
              <w:rPr>
                <w:b/>
                <w:caps/>
              </w:rPr>
              <w:t>Beļģijas Karaliste</w:t>
            </w:r>
          </w:p>
        </w:tc>
      </w:tr>
      <w:tr w:rsidR="0066043F" w:rsidRPr="002217AD" w14:paraId="5338082C" w14:textId="77777777" w:rsidTr="0066043F">
        <w:tc>
          <w:tcPr>
            <w:tcW w:w="5000" w:type="pct"/>
          </w:tcPr>
          <w:p w14:paraId="2886B770" w14:textId="77777777" w:rsidR="0066043F" w:rsidRPr="002217AD" w:rsidRDefault="0066043F" w:rsidP="005B3FB9">
            <w:pPr>
              <w:spacing w:before="240"/>
              <w:jc w:val="center"/>
              <w:rPr>
                <w:b/>
                <w:bCs/>
              </w:rPr>
            </w:pPr>
            <w:r>
              <w:rPr>
                <w:b/>
              </w:rPr>
              <w:t>_________</w:t>
            </w:r>
          </w:p>
        </w:tc>
      </w:tr>
      <w:tr w:rsidR="0066043F" w:rsidRPr="002217AD" w14:paraId="01058409" w14:textId="77777777" w:rsidTr="0066043F">
        <w:tc>
          <w:tcPr>
            <w:tcW w:w="5000" w:type="pct"/>
          </w:tcPr>
          <w:p w14:paraId="279E5A93" w14:textId="77777777" w:rsidR="0066043F" w:rsidRPr="002217AD" w:rsidRDefault="0066043F" w:rsidP="005B3FB9">
            <w:pPr>
              <w:spacing w:before="240"/>
              <w:jc w:val="center"/>
              <w:rPr>
                <w:b/>
                <w:bCs/>
              </w:rPr>
            </w:pPr>
          </w:p>
        </w:tc>
      </w:tr>
      <w:tr w:rsidR="0066043F" w:rsidRPr="002217AD" w14:paraId="6055F6C0" w14:textId="77777777" w:rsidTr="0066043F">
        <w:tc>
          <w:tcPr>
            <w:tcW w:w="5000" w:type="pct"/>
          </w:tcPr>
          <w:p w14:paraId="4BA6FD73" w14:textId="77777777" w:rsidR="0066043F" w:rsidRPr="00DD5BDD" w:rsidRDefault="0066043F" w:rsidP="005B3FB9">
            <w:pPr>
              <w:spacing w:before="240"/>
              <w:jc w:val="center"/>
              <w:rPr>
                <w:b/>
                <w:bCs/>
                <w:caps/>
              </w:rPr>
            </w:pPr>
            <w:r>
              <w:rPr>
                <w:b/>
                <w:caps/>
              </w:rPr>
              <w:t>Federālais Tiesiskuma valsts dienests</w:t>
            </w:r>
          </w:p>
        </w:tc>
      </w:tr>
      <w:tr w:rsidR="0066043F" w:rsidRPr="002217AD" w14:paraId="4B0C7A9F" w14:textId="77777777" w:rsidTr="0066043F">
        <w:tc>
          <w:tcPr>
            <w:tcW w:w="5000" w:type="pct"/>
          </w:tcPr>
          <w:p w14:paraId="5CE7FE1D" w14:textId="77777777" w:rsidR="0066043F" w:rsidRPr="002217AD" w:rsidRDefault="0066043F" w:rsidP="005B3FB9">
            <w:pPr>
              <w:spacing w:before="240"/>
              <w:jc w:val="both"/>
              <w:rPr>
                <w:b/>
                <w:bCs/>
              </w:rPr>
            </w:pPr>
          </w:p>
        </w:tc>
      </w:tr>
      <w:tr w:rsidR="0066043F" w:rsidRPr="001262B1" w14:paraId="135E58F9" w14:textId="77777777" w:rsidTr="0066043F">
        <w:tc>
          <w:tcPr>
            <w:tcW w:w="5000" w:type="pct"/>
          </w:tcPr>
          <w:p w14:paraId="38C908AB" w14:textId="514268E2" w:rsidR="0066043F" w:rsidRPr="001262B1" w:rsidRDefault="0066043F" w:rsidP="005B3FB9">
            <w:pPr>
              <w:spacing w:before="240"/>
              <w:jc w:val="both"/>
              <w:rPr>
                <w:b/>
                <w:bCs/>
              </w:rPr>
            </w:pPr>
            <w:r>
              <w:rPr>
                <w:b/>
              </w:rPr>
              <w:t>7 2024. GADA MAIJS – Likums, ar ko groza 1999. gada 7. maija Likumu par nejaušības spēlēm, derībām, azartspēļu iestādēm un spēlētāju aizsardzību un kas satur dažādus noteikumus par azartspēlēm (1)</w:t>
            </w:r>
          </w:p>
        </w:tc>
      </w:tr>
      <w:tr w:rsidR="0066043F" w:rsidRPr="002217AD" w14:paraId="6CCA7224" w14:textId="77777777" w:rsidTr="0066043F">
        <w:tc>
          <w:tcPr>
            <w:tcW w:w="5000" w:type="pct"/>
          </w:tcPr>
          <w:p w14:paraId="2587FB8F" w14:textId="77777777" w:rsidR="0066043F" w:rsidRPr="004F20BD" w:rsidRDefault="0066043F" w:rsidP="005B3FB9">
            <w:pPr>
              <w:spacing w:before="240"/>
              <w:jc w:val="both"/>
            </w:pPr>
          </w:p>
        </w:tc>
      </w:tr>
      <w:tr w:rsidR="0066043F" w14:paraId="18274E42" w14:textId="77777777" w:rsidTr="0066043F">
        <w:tc>
          <w:tcPr>
            <w:tcW w:w="5000" w:type="pct"/>
          </w:tcPr>
          <w:p w14:paraId="2D89BD13" w14:textId="77777777" w:rsidR="0066043F" w:rsidRDefault="0066043F" w:rsidP="005B3FB9">
            <w:pPr>
              <w:spacing w:before="240"/>
              <w:jc w:val="both"/>
            </w:pPr>
            <w:r>
              <w:t>Beļģijas karalis FILIPS,</w:t>
            </w:r>
          </w:p>
        </w:tc>
      </w:tr>
      <w:tr w:rsidR="0066043F" w:rsidRPr="002217AD" w14:paraId="7AB666BB" w14:textId="77777777" w:rsidTr="0066043F">
        <w:tc>
          <w:tcPr>
            <w:tcW w:w="5000" w:type="pct"/>
          </w:tcPr>
          <w:p w14:paraId="36F1F0FA" w14:textId="77777777" w:rsidR="0066043F" w:rsidRPr="002217AD" w:rsidRDefault="0066043F" w:rsidP="005B3FB9">
            <w:pPr>
              <w:spacing w:before="240"/>
              <w:jc w:val="both"/>
            </w:pPr>
            <w:r>
              <w:t>ar laba vēlējumiem šobrīd un turpmāk,</w:t>
            </w:r>
          </w:p>
        </w:tc>
      </w:tr>
      <w:tr w:rsidR="0066043F" w:rsidRPr="002217AD" w14:paraId="2C083866" w14:textId="77777777" w:rsidTr="0066043F">
        <w:tc>
          <w:tcPr>
            <w:tcW w:w="5000" w:type="pct"/>
          </w:tcPr>
          <w:p w14:paraId="429011D0" w14:textId="77777777" w:rsidR="0066043F" w:rsidRPr="002217AD" w:rsidRDefault="0066043F" w:rsidP="005B3FB9">
            <w:pPr>
              <w:spacing w:before="240"/>
              <w:jc w:val="both"/>
            </w:pPr>
            <w:r>
              <w:t>Pārstāvju palāta ir pieņēmusi un mēs sankcionējam:</w:t>
            </w:r>
          </w:p>
        </w:tc>
      </w:tr>
      <w:tr w:rsidR="0066043F" w:rsidRPr="0082140B" w14:paraId="09544200" w14:textId="77777777" w:rsidTr="0066043F">
        <w:tc>
          <w:tcPr>
            <w:tcW w:w="5000" w:type="pct"/>
          </w:tcPr>
          <w:p w14:paraId="526860BE" w14:textId="77777777" w:rsidR="0066043F" w:rsidRPr="0082140B" w:rsidRDefault="0066043F" w:rsidP="005B3FB9">
            <w:pPr>
              <w:spacing w:before="240"/>
              <w:jc w:val="center"/>
            </w:pPr>
            <w:r>
              <w:t xml:space="preserve">1. NODAĻA. – </w:t>
            </w:r>
            <w:r>
              <w:rPr>
                <w:i/>
              </w:rPr>
              <w:t>Vispārīgi noteikumi</w:t>
            </w:r>
          </w:p>
        </w:tc>
      </w:tr>
      <w:tr w:rsidR="0066043F" w:rsidRPr="002217AD" w14:paraId="19F0334F" w14:textId="77777777" w:rsidTr="0066043F">
        <w:tc>
          <w:tcPr>
            <w:tcW w:w="5000" w:type="pct"/>
          </w:tcPr>
          <w:p w14:paraId="0074BFD6" w14:textId="77777777" w:rsidR="0066043F" w:rsidRPr="002217AD" w:rsidRDefault="0066043F" w:rsidP="005B3FB9">
            <w:pPr>
              <w:spacing w:before="240"/>
              <w:jc w:val="both"/>
            </w:pPr>
            <w:r>
              <w:rPr>
                <w:b/>
              </w:rPr>
              <w:t xml:space="preserve">1. pants. </w:t>
            </w:r>
            <w:r>
              <w:t>Šis likums reglamentē Konstitūcijas 74. pantā minēto jomu.</w:t>
            </w:r>
          </w:p>
        </w:tc>
      </w:tr>
      <w:tr w:rsidR="0066043F" w:rsidRPr="0082140B" w14:paraId="5B92BC29" w14:textId="77777777" w:rsidTr="0066043F">
        <w:tc>
          <w:tcPr>
            <w:tcW w:w="5000" w:type="pct"/>
          </w:tcPr>
          <w:p w14:paraId="2EED2AE1" w14:textId="77777777" w:rsidR="0066043F" w:rsidRPr="0082140B" w:rsidRDefault="0066043F" w:rsidP="005B3FB9">
            <w:pPr>
              <w:spacing w:before="240"/>
              <w:jc w:val="center"/>
            </w:pPr>
            <w:r>
              <w:t xml:space="preserve">2. NODAĻA. </w:t>
            </w:r>
            <w:r>
              <w:rPr>
                <w:i/>
                <w:iCs/>
              </w:rPr>
              <w:t>Grozījumi 1999. gada 7. maija Likumā par azartspēlēm, derībām, azartspēļu iestādēm un spēlētāju aizsardzību</w:t>
            </w:r>
          </w:p>
        </w:tc>
      </w:tr>
      <w:tr w:rsidR="0066043F" w:rsidRPr="002217AD" w14:paraId="44C8AD35" w14:textId="77777777" w:rsidTr="0066043F">
        <w:tc>
          <w:tcPr>
            <w:tcW w:w="5000" w:type="pct"/>
          </w:tcPr>
          <w:p w14:paraId="27495EDB" w14:textId="77777777" w:rsidR="0066043F" w:rsidRPr="002217AD" w:rsidRDefault="0066043F" w:rsidP="005B3FB9">
            <w:pPr>
              <w:spacing w:before="240"/>
              <w:jc w:val="both"/>
            </w:pPr>
            <w:r>
              <w:rPr>
                <w:b/>
                <w:bCs/>
              </w:rPr>
              <w:t>2. pants.</w:t>
            </w:r>
            <w:r>
              <w:t xml:space="preserve"> 1999. gada 7. maija Likuma par azartspēlēm, derībām, azartspēļu iestādēm un spēlētāju aizsardzību, kas aizstāts ar 2010. gada 10. janvāra likumu, 4. pantu papildina 4. un 5. punkts:</w:t>
            </w:r>
          </w:p>
        </w:tc>
      </w:tr>
      <w:tr w:rsidR="0066043F" w:rsidRPr="002217AD" w14:paraId="44597AC5" w14:textId="77777777" w:rsidTr="0066043F">
        <w:tc>
          <w:tcPr>
            <w:tcW w:w="5000" w:type="pct"/>
          </w:tcPr>
          <w:p w14:paraId="61A9A630" w14:textId="77777777" w:rsidR="0066043F" w:rsidRPr="002217AD" w:rsidRDefault="0066043F" w:rsidP="005B3FB9">
            <w:pPr>
              <w:spacing w:before="240"/>
              <w:jc w:val="both"/>
            </w:pPr>
            <w:r>
              <w:t>“4. punkts. Jebkurai personai ir aizliegts jebkādā veidā izmantot personas datus, kas tai nepieder, lai piekļūtu azartspēļu iestādei vai piedalītos azartspēlēs.</w:t>
            </w:r>
          </w:p>
        </w:tc>
      </w:tr>
      <w:tr w:rsidR="0066043F" w:rsidRPr="002217AD" w14:paraId="02D0F5C0" w14:textId="77777777" w:rsidTr="0066043F">
        <w:tc>
          <w:tcPr>
            <w:tcW w:w="5000" w:type="pct"/>
          </w:tcPr>
          <w:p w14:paraId="37C7B0A8" w14:textId="77777777" w:rsidR="0066043F" w:rsidRPr="002217AD" w:rsidRDefault="0066043F" w:rsidP="005B3FB9">
            <w:pPr>
              <w:spacing w:before="240"/>
              <w:jc w:val="both"/>
            </w:pPr>
            <w:r>
              <w:t>Jebkurai personai ir aizliegts jebkādā veidā darīt personas datus pieejamus citai personai, zinot, ka šādi dati tiks izmantoti, lai piekļūtu azartspēļu iestādei vai iesaistītos azartspēlēs.</w:t>
            </w:r>
          </w:p>
        </w:tc>
      </w:tr>
      <w:tr w:rsidR="0066043F" w:rsidRPr="002217AD" w14:paraId="6769D09B" w14:textId="77777777" w:rsidTr="0066043F">
        <w:tc>
          <w:tcPr>
            <w:tcW w:w="5000" w:type="pct"/>
          </w:tcPr>
          <w:p w14:paraId="25707CA0" w14:textId="77777777" w:rsidR="0066043F" w:rsidRPr="002217AD" w:rsidRDefault="0066043F" w:rsidP="005B3FB9">
            <w:pPr>
              <w:spacing w:before="240"/>
              <w:jc w:val="both"/>
            </w:pPr>
            <w:r>
              <w:t>Šajā punktā “personas dati” ir personas dati, kā definēts 4. panta 1. punktā Eiropas Parlamenta un Padomes 2016. gada 27. aprīļa Regulā (ES) 2016/679 par fizisku personu aizsardzību attiecībā uz personas datu apstrādi un šādu datu brīvu apriti un ar ko atceļ Direktīvu 95/46/EK (Vispārīgā datu aizsardzības regula).</w:t>
            </w:r>
          </w:p>
        </w:tc>
      </w:tr>
      <w:tr w:rsidR="0066043F" w:rsidRPr="002217AD" w14:paraId="53A76D84" w14:textId="77777777" w:rsidTr="0066043F">
        <w:tc>
          <w:tcPr>
            <w:tcW w:w="5000" w:type="pct"/>
          </w:tcPr>
          <w:p w14:paraId="6174A9EA" w14:textId="77777777" w:rsidR="0066043F" w:rsidRPr="002217AD" w:rsidRDefault="0066043F" w:rsidP="005B3FB9">
            <w:pPr>
              <w:spacing w:before="240"/>
              <w:jc w:val="both"/>
            </w:pPr>
            <w:r>
              <w:t>5. punkts. Jebkurai personai ir aizliegts piešķirt piekļuvi azartspēļu iestādei vai azartspēļu praksei personām, kurām šāda piekļuve vai prakse nav atļauta saskaņā ar 54. pantu.”</w:t>
            </w:r>
          </w:p>
        </w:tc>
      </w:tr>
      <w:tr w:rsidR="0066043F" w:rsidRPr="002217AD" w14:paraId="6EF83FF4" w14:textId="77777777" w:rsidTr="0066043F">
        <w:tc>
          <w:tcPr>
            <w:tcW w:w="5000" w:type="pct"/>
          </w:tcPr>
          <w:p w14:paraId="5921564A" w14:textId="77777777" w:rsidR="0066043F" w:rsidRPr="002217AD" w:rsidRDefault="0066043F" w:rsidP="005B3FB9">
            <w:pPr>
              <w:spacing w:before="240"/>
              <w:jc w:val="both"/>
            </w:pPr>
            <w:r>
              <w:rPr>
                <w:b/>
              </w:rPr>
              <w:t>3. pants.</w:t>
            </w:r>
            <w:r>
              <w:t xml:space="preserve"> Tajā pašā likumā iekļauj šādu 8/1. pantu:</w:t>
            </w:r>
          </w:p>
        </w:tc>
      </w:tr>
      <w:tr w:rsidR="0066043F" w:rsidRPr="002217AD" w14:paraId="3D79F3FB" w14:textId="77777777" w:rsidTr="0066043F">
        <w:tc>
          <w:tcPr>
            <w:tcW w:w="5000" w:type="pct"/>
          </w:tcPr>
          <w:p w14:paraId="44BA6322" w14:textId="77777777" w:rsidR="0066043F" w:rsidRPr="002217AD" w:rsidRDefault="0066043F" w:rsidP="005B3FB9">
            <w:pPr>
              <w:spacing w:before="240"/>
              <w:jc w:val="both"/>
            </w:pPr>
            <w:r>
              <w:t>“8/1. pants. Ekonomisko tiesību kodeksa XVI.5. pantā minētais Patērētāju starpniecības dienests saņem un izskata pieprasījumus par patērētāju strīdu ārpustiesas izšķiršanu saistībā ar azartspēlēm saskaņā ar šī kodeksa XVI grāmatas 3. sadaļas 3. nodaļas 2. iedaļas noteikumiem.</w:t>
            </w:r>
          </w:p>
        </w:tc>
      </w:tr>
      <w:tr w:rsidR="0066043F" w:rsidRPr="002217AD" w14:paraId="13E0619B" w14:textId="77777777" w:rsidTr="0066043F">
        <w:tc>
          <w:tcPr>
            <w:tcW w:w="5000" w:type="pct"/>
          </w:tcPr>
          <w:p w14:paraId="0A91BBDA" w14:textId="77777777" w:rsidR="0066043F" w:rsidRPr="002217AD" w:rsidRDefault="0066043F" w:rsidP="005B3FB9">
            <w:pPr>
              <w:spacing w:before="240"/>
              <w:jc w:val="both"/>
            </w:pPr>
            <w:r>
              <w:lastRenderedPageBreak/>
              <w:t>Ja pieteikums attiecas uz šā likuma vai tā īstenošanas noteikumu pārkāpumu, Patērētāju starpniecības dienests to pārsūta Komisijai.”</w:t>
            </w:r>
          </w:p>
        </w:tc>
      </w:tr>
      <w:tr w:rsidR="0066043F" w:rsidRPr="002217AD" w14:paraId="6EC78BD6" w14:textId="77777777" w:rsidTr="0066043F">
        <w:tc>
          <w:tcPr>
            <w:tcW w:w="5000" w:type="pct"/>
          </w:tcPr>
          <w:p w14:paraId="220D2EC2" w14:textId="77777777" w:rsidR="0066043F" w:rsidRPr="002217AD" w:rsidRDefault="0066043F" w:rsidP="005B3FB9">
            <w:pPr>
              <w:spacing w:before="240"/>
              <w:jc w:val="both"/>
            </w:pPr>
            <w:r>
              <w:rPr>
                <w:b/>
              </w:rPr>
              <w:t>4. pants.</w:t>
            </w:r>
            <w:r>
              <w:t xml:space="preserve"> Minētā likuma 15. panta 1. punkta 4. apakšpunkta 2. punktā starp vārdiem “prasa paziņot visus dokumentus” un vārdiem “var būt noderīgi to izmeklēšanai” iekļauj vārdus “un jo īpaši 55/4. pantā minēto profesionāļu reģistru un novērošanas kameru attēlus, ko operatori izvietojuši saskaņā ar 2007. gada 21. marta likumu, kas regulē novērošanas kameru uzstādīšanu un lietošanu”.</w:t>
            </w:r>
          </w:p>
        </w:tc>
      </w:tr>
      <w:tr w:rsidR="0066043F" w:rsidRPr="002217AD" w14:paraId="2853B46D" w14:textId="77777777" w:rsidTr="0066043F">
        <w:tc>
          <w:tcPr>
            <w:tcW w:w="5000" w:type="pct"/>
          </w:tcPr>
          <w:p w14:paraId="784C75E4" w14:textId="77777777" w:rsidR="0066043F" w:rsidRPr="002217AD" w:rsidRDefault="0066043F" w:rsidP="005B3FB9">
            <w:pPr>
              <w:spacing w:before="240"/>
              <w:jc w:val="both"/>
            </w:pPr>
            <w:r>
              <w:rPr>
                <w:b/>
              </w:rPr>
              <w:t>5. pants.</w:t>
            </w:r>
            <w:r>
              <w:t xml:space="preserve"> Tā paša likuma 15/2. pantā, kas iekļauts ar 2010. gada 10. janvāra likumu un aizstāts ar 2019. gada 7. maija likumu, tiek izdarīti šādi grozījumi</w:t>
            </w:r>
          </w:p>
        </w:tc>
      </w:tr>
      <w:tr w:rsidR="0066043F" w:rsidRPr="002217AD" w14:paraId="0651BAC9" w14:textId="77777777" w:rsidTr="0066043F">
        <w:tc>
          <w:tcPr>
            <w:tcW w:w="5000" w:type="pct"/>
          </w:tcPr>
          <w:p w14:paraId="2E3D722C" w14:textId="77777777" w:rsidR="0066043F" w:rsidRPr="002217AD" w:rsidRDefault="0066043F" w:rsidP="005B3FB9">
            <w:pPr>
              <w:spacing w:before="240"/>
              <w:jc w:val="both"/>
            </w:pPr>
            <w:r>
              <w:t>1) 2. panta 1. punkta 3) apakšpunktā vārdus “personu, kas jaunāka par 18 gadiem” aizstāj ar vārdiem “personu, kas jaunāka par 21 gadu”;</w:t>
            </w:r>
          </w:p>
        </w:tc>
      </w:tr>
      <w:tr w:rsidR="0066043F" w:rsidRPr="002217AD" w14:paraId="658582C2" w14:textId="77777777" w:rsidTr="0066043F">
        <w:tc>
          <w:tcPr>
            <w:tcW w:w="5000" w:type="pct"/>
          </w:tcPr>
          <w:p w14:paraId="0877585C" w14:textId="77777777" w:rsidR="0066043F" w:rsidRPr="002217AD" w:rsidRDefault="0066043F" w:rsidP="005B3FB9">
            <w:pPr>
              <w:spacing w:before="240"/>
              <w:jc w:val="both"/>
            </w:pPr>
            <w:r>
              <w:t>2) 3. panta 1. punkta 2) apakšpunktā vārdus “persona, kas jaunāka par 18 gadiem; ” aizstāj ar vārdiem “persona, kas jaunāka par 21 gadu; ”.</w:t>
            </w:r>
          </w:p>
        </w:tc>
      </w:tr>
      <w:tr w:rsidR="0066043F" w:rsidRPr="002217AD" w14:paraId="7967A93B" w14:textId="77777777" w:rsidTr="0066043F">
        <w:tc>
          <w:tcPr>
            <w:tcW w:w="5000" w:type="pct"/>
          </w:tcPr>
          <w:p w14:paraId="4DF6354D" w14:textId="77777777" w:rsidR="0066043F" w:rsidRPr="002217AD" w:rsidRDefault="0066043F" w:rsidP="005B3FB9">
            <w:pPr>
              <w:spacing w:before="240"/>
              <w:jc w:val="both"/>
            </w:pPr>
            <w:r>
              <w:rPr>
                <w:b/>
              </w:rPr>
              <w:t>6. pants.</w:t>
            </w:r>
            <w:r>
              <w:t xml:space="preserve"> Tā paša likuma 15/3. panta 1. punktā, kas iekļauts ar 2010. gada 10. janvāra likumu, aizstāts ar 2019. gada 7. maija likumu un kurā jaunākie grozījumi izdarīti ar 2024. gada 18. janvāra Likumu, vārdus “46., 54., 58., 60., 62. pants un saskaņā ar minētajiem pantiem un 61. panta 2. punktu pieņemtajiem noteikumiem” aizstāj ar vārdiem “46., 58., 60., 61. panta 2. un 3. punkta un noteikumiem, kas pieņemti saskaņā ar minētajiem pantiem”.</w:t>
            </w:r>
          </w:p>
        </w:tc>
      </w:tr>
      <w:tr w:rsidR="0066043F" w:rsidRPr="002217AD" w14:paraId="1E4CEBD0" w14:textId="77777777" w:rsidTr="0066043F">
        <w:tc>
          <w:tcPr>
            <w:tcW w:w="5000" w:type="pct"/>
          </w:tcPr>
          <w:p w14:paraId="18D4299B" w14:textId="77777777" w:rsidR="0066043F" w:rsidRPr="002217AD" w:rsidRDefault="0066043F" w:rsidP="005B3FB9">
            <w:pPr>
              <w:spacing w:before="240"/>
              <w:jc w:val="both"/>
            </w:pPr>
            <w:r>
              <w:rPr>
                <w:b/>
              </w:rPr>
              <w:t>7. pants.</w:t>
            </w:r>
            <w:r>
              <w:t xml:space="preserve"> Minētā likuma 20. panta, kas grozīts ar 2010. gada 10. janvāra un 2017. gada 18. septembra likumu, 3. punktu aizstāj ar šādu:</w:t>
            </w:r>
          </w:p>
        </w:tc>
      </w:tr>
      <w:tr w:rsidR="0066043F" w:rsidRPr="002217AD" w14:paraId="6899992B" w14:textId="77777777" w:rsidTr="0066043F">
        <w:tc>
          <w:tcPr>
            <w:tcW w:w="5000" w:type="pct"/>
          </w:tcPr>
          <w:p w14:paraId="07FF4F80" w14:textId="77777777" w:rsidR="0066043F" w:rsidRPr="002217AD" w:rsidRDefault="0066043F" w:rsidP="005B3FB9">
            <w:pPr>
              <w:spacing w:before="240"/>
              <w:jc w:val="both"/>
            </w:pPr>
            <w:r>
              <w:t>“Sūdzības par šā likuma un tā īstenošanas dekrētu piemērošanu un izpildi Komisija pieņem Komisijas noteiktajā kārtībā.”</w:t>
            </w:r>
          </w:p>
        </w:tc>
      </w:tr>
      <w:tr w:rsidR="0066043F" w:rsidRPr="002217AD" w14:paraId="0154410B" w14:textId="77777777" w:rsidTr="0066043F">
        <w:tc>
          <w:tcPr>
            <w:tcW w:w="5000" w:type="pct"/>
          </w:tcPr>
          <w:p w14:paraId="6796053F" w14:textId="77777777" w:rsidR="0066043F" w:rsidRPr="002217AD" w:rsidRDefault="0066043F" w:rsidP="005B3FB9">
            <w:pPr>
              <w:spacing w:before="240"/>
              <w:jc w:val="both"/>
            </w:pPr>
            <w:r>
              <w:rPr>
                <w:b/>
                <w:bCs/>
              </w:rPr>
              <w:t>8. pants</w:t>
            </w:r>
            <w:r>
              <w:t>. Tā paša likuma 24. pantu aizstāj ar šādu:</w:t>
            </w:r>
          </w:p>
        </w:tc>
      </w:tr>
      <w:tr w:rsidR="0066043F" w:rsidRPr="0071317A" w14:paraId="5016A177" w14:textId="77777777" w:rsidTr="0066043F">
        <w:tc>
          <w:tcPr>
            <w:tcW w:w="5000" w:type="pct"/>
          </w:tcPr>
          <w:p w14:paraId="184FFFD7" w14:textId="77777777" w:rsidR="0066043F" w:rsidRPr="0071317A" w:rsidRDefault="0066043F" w:rsidP="005B3FB9">
            <w:pPr>
              <w:spacing w:before="240"/>
              <w:jc w:val="both"/>
            </w:pPr>
            <w:r>
              <w:t>“24. pants. 1. punkts. Lai stiprinātu spēlētāju aizsardzību, Komisija vismaz reizi gadā tiekas ar licenciātu pārstāvjiem, lai uzzinātu par uzņēmēju perspektīvām un iniciatīvām saistībā ar uzvedības atkarību, parādiem un resursiem, ko tie piešķir.</w:t>
            </w:r>
          </w:p>
        </w:tc>
      </w:tr>
      <w:tr w:rsidR="0066043F" w:rsidRPr="002217AD" w14:paraId="3802F96C" w14:textId="77777777" w:rsidTr="0066043F">
        <w:tc>
          <w:tcPr>
            <w:tcW w:w="5000" w:type="pct"/>
          </w:tcPr>
          <w:p w14:paraId="0F3D26B7" w14:textId="77777777" w:rsidR="0066043F" w:rsidRPr="002217AD" w:rsidRDefault="0066043F" w:rsidP="005B3FB9">
            <w:pPr>
              <w:spacing w:before="240"/>
              <w:jc w:val="both"/>
            </w:pPr>
            <w:r>
              <w:t>Šo informāciju paziņo 16. pantā minētajā ziņojumā.</w:t>
            </w:r>
          </w:p>
        </w:tc>
      </w:tr>
      <w:tr w:rsidR="0066043F" w:rsidRPr="002217AD" w14:paraId="34AF8C82" w14:textId="77777777" w:rsidTr="0066043F">
        <w:tc>
          <w:tcPr>
            <w:tcW w:w="5000" w:type="pct"/>
          </w:tcPr>
          <w:p w14:paraId="65276DE3" w14:textId="77777777" w:rsidR="0066043F" w:rsidRPr="002217AD" w:rsidRDefault="0066043F" w:rsidP="005B3FB9">
            <w:pPr>
              <w:spacing w:before="240"/>
              <w:jc w:val="both"/>
            </w:pPr>
            <w:r>
              <w:t>2. punkts. Jautājumos, kas ir Komisijas kompetencē, Komisija pēc apspriešanās ar Federālo sabiedrības veselības aizsardzības dienestu var izstrādāt kopīgos protokolus tiesību un normatīvo noteikumu tehniskai un praktiskai īstenošanai.</w:t>
            </w:r>
          </w:p>
        </w:tc>
      </w:tr>
      <w:tr w:rsidR="0066043F" w:rsidRPr="002217AD" w14:paraId="2FB6DE2D" w14:textId="77777777" w:rsidTr="0066043F">
        <w:tc>
          <w:tcPr>
            <w:tcW w:w="5000" w:type="pct"/>
          </w:tcPr>
          <w:p w14:paraId="4DAE3868" w14:textId="77777777" w:rsidR="0066043F" w:rsidRPr="002217AD" w:rsidRDefault="0066043F" w:rsidP="005B3FB9">
            <w:pPr>
              <w:spacing w:before="240"/>
              <w:jc w:val="both"/>
            </w:pPr>
            <w:r>
              <w:t>Ja 30 dienu laikā Federālais sabiedrības veselības aizsardzības dienests nesūta komisijai nekādu paziņojumu vai lūgumu pagarināt termiņu līdz 60 dienām, procedūra tiek turpināta bez paziņojuma.</w:t>
            </w:r>
          </w:p>
        </w:tc>
      </w:tr>
      <w:tr w:rsidR="0066043F" w:rsidRPr="002217AD" w14:paraId="71232CCD" w14:textId="77777777" w:rsidTr="0066043F">
        <w:tc>
          <w:tcPr>
            <w:tcW w:w="5000" w:type="pct"/>
          </w:tcPr>
          <w:p w14:paraId="15762982" w14:textId="77777777" w:rsidR="0066043F" w:rsidRPr="002217AD" w:rsidRDefault="0066043F" w:rsidP="005B3FB9">
            <w:pPr>
              <w:spacing w:before="240"/>
              <w:jc w:val="both"/>
            </w:pPr>
            <w:r>
              <w:t xml:space="preserve">Komisija publicē šos protokolus </w:t>
            </w:r>
            <w:r>
              <w:rPr>
                <w:rStyle w:val="Italic"/>
              </w:rPr>
              <w:t>Moniteur belge</w:t>
            </w:r>
            <w:r>
              <w:t>”.</w:t>
            </w:r>
          </w:p>
        </w:tc>
      </w:tr>
      <w:tr w:rsidR="0066043F" w:rsidRPr="002217AD" w14:paraId="155B7AA7" w14:textId="77777777" w:rsidTr="0066043F">
        <w:tc>
          <w:tcPr>
            <w:tcW w:w="5000" w:type="pct"/>
          </w:tcPr>
          <w:p w14:paraId="6D7AA6BC" w14:textId="77777777" w:rsidR="0066043F" w:rsidRPr="002217AD" w:rsidRDefault="0066043F" w:rsidP="005B3FB9">
            <w:pPr>
              <w:spacing w:before="240"/>
              <w:jc w:val="both"/>
            </w:pPr>
            <w:r>
              <w:rPr>
                <w:b/>
              </w:rPr>
              <w:t>9. pants.</w:t>
            </w:r>
            <w:r>
              <w:t xml:space="preserve"> Tajā pašā likumā iekļauj šādu 42/1. pantu:</w:t>
            </w:r>
          </w:p>
        </w:tc>
      </w:tr>
      <w:tr w:rsidR="0066043F" w:rsidRPr="002217AD" w14:paraId="6627EF06" w14:textId="77777777" w:rsidTr="0066043F">
        <w:tc>
          <w:tcPr>
            <w:tcW w:w="5000" w:type="pct"/>
          </w:tcPr>
          <w:p w14:paraId="717D11FC" w14:textId="77777777" w:rsidR="0066043F" w:rsidRPr="002217AD" w:rsidRDefault="0066043F" w:rsidP="005B3FB9">
            <w:pPr>
              <w:spacing w:before="240"/>
              <w:jc w:val="both"/>
            </w:pPr>
            <w:r>
              <w:t>“42/1. pants. Lai paliktu kā C klases apliecības turētājs, pieteikuma iesniedzējam ir jāturpina ievērot 41. un 42. pantā izklāstītos nosacījumus.”</w:t>
            </w:r>
          </w:p>
        </w:tc>
      </w:tr>
      <w:tr w:rsidR="0066043F" w:rsidRPr="002217AD" w14:paraId="7EDAD023" w14:textId="77777777" w:rsidTr="0066043F">
        <w:tc>
          <w:tcPr>
            <w:tcW w:w="5000" w:type="pct"/>
          </w:tcPr>
          <w:p w14:paraId="2509AA66" w14:textId="77777777" w:rsidR="0066043F" w:rsidRPr="002217AD" w:rsidRDefault="0066043F" w:rsidP="005B3FB9">
            <w:pPr>
              <w:spacing w:before="240"/>
              <w:jc w:val="both"/>
            </w:pPr>
            <w:r>
              <w:rPr>
                <w:b/>
              </w:rPr>
              <w:lastRenderedPageBreak/>
              <w:t>10. pants.</w:t>
            </w:r>
            <w:r>
              <w:t xml:space="preserve"> Tā paša likuma 43/1. panta 1. punktā, kas iekļauts ar 2010. gada 10. janvāra likumu un grozīts ar 2019. gada 7. maija likumu, vārdu “nepilngadīgie” aizstāj ar vārdiem “personas, kas jaunākas par 21 gadu”.</w:t>
            </w:r>
          </w:p>
        </w:tc>
      </w:tr>
      <w:tr w:rsidR="0066043F" w:rsidRPr="00CF6D43" w14:paraId="7859C208" w14:textId="77777777" w:rsidTr="0066043F">
        <w:tc>
          <w:tcPr>
            <w:tcW w:w="5000" w:type="pct"/>
          </w:tcPr>
          <w:p w14:paraId="2B6FBAB0" w14:textId="77777777" w:rsidR="0066043F" w:rsidRPr="00CF6D43" w:rsidRDefault="0066043F" w:rsidP="005B3FB9">
            <w:pPr>
              <w:spacing w:before="240"/>
              <w:jc w:val="both"/>
            </w:pPr>
            <w:r>
              <w:rPr>
                <w:b/>
              </w:rPr>
              <w:t xml:space="preserve">11. pants. </w:t>
            </w:r>
            <w:r>
              <w:t>Tā paša likuma 43/8. pantā, kas iekļauts ar 2010. gada 10. janvāra likumu un grozīts ar 2019. gada 7. maija un 2021. gada 28. novembra likumu, tiek izdarīti šādi grozījumi:</w:t>
            </w:r>
          </w:p>
        </w:tc>
      </w:tr>
      <w:tr w:rsidR="0066043F" w:rsidRPr="006D2041" w14:paraId="0C7EB156" w14:textId="77777777" w:rsidTr="0066043F">
        <w:tc>
          <w:tcPr>
            <w:tcW w:w="5000" w:type="pct"/>
          </w:tcPr>
          <w:p w14:paraId="2675B3C7" w14:textId="77777777" w:rsidR="0066043F" w:rsidRPr="006D2041" w:rsidRDefault="0066043F" w:rsidP="005B3FB9">
            <w:pPr>
              <w:spacing w:before="240"/>
              <w:jc w:val="both"/>
              <w:rPr>
                <w:b/>
                <w:bCs/>
              </w:rPr>
            </w:pPr>
            <w:r>
              <w:t>1) 2. panta 1. punkta e) apakšpunktu atceļ;</w:t>
            </w:r>
          </w:p>
        </w:tc>
      </w:tr>
      <w:tr w:rsidR="0066043F" w:rsidRPr="00F11721" w14:paraId="29535F32" w14:textId="77777777" w:rsidTr="0066043F">
        <w:tc>
          <w:tcPr>
            <w:tcW w:w="5000" w:type="pct"/>
          </w:tcPr>
          <w:p w14:paraId="7365F420" w14:textId="77777777" w:rsidR="0066043F" w:rsidRPr="00F11721" w:rsidRDefault="0066043F" w:rsidP="005B3FB9">
            <w:pPr>
              <w:spacing w:before="240"/>
              <w:jc w:val="both"/>
            </w:pPr>
            <w:r>
              <w:t>2) 4. pantu papildina ar trim punktiem, kas ir formulēti šādi:</w:t>
            </w:r>
          </w:p>
        </w:tc>
      </w:tr>
      <w:tr w:rsidR="0066043F" w:rsidRPr="00F11721" w14:paraId="5405EA78" w14:textId="77777777" w:rsidTr="0066043F">
        <w:tc>
          <w:tcPr>
            <w:tcW w:w="5000" w:type="pct"/>
          </w:tcPr>
          <w:p w14:paraId="7E77C678" w14:textId="77777777" w:rsidR="0066043F" w:rsidRPr="00F11721" w:rsidRDefault="0066043F" w:rsidP="005B3FB9">
            <w:pPr>
              <w:spacing w:before="240"/>
              <w:jc w:val="both"/>
              <w:rPr>
                <w:b/>
                <w:bCs/>
              </w:rPr>
            </w:pPr>
            <w:r>
              <w:t xml:space="preserve">“Komisija arī uztur atjauninātu sarakstu ar azartspēļu organizatoru tīmekļa vietņu URL, ko tā, izmantojot informācijas sabiedrības rīkus, piedāvā azartspēles Beļģijā, nesaņemot licenci, ko tā piešķīrusi šim nolūkam. Šā saraksta atjauninājumus publicē </w:t>
            </w:r>
            <w:r>
              <w:rPr>
                <w:rStyle w:val="Italic"/>
              </w:rPr>
              <w:t>Moniteur belge</w:t>
            </w:r>
            <w:r>
              <w:t>.</w:t>
            </w:r>
          </w:p>
        </w:tc>
      </w:tr>
      <w:tr w:rsidR="0066043F" w:rsidRPr="00F11721" w14:paraId="77C2730F" w14:textId="77777777" w:rsidTr="0066043F">
        <w:tc>
          <w:tcPr>
            <w:tcW w:w="5000" w:type="pct"/>
          </w:tcPr>
          <w:p w14:paraId="0200E79F" w14:textId="77777777" w:rsidR="0066043F" w:rsidRPr="00F11721" w:rsidRDefault="0066043F" w:rsidP="005B3FB9">
            <w:pPr>
              <w:spacing w:before="240"/>
              <w:jc w:val="both"/>
            </w:pPr>
            <w:r>
              <w:t>Vietrāži, kas iekļauti 2. punktā minētajā sarakstā, tiek nodoti interneta pakalpojumu sniedzējiem saskaņā ar 2005. gada 13. jūnija Likumu par elektroniskajiem sakariem, lai tie pēc iespējas ātrāk varētu bloķēt piekļuvi tiem.</w:t>
            </w:r>
          </w:p>
        </w:tc>
      </w:tr>
      <w:tr w:rsidR="0066043F" w:rsidRPr="00F11721" w14:paraId="1560EB92" w14:textId="77777777" w:rsidTr="0066043F">
        <w:tc>
          <w:tcPr>
            <w:tcW w:w="5000" w:type="pct"/>
          </w:tcPr>
          <w:p w14:paraId="79C4FE69" w14:textId="77777777" w:rsidR="0066043F" w:rsidRPr="00F11721" w:rsidRDefault="0066043F" w:rsidP="005B3FB9">
            <w:pPr>
              <w:spacing w:before="240"/>
              <w:jc w:val="both"/>
            </w:pPr>
            <w:r>
              <w:t>Karalis var noteikt citus noteikumus attiecībā uz 2. punktā minēto sarakstu.”</w:t>
            </w:r>
          </w:p>
        </w:tc>
      </w:tr>
      <w:tr w:rsidR="0066043F" w14:paraId="47873ADD" w14:textId="77777777" w:rsidTr="0066043F">
        <w:tc>
          <w:tcPr>
            <w:tcW w:w="5000" w:type="pct"/>
          </w:tcPr>
          <w:p w14:paraId="423A0965" w14:textId="77777777" w:rsidR="0066043F" w:rsidRDefault="0066043F" w:rsidP="005B3FB9">
            <w:pPr>
              <w:spacing w:before="240"/>
              <w:jc w:val="both"/>
            </w:pPr>
            <w:r>
              <w:rPr>
                <w:b/>
              </w:rPr>
              <w:t xml:space="preserve">12. pants. </w:t>
            </w:r>
            <w:r>
              <w:t>Tā paša likuma 44. pantā ar grozījumiem, kas izdarīti ar 2010. gada 10. janvāra likumu, izdara šādas izmaiņas:</w:t>
            </w:r>
          </w:p>
        </w:tc>
      </w:tr>
      <w:tr w:rsidR="0066043F" w14:paraId="10659864" w14:textId="77777777" w:rsidTr="0066043F">
        <w:tc>
          <w:tcPr>
            <w:tcW w:w="5000" w:type="pct"/>
          </w:tcPr>
          <w:p w14:paraId="29E9FB97" w14:textId="77777777" w:rsidR="0066043F" w:rsidRDefault="0066043F" w:rsidP="005B3FB9">
            <w:pPr>
              <w:spacing w:before="240"/>
              <w:jc w:val="both"/>
            </w:pPr>
            <w:r>
              <w:t>1) vārdus “un uz tiem pastāvīgi attiecas personas apliecība, kas apliecina šīs licences esamību” aizstāj ar vārdiem “un tiem ir pastāvīgi pierādījumi par to.”;</w:t>
            </w:r>
          </w:p>
        </w:tc>
      </w:tr>
      <w:tr w:rsidR="0066043F" w14:paraId="5833A6E3" w14:textId="77777777" w:rsidTr="0066043F">
        <w:tc>
          <w:tcPr>
            <w:tcW w:w="5000" w:type="pct"/>
          </w:tcPr>
          <w:p w14:paraId="2493E136" w14:textId="77777777" w:rsidR="0066043F" w:rsidRDefault="0066043F" w:rsidP="005B3FB9">
            <w:pPr>
              <w:spacing w:before="240"/>
              <w:jc w:val="both"/>
            </w:pPr>
            <w:r>
              <w:t>2) holandiešu tekstā svītro vārdus “</w:t>
            </w:r>
            <w:r>
              <w:rPr>
                <w:rStyle w:val="Italic"/>
              </w:rPr>
              <w:t>in de vorm van een identificatiekaart</w:t>
            </w:r>
            <w:r>
              <w:t>”.</w:t>
            </w:r>
          </w:p>
        </w:tc>
      </w:tr>
      <w:tr w:rsidR="0066043F" w14:paraId="2EB820C8" w14:textId="77777777" w:rsidTr="0066043F">
        <w:tc>
          <w:tcPr>
            <w:tcW w:w="5000" w:type="pct"/>
          </w:tcPr>
          <w:p w14:paraId="50963D3D" w14:textId="77777777" w:rsidR="0066043F" w:rsidRDefault="0066043F" w:rsidP="005B3FB9">
            <w:pPr>
              <w:spacing w:before="240"/>
              <w:jc w:val="both"/>
            </w:pPr>
            <w:r>
              <w:rPr>
                <w:b/>
              </w:rPr>
              <w:t>13. pants.</w:t>
            </w:r>
            <w:r>
              <w:t xml:space="preserve"> Minētā likuma 47. panta 1. punktā svītro vārdus “un tam pievienoto identifikācijas karti”.</w:t>
            </w:r>
          </w:p>
        </w:tc>
      </w:tr>
      <w:tr w:rsidR="0066043F" w14:paraId="5161D6F3" w14:textId="77777777" w:rsidTr="0066043F">
        <w:tc>
          <w:tcPr>
            <w:tcW w:w="5000" w:type="pct"/>
          </w:tcPr>
          <w:p w14:paraId="68CE6767" w14:textId="77777777" w:rsidR="0066043F" w:rsidRDefault="0066043F" w:rsidP="005B3FB9">
            <w:pPr>
              <w:spacing w:before="240"/>
              <w:jc w:val="both"/>
            </w:pPr>
            <w:r>
              <w:rPr>
                <w:b/>
              </w:rPr>
              <w:t xml:space="preserve">14. pants. </w:t>
            </w:r>
            <w:r>
              <w:t>Šī likuma 54. panta 3. punktā ar grozījumiem, kas izdarīti ar 2010. gada 10. janvāra un 2013. gada 17. marta likumu, tiek izdarīti šādi grozījumi:</w:t>
            </w:r>
          </w:p>
        </w:tc>
      </w:tr>
      <w:tr w:rsidR="0066043F" w14:paraId="16375213" w14:textId="77777777" w:rsidTr="0066043F">
        <w:tc>
          <w:tcPr>
            <w:tcW w:w="5000" w:type="pct"/>
          </w:tcPr>
          <w:p w14:paraId="317FFDC6" w14:textId="77777777" w:rsidR="0066043F" w:rsidRDefault="0066043F" w:rsidP="005B3FB9">
            <w:pPr>
              <w:spacing w:before="240"/>
              <w:jc w:val="both"/>
            </w:pPr>
            <w:r>
              <w:t xml:space="preserve">1) ievadteikumu aizstāj ar šādu: </w:t>
            </w:r>
          </w:p>
        </w:tc>
      </w:tr>
      <w:tr w:rsidR="0066043F" w14:paraId="36C48A6D" w14:textId="77777777" w:rsidTr="0066043F">
        <w:tc>
          <w:tcPr>
            <w:tcW w:w="5000" w:type="pct"/>
          </w:tcPr>
          <w:p w14:paraId="63545EC5" w14:textId="77777777" w:rsidR="0066043F" w:rsidRDefault="0066043F" w:rsidP="005B3FB9">
            <w:pPr>
              <w:spacing w:before="240"/>
              <w:jc w:val="both"/>
            </w:pPr>
            <w:r>
              <w:t>“Licences A, A+, B+, B+, F1+ un F2 īpašnieki aizliedz piekļuvi I un II klases azartspēļu iestādēm vai IV klases azartspēļu iestādēm, piedaloties derībās ārpus IV klases azartspēļu iestādēm un izmantojot informācijas sabiedrības instrumentus, šādām personām, kas ieiet azartspēļu iestādes spēļu zālē vai vēlas piedalīties azartspēlēs, izņemot personas, kuras tajās piedalās profesionālos nolūkos un kurām Komisija ir aizliegusi piekļuvi:”;</w:t>
            </w:r>
          </w:p>
        </w:tc>
      </w:tr>
      <w:tr w:rsidR="0066043F" w14:paraId="59A4CA34" w14:textId="77777777" w:rsidTr="0066043F">
        <w:tc>
          <w:tcPr>
            <w:tcW w:w="5000" w:type="pct"/>
          </w:tcPr>
          <w:p w14:paraId="2CFF4FCA" w14:textId="77777777" w:rsidR="0066043F" w:rsidRDefault="0066043F" w:rsidP="005B3FB9">
            <w:pPr>
              <w:spacing w:before="240"/>
              <w:jc w:val="both"/>
            </w:pPr>
            <w:r>
              <w:t>2) 4. punktu aizstāj ar:</w:t>
            </w:r>
          </w:p>
        </w:tc>
      </w:tr>
      <w:tr w:rsidR="0066043F" w14:paraId="458A6E54" w14:textId="77777777" w:rsidTr="0066043F">
        <w:tc>
          <w:tcPr>
            <w:tcW w:w="5000" w:type="pct"/>
          </w:tcPr>
          <w:p w14:paraId="21EE1438" w14:textId="77777777" w:rsidR="0066043F" w:rsidRDefault="0066043F" w:rsidP="005B3FB9">
            <w:pPr>
              <w:spacing w:before="240"/>
              <w:jc w:val="both"/>
            </w:pPr>
            <w:r>
              <w:t>“4) personas, kurām ir azartspēļu atkarības problēma un attiecībā uz kurām komisija pēc jebkuras ieinteresētās personas pieprasījuma ir veikusi izslēgšanu;”.</w:t>
            </w:r>
          </w:p>
        </w:tc>
      </w:tr>
      <w:tr w:rsidR="0066043F" w14:paraId="16DED9C1" w14:textId="77777777" w:rsidTr="0066043F">
        <w:tc>
          <w:tcPr>
            <w:tcW w:w="5000" w:type="pct"/>
          </w:tcPr>
          <w:p w14:paraId="6AB75904" w14:textId="77777777" w:rsidR="0066043F" w:rsidRDefault="0066043F" w:rsidP="005B3FB9">
            <w:pPr>
              <w:spacing w:before="240"/>
              <w:jc w:val="both"/>
            </w:pPr>
            <w:r>
              <w:rPr>
                <w:b/>
                <w:bCs/>
              </w:rPr>
              <w:t>15. pants.</w:t>
            </w:r>
            <w:r>
              <w:t xml:space="preserve"> Šajā likumā iekļauj šādu 54/1. pantu:</w:t>
            </w:r>
          </w:p>
        </w:tc>
      </w:tr>
      <w:tr w:rsidR="0066043F" w14:paraId="09AA8F4A" w14:textId="77777777" w:rsidTr="0066043F">
        <w:tc>
          <w:tcPr>
            <w:tcW w:w="5000" w:type="pct"/>
          </w:tcPr>
          <w:p w14:paraId="7E5478C8" w14:textId="77777777" w:rsidR="0066043F" w:rsidRDefault="0066043F" w:rsidP="005B3FB9">
            <w:pPr>
              <w:spacing w:before="240"/>
              <w:jc w:val="both"/>
            </w:pPr>
            <w:r>
              <w:t xml:space="preserve">“54/1. pants. 1. punkts. A, A+, B, B+, F1+ un F2 licenču turētājiem, izņemot 43/4. panta 5. punkta 1. apakšpunktā minētos F2 licences turētājus, ir jāidentificē jebkura persona, kas ienāk azartspēļu </w:t>
            </w:r>
            <w:r>
              <w:lastRenderedPageBreak/>
              <w:t>iestādes spēļu zālē vai vēlas iesaistīties azartspēlēs, izņemot personas, kas tajās piedalās profesionāliem nolūkiem.</w:t>
            </w:r>
          </w:p>
        </w:tc>
      </w:tr>
      <w:tr w:rsidR="0066043F" w14:paraId="2E15C5A6" w14:textId="77777777" w:rsidTr="0066043F">
        <w:tc>
          <w:tcPr>
            <w:tcW w:w="5000" w:type="pct"/>
          </w:tcPr>
          <w:p w14:paraId="6F47BC75" w14:textId="77777777" w:rsidR="0066043F" w:rsidRDefault="0066043F" w:rsidP="005B3FB9">
            <w:pPr>
              <w:spacing w:before="240"/>
              <w:jc w:val="both"/>
            </w:pPr>
            <w:r>
              <w:lastRenderedPageBreak/>
              <w:t>Šīs identifikācijas mērķis ir:</w:t>
            </w:r>
          </w:p>
        </w:tc>
      </w:tr>
      <w:tr w:rsidR="0066043F" w14:paraId="49C9CBB4" w14:textId="77777777" w:rsidTr="0066043F">
        <w:tc>
          <w:tcPr>
            <w:tcW w:w="5000" w:type="pct"/>
          </w:tcPr>
          <w:p w14:paraId="144C2F93" w14:textId="77777777" w:rsidR="0066043F" w:rsidRDefault="0066043F" w:rsidP="005B3FB9">
            <w:pPr>
              <w:spacing w:before="240"/>
              <w:jc w:val="both"/>
            </w:pPr>
            <w:r>
              <w:t>1) pārbaudīt,​vai uzrādītais personu apliecinošais dokuments pieder 1. apakšpunktā minētajai personai, kura to uzrāda;</w:t>
            </w:r>
          </w:p>
        </w:tc>
      </w:tr>
      <w:tr w:rsidR="0066043F" w14:paraId="442B50B4" w14:textId="77777777" w:rsidTr="0066043F">
        <w:tc>
          <w:tcPr>
            <w:tcW w:w="5000" w:type="pct"/>
          </w:tcPr>
          <w:p w14:paraId="5D98A629" w14:textId="77777777" w:rsidR="0066043F" w:rsidRDefault="0066043F" w:rsidP="005B3FB9">
            <w:pPr>
              <w:spacing w:before="240"/>
              <w:jc w:val="both"/>
            </w:pPr>
            <w:r>
              <w:t>2) pārbaudīt, vai 1. punktā minētā persona ir tiesīga piekļūt azartspēļu iestādes spēļu zālei vai iesaistīties azartspēlēs saskaņā ar 54. panta 1.–4. punktu.”</w:t>
            </w:r>
          </w:p>
        </w:tc>
      </w:tr>
      <w:tr w:rsidR="0066043F" w14:paraId="145284B1" w14:textId="77777777" w:rsidTr="0066043F">
        <w:tc>
          <w:tcPr>
            <w:tcW w:w="5000" w:type="pct"/>
          </w:tcPr>
          <w:p w14:paraId="4CC3F31D" w14:textId="77777777" w:rsidR="0066043F" w:rsidRDefault="0066043F" w:rsidP="005B3FB9">
            <w:pPr>
              <w:spacing w:before="240"/>
              <w:jc w:val="both"/>
            </w:pPr>
            <w:r>
              <w:t>Ja rodas šaubas par personas identifikācijas patiesumu vai precizitāti, licenciāts aizliedz ieiet azartspēļu iestādes spēļu zālē vai nodarboties ar azartspēlēm.</w:t>
            </w:r>
          </w:p>
        </w:tc>
      </w:tr>
      <w:tr w:rsidR="0066043F" w14:paraId="285A2EBE" w14:textId="77777777" w:rsidTr="0066043F">
        <w:tc>
          <w:tcPr>
            <w:tcW w:w="5000" w:type="pct"/>
          </w:tcPr>
          <w:p w14:paraId="3CB93605" w14:textId="77777777" w:rsidR="0066043F" w:rsidRDefault="0066043F" w:rsidP="005B3FB9">
            <w:pPr>
              <w:spacing w:before="240"/>
              <w:jc w:val="both"/>
            </w:pPr>
            <w:r>
              <w:t>2. punkts. Šā panta 1. punktā minētās identifikācijas nolūkā derīgie personu apliecinošie dokumenti un uzturēšanās dokumenti, ko pieņem, ir šādi:</w:t>
            </w:r>
          </w:p>
        </w:tc>
      </w:tr>
      <w:tr w:rsidR="0066043F" w14:paraId="2B5E0ECB" w14:textId="77777777" w:rsidTr="0066043F">
        <w:tc>
          <w:tcPr>
            <w:tcW w:w="5000" w:type="pct"/>
          </w:tcPr>
          <w:p w14:paraId="26BFE918" w14:textId="77777777" w:rsidR="0066043F" w:rsidRDefault="0066043F" w:rsidP="005B3FB9">
            <w:pPr>
              <w:spacing w:before="240"/>
              <w:jc w:val="both"/>
            </w:pPr>
            <w:r>
              <w:t>1) Beļģijas elektroniskā personas apliecība;</w:t>
            </w:r>
          </w:p>
        </w:tc>
      </w:tr>
      <w:tr w:rsidR="0066043F" w14:paraId="529C39F1" w14:textId="77777777" w:rsidTr="0066043F">
        <w:tc>
          <w:tcPr>
            <w:tcW w:w="5000" w:type="pct"/>
          </w:tcPr>
          <w:p w14:paraId="526A49C0" w14:textId="77777777" w:rsidR="0066043F" w:rsidRDefault="0066043F" w:rsidP="005B3FB9">
            <w:pPr>
              <w:spacing w:before="240"/>
              <w:jc w:val="both"/>
            </w:pPr>
            <w:r>
              <w:t>2) elektroniskā uzturēšanās atļauja vai elektroniskā reģistrācijas apliecība;</w:t>
            </w:r>
          </w:p>
        </w:tc>
      </w:tr>
      <w:tr w:rsidR="0066043F" w14:paraId="7D7DA545" w14:textId="77777777" w:rsidTr="0066043F">
        <w:tc>
          <w:tcPr>
            <w:tcW w:w="5000" w:type="pct"/>
          </w:tcPr>
          <w:p w14:paraId="4E67C1AB" w14:textId="77777777" w:rsidR="0066043F" w:rsidRDefault="0066043F" w:rsidP="005B3FB9">
            <w:pPr>
              <w:spacing w:before="240"/>
              <w:jc w:val="both"/>
            </w:pPr>
            <w:r>
              <w:t>3) ārvalsts personas apliecība ar mikroshēmu;</w:t>
            </w:r>
          </w:p>
        </w:tc>
      </w:tr>
      <w:tr w:rsidR="0066043F" w14:paraId="4BF6B337" w14:textId="77777777" w:rsidTr="0066043F">
        <w:tc>
          <w:tcPr>
            <w:tcW w:w="5000" w:type="pct"/>
          </w:tcPr>
          <w:p w14:paraId="583A3456" w14:textId="77777777" w:rsidR="0066043F" w:rsidRDefault="0066043F" w:rsidP="005B3FB9">
            <w:pPr>
              <w:spacing w:before="240"/>
              <w:jc w:val="both"/>
            </w:pPr>
            <w:r>
              <w:t>4) īpašas elektroniskās identitātes kartes, ko izsniedz diplomātiskajās un konsulārajās pārstāvniecībās strādājošo darbinieku kategorijām un viņu ģimenes locekļiem saskaņā ar 1961. gada 18. aprīļa Vīnes konvenciju par diplomātiskajām attiecībām un Vīnes 1963. gada 24. aprīļa konvenciju par konsulārajām attiecībām un 1991. gada 30. oktobra Karalisko dekrētu par dažu ārvalstu pilsoņu uzturēšanās dokumentiem Beļģijā;</w:t>
            </w:r>
          </w:p>
        </w:tc>
      </w:tr>
      <w:tr w:rsidR="0066043F" w14:paraId="65A0A0E7" w14:textId="77777777" w:rsidTr="0066043F">
        <w:tc>
          <w:tcPr>
            <w:tcW w:w="5000" w:type="pct"/>
          </w:tcPr>
          <w:p w14:paraId="52461501" w14:textId="77777777" w:rsidR="0066043F" w:rsidRDefault="0066043F" w:rsidP="005B3FB9">
            <w:pPr>
              <w:spacing w:before="240"/>
              <w:jc w:val="both"/>
            </w:pPr>
            <w:r>
              <w:t>5) jebkurš cits Karaļa noteikts dokuments ar noteikumu, ka karaļa dekrēts ir apstiprināts ar likumu sešu mēnešu laikā pēc šī dekrēta publicēšanas.</w:t>
            </w:r>
          </w:p>
        </w:tc>
      </w:tr>
      <w:tr w:rsidR="0066043F" w14:paraId="48A8DB24" w14:textId="77777777" w:rsidTr="0066043F">
        <w:tc>
          <w:tcPr>
            <w:tcW w:w="5000" w:type="pct"/>
          </w:tcPr>
          <w:p w14:paraId="5E499A14" w14:textId="77777777" w:rsidR="0066043F" w:rsidRDefault="0066043F" w:rsidP="005B3FB9">
            <w:pPr>
              <w:spacing w:before="240"/>
              <w:jc w:val="both"/>
            </w:pPr>
            <w:r>
              <w:t>Šā panta 1. punkta 2. apakšpunkta vajadzībām 1. punkta 1. apakšpunktā minēto personu autentificē EPIS, izmantojot e-ID autentifikācijas moduli 1. apakšpunktā minētajiem dokumentiem vai ar identifikāciju, kas atbilst būtiska vai augsta līmeņa garantijas prasībām, kā definēts pielikuma 2.2. punktā Komisijas 2015. gada 8. septembra Īstenošanas regulā (ES) 2015/1502, ar ko nosaka elektroniskās identifikācijas līdzekļu uzticamības līmeņu minimālās tehniskās specifikācijas un procedūras saskaņā ar 8. panta 3. punktu Eiropas Parlamenta un Padomes Regulā (ES) Nr. 910/2014 par elektronisko identifikāciju un uzticamības pakalpojumiem elektronisko darījumu veikšanai iekšējā tirgū.</w:t>
            </w:r>
          </w:p>
        </w:tc>
      </w:tr>
      <w:tr w:rsidR="0066043F" w14:paraId="3F5078AD" w14:textId="77777777" w:rsidTr="0066043F">
        <w:tc>
          <w:tcPr>
            <w:tcW w:w="5000" w:type="pct"/>
          </w:tcPr>
          <w:p w14:paraId="10EBC0CF" w14:textId="77777777" w:rsidR="0066043F" w:rsidRDefault="0066043F" w:rsidP="005B3FB9">
            <w:pPr>
              <w:spacing w:before="240"/>
              <w:jc w:val="both"/>
            </w:pPr>
            <w:r>
              <w:t>Ja identifikācija un autentifikācija ar 1. un 2. punktā minētajiem līdzekļiem nav tehniski iespējama, var pieņemt tikai šādus derīgus dokumentus:</w:t>
            </w:r>
          </w:p>
        </w:tc>
      </w:tr>
      <w:tr w:rsidR="0066043F" w14:paraId="5F2E05B4" w14:textId="77777777" w:rsidTr="0066043F">
        <w:tc>
          <w:tcPr>
            <w:tcW w:w="5000" w:type="pct"/>
          </w:tcPr>
          <w:p w14:paraId="0D325686" w14:textId="77777777" w:rsidR="0066043F" w:rsidRDefault="0066043F" w:rsidP="005B3FB9">
            <w:pPr>
              <w:spacing w:before="240"/>
              <w:jc w:val="both"/>
            </w:pPr>
            <w:r>
              <w:t>1) atzītu pasi vai līdzvērtīgu ceļošanas dokumentu;</w:t>
            </w:r>
          </w:p>
        </w:tc>
      </w:tr>
      <w:tr w:rsidR="0066043F" w14:paraId="55B46EEF" w14:textId="77777777" w:rsidTr="0066043F">
        <w:tc>
          <w:tcPr>
            <w:tcW w:w="5000" w:type="pct"/>
          </w:tcPr>
          <w:p w14:paraId="039DBEFC" w14:textId="77777777" w:rsidR="0066043F" w:rsidRDefault="0066043F" w:rsidP="005B3FB9">
            <w:pPr>
              <w:spacing w:before="240"/>
              <w:jc w:val="both"/>
            </w:pPr>
            <w:r>
              <w:t>2) personas apliecību, ko izsniegusi cita Eiropas Ekonomikas zonas dalībvalsts;</w:t>
            </w:r>
          </w:p>
        </w:tc>
      </w:tr>
      <w:tr w:rsidR="0066043F" w14:paraId="4A9C6124" w14:textId="77777777" w:rsidTr="0066043F">
        <w:tc>
          <w:tcPr>
            <w:tcW w:w="5000" w:type="pct"/>
          </w:tcPr>
          <w:p w14:paraId="0610B92B" w14:textId="77777777" w:rsidR="0066043F" w:rsidRDefault="0066043F" w:rsidP="005B3FB9">
            <w:pPr>
              <w:spacing w:before="240"/>
              <w:jc w:val="both"/>
            </w:pPr>
            <w:r>
              <w:t>3) uzturēšanās atļauju vai reģistrācijas apliecību bez mikroshēmas.</w:t>
            </w:r>
          </w:p>
        </w:tc>
      </w:tr>
      <w:tr w:rsidR="0066043F" w14:paraId="0C9DA13B" w14:textId="77777777" w:rsidTr="0066043F">
        <w:tc>
          <w:tcPr>
            <w:tcW w:w="5000" w:type="pct"/>
          </w:tcPr>
          <w:p w14:paraId="6C477698" w14:textId="77777777" w:rsidR="0066043F" w:rsidRDefault="0066043F" w:rsidP="005B3FB9">
            <w:pPr>
              <w:spacing w:before="240"/>
              <w:jc w:val="both"/>
            </w:pPr>
            <w:r>
              <w:t>Karalis var noteikt jebkuru citu personu apliecinošu dokumentu vai uzturēšanās atļauju, ja Karaļa dekrēts ir apstiprināts ar likumu sešu mēnešu laikā pēc šāda dekrēta publicēšanas.</w:t>
            </w:r>
          </w:p>
        </w:tc>
      </w:tr>
      <w:tr w:rsidR="0066043F" w14:paraId="08EBE0AB" w14:textId="77777777" w:rsidTr="0066043F">
        <w:tc>
          <w:tcPr>
            <w:tcW w:w="5000" w:type="pct"/>
          </w:tcPr>
          <w:p w14:paraId="163EF93A" w14:textId="37689395" w:rsidR="0066043F" w:rsidRDefault="0066043F" w:rsidP="005B3FB9">
            <w:pPr>
              <w:spacing w:before="240"/>
              <w:jc w:val="both"/>
            </w:pPr>
            <w:r>
              <w:lastRenderedPageBreak/>
              <w:t>3. punkts. F2 licences turētāji, kas minēti 43/4. panta 5. punkta 1. apakšpunktā, pārbauda spēlētāja vecumu un autentificē to EPIS saskaņā ar 54. pantu, izmantojot piemērotu datorsistēmu, kas ievietota ierīcē un ko sertificējusi akreditēta iestāde, kas minēta 52. panta 2. punkta otrajā ievilkumā.</w:t>
            </w:r>
          </w:p>
        </w:tc>
      </w:tr>
      <w:tr w:rsidR="0066043F" w14:paraId="6E340368" w14:textId="77777777" w:rsidTr="0066043F">
        <w:tc>
          <w:tcPr>
            <w:tcW w:w="5000" w:type="pct"/>
          </w:tcPr>
          <w:p w14:paraId="5C16B53E" w14:textId="77777777" w:rsidR="0066043F" w:rsidRDefault="0066043F" w:rsidP="005B3FB9">
            <w:pPr>
              <w:spacing w:before="240"/>
              <w:jc w:val="both"/>
            </w:pPr>
            <w:r>
              <w:t>Spēlētāja vecums tiek pārbaudīts un autentificēts EPIS, izmantojot derīgu personu apliecinošu vai uzturēšanās dokumentu, kā minēts 2. panta 1. punkta 1.–4. apakšpunktā.</w:t>
            </w:r>
          </w:p>
        </w:tc>
      </w:tr>
      <w:tr w:rsidR="0066043F" w14:paraId="5A982A1F" w14:textId="77777777" w:rsidTr="0066043F">
        <w:tc>
          <w:tcPr>
            <w:tcW w:w="5000" w:type="pct"/>
          </w:tcPr>
          <w:p w14:paraId="5C739E99" w14:textId="77777777" w:rsidR="0066043F" w:rsidRDefault="0066043F" w:rsidP="005B3FB9">
            <w:pPr>
              <w:spacing w:before="240"/>
              <w:jc w:val="both"/>
            </w:pPr>
            <w:r>
              <w:t>Izņemot 55/5. panta 1. punkta 2. apakšpunktā paredzēto gadījumu, spēlētāja vecuma pārbaudi veic automātiski, nolasot šo informāciju vienā no 2. panta 1. punkta 1.–4. apakšpunktā minētajiem dokumentiem.</w:t>
            </w:r>
          </w:p>
        </w:tc>
      </w:tr>
      <w:tr w:rsidR="0066043F" w14:paraId="5C52BF7B" w14:textId="77777777" w:rsidTr="0066043F">
        <w:tc>
          <w:tcPr>
            <w:tcW w:w="5000" w:type="pct"/>
          </w:tcPr>
          <w:p w14:paraId="1A94DF99" w14:textId="77777777" w:rsidR="0066043F" w:rsidRDefault="0066043F" w:rsidP="005B3FB9">
            <w:pPr>
              <w:spacing w:before="240"/>
              <w:jc w:val="both"/>
            </w:pPr>
            <w:r>
              <w:t>Ierīci nedrīkst ieslēgt, ja spēlētājam ir aizliegts nodarboties ar azartspēlēm saskaņā ar 54. pantu.</w:t>
            </w:r>
          </w:p>
        </w:tc>
      </w:tr>
      <w:tr w:rsidR="0066043F" w14:paraId="30B2D3A3" w14:textId="77777777" w:rsidTr="0066043F">
        <w:tc>
          <w:tcPr>
            <w:tcW w:w="5000" w:type="pct"/>
          </w:tcPr>
          <w:p w14:paraId="6D88B5C9" w14:textId="77777777" w:rsidR="0066043F" w:rsidRDefault="0066043F" w:rsidP="005B3FB9">
            <w:pPr>
              <w:spacing w:before="240"/>
              <w:jc w:val="both"/>
            </w:pPr>
            <w:r>
              <w:t>4. punkts. EPIS pārbaudes laikā personai, kuru pilnvarojis 1. punktā minētais licences turētājs un kura ir atbildīga par šo pārbaudi, vai datorlietotnē, kas izraisa 3. punktā minētās azartspēļu ierīces aktivizēšanu, paziņo tikai to, ka personai, uz kuru attiecas pārbaude, ir aizliegts piedalīties azartspēlēs vai ir izslēgta.”;</w:t>
            </w:r>
          </w:p>
        </w:tc>
      </w:tr>
      <w:tr w:rsidR="0066043F" w14:paraId="2B2510DE" w14:textId="77777777" w:rsidTr="0066043F">
        <w:tc>
          <w:tcPr>
            <w:tcW w:w="5000" w:type="pct"/>
          </w:tcPr>
          <w:p w14:paraId="576DD22E" w14:textId="77777777" w:rsidR="0066043F" w:rsidRDefault="0066043F" w:rsidP="005B3FB9">
            <w:pPr>
              <w:spacing w:before="240"/>
              <w:jc w:val="both"/>
            </w:pPr>
            <w:r>
              <w:rPr>
                <w:b/>
                <w:bCs/>
              </w:rPr>
              <w:t>16. pants.</w:t>
            </w:r>
            <w:r>
              <w:t xml:space="preserve"> Minētā likuma 55. pantu, kas grozīts ar 2003. gada 4. aprīļa Karaļa dekrētu un 2010. gada 10. janvāra un 2022. gada 30. jūlija likumu, aizstāj ar šādu:</w:t>
            </w:r>
          </w:p>
        </w:tc>
      </w:tr>
      <w:tr w:rsidR="0066043F" w14:paraId="7FF34671" w14:textId="77777777" w:rsidTr="0066043F">
        <w:tc>
          <w:tcPr>
            <w:tcW w:w="5000" w:type="pct"/>
          </w:tcPr>
          <w:p w14:paraId="4804EC8A" w14:textId="77777777" w:rsidR="0066043F" w:rsidRDefault="0066043F" w:rsidP="005B3FB9">
            <w:pPr>
              <w:spacing w:before="240"/>
              <w:jc w:val="both"/>
            </w:pPr>
            <w:r>
              <w:t>“55. pants. 1. punkts. Komisijā izveido centrālu sistēmu, lai apstrādātu informāciju par 54. pantā minētajām personām, proti, “</w:t>
            </w:r>
            <w:r>
              <w:rPr>
                <w:rStyle w:val="Italic"/>
              </w:rPr>
              <w:t>Izslēgto personu informācijas sistēmu</w:t>
            </w:r>
            <w:r>
              <w:t xml:space="preserve"> (EPIS)”, attiecībā uz kuru tā ir pārzinis Eiropas Parlamenta un Padomes 2016. gada 27. aprīļa Regulas (ES) 2016/679 par personu aizsardzību attiecībā uz personas datu apstrādi un šādu datu brīvu apriti un ar ko atceļ Direktīvu 95/46/EK (Vispārīgā datu aizsardzības regula) 4. panta 7. punkta nozīmē.</w:t>
            </w:r>
          </w:p>
        </w:tc>
      </w:tr>
      <w:tr w:rsidR="0066043F" w14:paraId="2FDE66D9" w14:textId="77777777" w:rsidTr="0066043F">
        <w:tc>
          <w:tcPr>
            <w:tcW w:w="5000" w:type="pct"/>
          </w:tcPr>
          <w:p w14:paraId="32E254DD" w14:textId="77777777" w:rsidR="0066043F" w:rsidRDefault="0066043F" w:rsidP="005B3FB9">
            <w:pPr>
              <w:spacing w:before="240"/>
              <w:jc w:val="both"/>
            </w:pPr>
            <w:r>
              <w:t>EPIS mērķi ir šādi:</w:t>
            </w:r>
          </w:p>
        </w:tc>
      </w:tr>
      <w:tr w:rsidR="0066043F" w14:paraId="12EA290E" w14:textId="77777777" w:rsidTr="0066043F">
        <w:tc>
          <w:tcPr>
            <w:tcW w:w="5000" w:type="pct"/>
          </w:tcPr>
          <w:p w14:paraId="021C4E08" w14:textId="77777777" w:rsidR="0066043F" w:rsidRDefault="0066043F" w:rsidP="005B3FB9">
            <w:pPr>
              <w:spacing w:before="240"/>
              <w:jc w:val="both"/>
            </w:pPr>
            <w:r>
              <w:t>1) ļaut A, A+, B, B+, F1+ un F2 kategorijas licenču turētājiem nodrošināt, ka personām, kuras vēlas piekļūt sava azartspēļu uzņēmuma spēļu zālē vai iesaistīties azartspēlēs, netiek aizliegts vai liegts piedalīties azartspēlēs saskaņā ar 54. panta 2.–4. punktu;</w:t>
            </w:r>
          </w:p>
        </w:tc>
      </w:tr>
      <w:tr w:rsidR="0066043F" w14:paraId="7279AF07" w14:textId="77777777" w:rsidTr="0066043F">
        <w:tc>
          <w:tcPr>
            <w:tcW w:w="5000" w:type="pct"/>
          </w:tcPr>
          <w:p w14:paraId="3C35AEA4" w14:textId="77777777" w:rsidR="0066043F" w:rsidRDefault="0066043F" w:rsidP="005B3FB9">
            <w:pPr>
              <w:spacing w:before="240"/>
              <w:jc w:val="both"/>
            </w:pPr>
            <w:r>
              <w:t>2) dot Komisijai iespēju izskatīt pieprasījumus izslēgt azartspēles vai atsaukt azartspēles un vajadzības gadījumā ar to saistītos strīdus;</w:t>
            </w:r>
          </w:p>
        </w:tc>
      </w:tr>
      <w:tr w:rsidR="0066043F" w14:paraId="4D72F803" w14:textId="77777777" w:rsidTr="0066043F">
        <w:tc>
          <w:tcPr>
            <w:tcW w:w="5000" w:type="pct"/>
          </w:tcPr>
          <w:p w14:paraId="413C9D7F" w14:textId="77777777" w:rsidR="0066043F" w:rsidRDefault="0066043F" w:rsidP="005B3FB9">
            <w:pPr>
              <w:spacing w:before="240"/>
              <w:jc w:val="both"/>
            </w:pPr>
            <w:r>
              <w:t>3) izmeklēt un atklāt šā likuma un tā īstenošanas dekrētu pārkāpumus.</w:t>
            </w:r>
          </w:p>
        </w:tc>
      </w:tr>
      <w:tr w:rsidR="0066043F" w14:paraId="22EB9624" w14:textId="77777777" w:rsidTr="0066043F">
        <w:tc>
          <w:tcPr>
            <w:tcW w:w="5000" w:type="pct"/>
          </w:tcPr>
          <w:p w14:paraId="4EA173FD" w14:textId="77777777" w:rsidR="0066043F" w:rsidRDefault="0066043F" w:rsidP="005B3FB9">
            <w:pPr>
              <w:spacing w:before="240"/>
              <w:jc w:val="both"/>
            </w:pPr>
            <w:r>
              <w:t>2. punkts. Par katru 54. panta 2.–4. punktā minēto personu EPIS reģistrē šādus datus:</w:t>
            </w:r>
          </w:p>
        </w:tc>
      </w:tr>
      <w:tr w:rsidR="0066043F" w14:paraId="65431D01" w14:textId="77777777" w:rsidTr="0066043F">
        <w:tc>
          <w:tcPr>
            <w:tcW w:w="5000" w:type="pct"/>
          </w:tcPr>
          <w:p w14:paraId="42EBA5C4" w14:textId="77777777" w:rsidR="0066043F" w:rsidRDefault="0066043F" w:rsidP="005B3FB9">
            <w:pPr>
              <w:spacing w:before="240"/>
              <w:jc w:val="both"/>
            </w:pPr>
            <w:r>
              <w:t>1) uzvārdi un vārdi;</w:t>
            </w:r>
          </w:p>
        </w:tc>
      </w:tr>
      <w:tr w:rsidR="0066043F" w14:paraId="0EF3B58A" w14:textId="77777777" w:rsidTr="0066043F">
        <w:tc>
          <w:tcPr>
            <w:tcW w:w="5000" w:type="pct"/>
          </w:tcPr>
          <w:p w14:paraId="5ABC902B" w14:textId="77777777" w:rsidR="0066043F" w:rsidRDefault="0066043F" w:rsidP="005B3FB9">
            <w:pPr>
              <w:spacing w:before="240"/>
              <w:jc w:val="both"/>
            </w:pPr>
            <w:r>
              <w:t>2) dzimšanas datums;</w:t>
            </w:r>
          </w:p>
        </w:tc>
      </w:tr>
      <w:tr w:rsidR="0066043F" w14:paraId="1FA1AC7A" w14:textId="77777777" w:rsidTr="0066043F">
        <w:tc>
          <w:tcPr>
            <w:tcW w:w="5000" w:type="pct"/>
          </w:tcPr>
          <w:p w14:paraId="36882289" w14:textId="77777777" w:rsidR="0066043F" w:rsidRDefault="0066043F" w:rsidP="005B3FB9">
            <w:pPr>
              <w:spacing w:before="240"/>
              <w:jc w:val="both"/>
            </w:pPr>
            <w:r>
              <w:t>3) fizisko personu valsts reģistra identifikācijas numurs vai, ja citas Eiropas Ekonomikas zonas dalībvalsts izsniegtas personas apliecības numurs nav pieejams, pases numurs vai, pakārtoti, Banque Carrefour identifikācijas numurs, kas minēts 1990. gada 15. janvāra Likuma par Banque Carrefour sociālā nodrošinājuma izveidi un organizāciju 8. panta 1. punkta 2. apakšpunktā;</w:t>
            </w:r>
          </w:p>
        </w:tc>
      </w:tr>
      <w:tr w:rsidR="0066043F" w14:paraId="15277872" w14:textId="77777777" w:rsidTr="0066043F">
        <w:tc>
          <w:tcPr>
            <w:tcW w:w="5000" w:type="pct"/>
          </w:tcPr>
          <w:p w14:paraId="18627B78" w14:textId="77777777" w:rsidR="0066043F" w:rsidRDefault="0066043F" w:rsidP="005B3FB9">
            <w:pPr>
              <w:spacing w:before="240"/>
              <w:jc w:val="both"/>
            </w:pPr>
            <w:r>
              <w:t>4) izslēgšanas iemesls, sākuma datums un beigu datums.</w:t>
            </w:r>
          </w:p>
        </w:tc>
      </w:tr>
      <w:tr w:rsidR="0066043F" w14:paraId="2C704C86" w14:textId="77777777" w:rsidTr="0066043F">
        <w:tc>
          <w:tcPr>
            <w:tcW w:w="5000" w:type="pct"/>
          </w:tcPr>
          <w:p w14:paraId="26447CB1" w14:textId="77777777" w:rsidR="0066043F" w:rsidRDefault="0066043F" w:rsidP="005B3FB9">
            <w:pPr>
              <w:spacing w:before="240"/>
              <w:jc w:val="both"/>
            </w:pPr>
            <w:r>
              <w:lastRenderedPageBreak/>
              <w:t>Šā panta 1. apakšpunktā minētos datus glabā piecus gadus no dienas, kad beidzas izslēgšana.</w:t>
            </w:r>
          </w:p>
        </w:tc>
      </w:tr>
      <w:tr w:rsidR="0066043F" w14:paraId="54B97B47" w14:textId="77777777" w:rsidTr="0066043F">
        <w:tc>
          <w:tcPr>
            <w:tcW w:w="5000" w:type="pct"/>
          </w:tcPr>
          <w:p w14:paraId="6B346953" w14:textId="77777777" w:rsidR="0066043F" w:rsidRDefault="0066043F" w:rsidP="005B3FB9">
            <w:pPr>
              <w:spacing w:before="240"/>
              <w:jc w:val="both"/>
            </w:pPr>
            <w:r>
              <w:t>3. punkts. EPIS datiem var piekļūt tikai šādas personas:</w:t>
            </w:r>
          </w:p>
        </w:tc>
      </w:tr>
      <w:tr w:rsidR="0066043F" w14:paraId="2CFEEE3F" w14:textId="77777777" w:rsidTr="0066043F">
        <w:tc>
          <w:tcPr>
            <w:tcW w:w="5000" w:type="pct"/>
          </w:tcPr>
          <w:p w14:paraId="6ABB42CF" w14:textId="77777777" w:rsidR="0066043F" w:rsidRDefault="0066043F" w:rsidP="005B3FB9">
            <w:pPr>
              <w:spacing w:before="240"/>
              <w:jc w:val="both"/>
            </w:pPr>
            <w:r>
              <w:t>1) komisijas priekšsēdētājs;</w:t>
            </w:r>
          </w:p>
        </w:tc>
      </w:tr>
      <w:tr w:rsidR="0066043F" w14:paraId="587666C8" w14:textId="77777777" w:rsidTr="0066043F">
        <w:tc>
          <w:tcPr>
            <w:tcW w:w="5000" w:type="pct"/>
          </w:tcPr>
          <w:p w14:paraId="4B06A1B5" w14:textId="77777777" w:rsidR="0066043F" w:rsidRDefault="0066043F" w:rsidP="005B3FB9">
            <w:pPr>
              <w:spacing w:before="240"/>
              <w:jc w:val="both"/>
            </w:pPr>
            <w:r>
              <w:t>2) 15. panta 3. punkta 1. apakšpunktā minētie policijas darbinieki;</w:t>
            </w:r>
          </w:p>
        </w:tc>
      </w:tr>
      <w:tr w:rsidR="0066043F" w14:paraId="4FC49B49" w14:textId="77777777" w:rsidTr="0066043F">
        <w:tc>
          <w:tcPr>
            <w:tcW w:w="5000" w:type="pct"/>
          </w:tcPr>
          <w:p w14:paraId="5151F22D" w14:textId="77777777" w:rsidR="0066043F" w:rsidRDefault="0066043F" w:rsidP="005B3FB9">
            <w:pPr>
              <w:spacing w:before="240"/>
              <w:jc w:val="both"/>
            </w:pPr>
            <w:r>
              <w:t>3) komisijas sekretariāta locekļi, kuru pienākumi to prasa un kurus ieceļ komisija;</w:t>
            </w:r>
          </w:p>
        </w:tc>
      </w:tr>
      <w:tr w:rsidR="0066043F" w14:paraId="6B30C5EE" w14:textId="77777777" w:rsidTr="0066043F">
        <w:tc>
          <w:tcPr>
            <w:tcW w:w="5000" w:type="pct"/>
          </w:tcPr>
          <w:p w14:paraId="448631C9" w14:textId="77777777" w:rsidR="0066043F" w:rsidRDefault="0066043F" w:rsidP="005B3FB9">
            <w:pPr>
              <w:spacing w:before="240"/>
              <w:jc w:val="both"/>
            </w:pPr>
            <w:r>
              <w:t>4. punkts. Karalis nosaka EPIS tehniskos un finansiālos noteikumus.”;</w:t>
            </w:r>
          </w:p>
        </w:tc>
      </w:tr>
      <w:tr w:rsidR="0066043F" w14:paraId="5A9DBC93" w14:textId="77777777" w:rsidTr="0066043F">
        <w:tc>
          <w:tcPr>
            <w:tcW w:w="5000" w:type="pct"/>
          </w:tcPr>
          <w:p w14:paraId="49263A77" w14:textId="77777777" w:rsidR="0066043F" w:rsidRDefault="0066043F" w:rsidP="005B3FB9">
            <w:pPr>
              <w:spacing w:before="240"/>
              <w:jc w:val="both"/>
            </w:pPr>
            <w:r>
              <w:rPr>
                <w:b/>
                <w:bCs/>
              </w:rPr>
              <w:t>17. pants.</w:t>
            </w:r>
            <w:r>
              <w:t xml:space="preserve"> Šajā likumā iekļauj šādu 55/2. pantu:</w:t>
            </w:r>
          </w:p>
        </w:tc>
      </w:tr>
      <w:tr w:rsidR="0066043F" w14:paraId="01289C92" w14:textId="77777777" w:rsidTr="0066043F">
        <w:tc>
          <w:tcPr>
            <w:tcW w:w="5000" w:type="pct"/>
          </w:tcPr>
          <w:p w14:paraId="705828F8" w14:textId="77777777" w:rsidR="0066043F" w:rsidRDefault="0066043F" w:rsidP="005B3FB9">
            <w:pPr>
              <w:spacing w:before="240"/>
              <w:jc w:val="both"/>
            </w:pPr>
            <w:r>
              <w:t>“55/2. pants. 1. punkts. Visas EPIS apspriešanas glabā žurnālfailā, kas pazīstams kā “Log-EPIS”, attiecībā uz kuru komiteja ir pārzinis Eiropas Parlamenta un Padomes 2016. gada 27. aprīļa Regulas (ES) 2016/679 par fizisku personu aizsardzību attiecībā uz personas datu apstrādi un šādu datu brīvu apriti un ar ko atceļ Direktīvu 95/46/EK (Vispārīgā datu aizsardzības regula) 4. panta 7. punkta nozīmē.</w:t>
            </w:r>
          </w:p>
        </w:tc>
      </w:tr>
      <w:tr w:rsidR="0066043F" w14:paraId="615D9220" w14:textId="77777777" w:rsidTr="0066043F">
        <w:tc>
          <w:tcPr>
            <w:tcW w:w="5000" w:type="pct"/>
          </w:tcPr>
          <w:p w14:paraId="0E0B44DD" w14:textId="77777777" w:rsidR="0066043F" w:rsidRDefault="0066043F" w:rsidP="005B3FB9">
            <w:pPr>
              <w:spacing w:before="240"/>
              <w:jc w:val="both"/>
            </w:pPr>
            <w:r>
              <w:t>Log-EPIS mērķi ir šādi:</w:t>
            </w:r>
          </w:p>
        </w:tc>
      </w:tr>
      <w:tr w:rsidR="0066043F" w14:paraId="049C0621" w14:textId="77777777" w:rsidTr="0066043F">
        <w:tc>
          <w:tcPr>
            <w:tcW w:w="5000" w:type="pct"/>
          </w:tcPr>
          <w:p w14:paraId="5DBBB1AC" w14:textId="77777777" w:rsidR="0066043F" w:rsidRDefault="0066043F" w:rsidP="005B3FB9">
            <w:pPr>
              <w:spacing w:before="240"/>
              <w:jc w:val="both"/>
            </w:pPr>
            <w:r>
              <w:t>1) pārbaudīt, vai koncesionāri pareizi pilda savas juridiskās saistības attiecībā uz piekļuves kontroli, ierodoties sava azartspēļu uzņēmuma spēļu zālē vai iesaistoties azartspēlēs;</w:t>
            </w:r>
          </w:p>
        </w:tc>
      </w:tr>
      <w:tr w:rsidR="0066043F" w14:paraId="577013DA" w14:textId="77777777" w:rsidTr="0066043F">
        <w:tc>
          <w:tcPr>
            <w:tcW w:w="5000" w:type="pct"/>
          </w:tcPr>
          <w:p w14:paraId="70A3D004" w14:textId="77777777" w:rsidR="0066043F" w:rsidRDefault="0066043F" w:rsidP="005B3FB9">
            <w:pPr>
              <w:spacing w:before="240"/>
              <w:jc w:val="both"/>
            </w:pPr>
            <w:r>
              <w:t>2) atklāt un izsekot jebkādas apšaubāmas konsultācijas ar EPIS.</w:t>
            </w:r>
          </w:p>
        </w:tc>
      </w:tr>
      <w:tr w:rsidR="0066043F" w14:paraId="4DF3EB99" w14:textId="77777777" w:rsidTr="0066043F">
        <w:tc>
          <w:tcPr>
            <w:tcW w:w="5000" w:type="pct"/>
          </w:tcPr>
          <w:p w14:paraId="01B66957" w14:textId="77777777" w:rsidR="0066043F" w:rsidRDefault="0066043F" w:rsidP="005B3FB9">
            <w:pPr>
              <w:spacing w:before="240"/>
              <w:jc w:val="both"/>
            </w:pPr>
            <w:r>
              <w:t>2. punkts. Par katru EPIS apspriešanu Log-EPIS tiek reģistrēti šādi dati:</w:t>
            </w:r>
          </w:p>
        </w:tc>
      </w:tr>
      <w:tr w:rsidR="0066043F" w14:paraId="63D42F7A" w14:textId="77777777" w:rsidTr="0066043F">
        <w:tc>
          <w:tcPr>
            <w:tcW w:w="5000" w:type="pct"/>
          </w:tcPr>
          <w:p w14:paraId="21A220E2" w14:textId="77777777" w:rsidR="0066043F" w:rsidRDefault="0066043F" w:rsidP="005B3FB9">
            <w:pPr>
              <w:spacing w:before="240"/>
              <w:jc w:val="both"/>
            </w:pPr>
            <w:r>
              <w:t>1) konsultācijas datums un laiks;</w:t>
            </w:r>
          </w:p>
        </w:tc>
      </w:tr>
      <w:tr w:rsidR="0066043F" w14:paraId="31C22924" w14:textId="77777777" w:rsidTr="0066043F">
        <w:tc>
          <w:tcPr>
            <w:tcW w:w="5000" w:type="pct"/>
          </w:tcPr>
          <w:p w14:paraId="5E2E500F" w14:textId="77777777" w:rsidR="0066043F" w:rsidRDefault="0066043F" w:rsidP="005B3FB9">
            <w:pPr>
              <w:spacing w:before="240"/>
              <w:jc w:val="both"/>
            </w:pPr>
            <w:r>
              <w:t>2) 55. panta 2. punkta 1.–3. apakšpunktā minētie dati;</w:t>
            </w:r>
          </w:p>
        </w:tc>
      </w:tr>
      <w:tr w:rsidR="0066043F" w14:paraId="236BC632" w14:textId="77777777" w:rsidTr="0066043F">
        <w:tc>
          <w:tcPr>
            <w:tcW w:w="5000" w:type="pct"/>
          </w:tcPr>
          <w:p w14:paraId="00B10DD1" w14:textId="77777777" w:rsidR="0066043F" w:rsidRDefault="0066043F" w:rsidP="005B3FB9">
            <w:pPr>
              <w:spacing w:before="240"/>
              <w:jc w:val="both"/>
            </w:pPr>
            <w:r>
              <w:t>3) tās azartspēļu iestādes licences numurs, no kuras veikta konsultācija ar EPIS;</w:t>
            </w:r>
          </w:p>
        </w:tc>
      </w:tr>
      <w:tr w:rsidR="0066043F" w14:paraId="0F7326E1" w14:textId="77777777" w:rsidTr="0066043F">
        <w:tc>
          <w:tcPr>
            <w:tcW w:w="5000" w:type="pct"/>
          </w:tcPr>
          <w:p w14:paraId="789F39A3" w14:textId="77777777" w:rsidR="0066043F" w:rsidRDefault="0066043F" w:rsidP="005B3FB9">
            <w:pPr>
              <w:spacing w:before="240"/>
              <w:jc w:val="both"/>
            </w:pPr>
            <w:r>
              <w:t>4) tās personas licences D numurs, kuru uzklausījusi EPIS, vai 55. panta 3. punktā minētās personas identitāte;</w:t>
            </w:r>
          </w:p>
        </w:tc>
      </w:tr>
      <w:tr w:rsidR="0066043F" w14:paraId="5DDA7E2F" w14:textId="77777777" w:rsidTr="0066043F">
        <w:tc>
          <w:tcPr>
            <w:tcW w:w="5000" w:type="pct"/>
          </w:tcPr>
          <w:p w14:paraId="4FA73CF6" w14:textId="77777777" w:rsidR="0066043F" w:rsidRDefault="0066043F" w:rsidP="005B3FB9">
            <w:pPr>
              <w:spacing w:before="240"/>
              <w:jc w:val="both"/>
            </w:pPr>
            <w:r>
              <w:t>5) EPIS pārbaudes rezultāts;</w:t>
            </w:r>
          </w:p>
        </w:tc>
      </w:tr>
      <w:tr w:rsidR="0066043F" w14:paraId="6A60FBCF" w14:textId="77777777" w:rsidTr="0066043F">
        <w:tc>
          <w:tcPr>
            <w:tcW w:w="5000" w:type="pct"/>
          </w:tcPr>
          <w:p w14:paraId="2227C298" w14:textId="77777777" w:rsidR="0066043F" w:rsidRDefault="0066043F" w:rsidP="005B3FB9">
            <w:pPr>
              <w:spacing w:before="240"/>
              <w:jc w:val="both"/>
            </w:pPr>
            <w:r>
              <w:t>6) konsultāciju mērķis un, ja EPIS mērķis ir veikt tiesu policijas uzdevumus, lai uzraudzītu atbilstību šim likumam un tā īstenošanas dekrētiem, — lietas numurs, par kuru notiek aplūkošana;</w:t>
            </w:r>
          </w:p>
        </w:tc>
      </w:tr>
      <w:tr w:rsidR="0066043F" w14:paraId="678B623E" w14:textId="77777777" w:rsidTr="0066043F">
        <w:tc>
          <w:tcPr>
            <w:tcW w:w="5000" w:type="pct"/>
          </w:tcPr>
          <w:p w14:paraId="25A9360D" w14:textId="77777777" w:rsidR="0066043F" w:rsidRDefault="0066043F" w:rsidP="005B3FB9">
            <w:pPr>
              <w:spacing w:before="240"/>
              <w:jc w:val="both"/>
            </w:pPr>
            <w:r>
              <w:t>7) 54/1. panta 2. punktā minētie identifikācijas līdzekļi.</w:t>
            </w:r>
          </w:p>
        </w:tc>
      </w:tr>
      <w:tr w:rsidR="0066043F" w14:paraId="10DF9E13" w14:textId="77777777" w:rsidTr="0066043F">
        <w:tc>
          <w:tcPr>
            <w:tcW w:w="5000" w:type="pct"/>
          </w:tcPr>
          <w:p w14:paraId="6944D656" w14:textId="77777777" w:rsidR="0066043F" w:rsidRDefault="0066043F" w:rsidP="005B3FB9">
            <w:pPr>
              <w:spacing w:before="240"/>
              <w:jc w:val="both"/>
            </w:pPr>
            <w:r>
              <w:t>1. apakšpunktā minēto informāciju glabā piecus gadus no EPIS apspriešanas dienas.</w:t>
            </w:r>
          </w:p>
        </w:tc>
      </w:tr>
      <w:tr w:rsidR="0066043F" w14:paraId="7B48DC4C" w14:textId="77777777" w:rsidTr="0066043F">
        <w:tc>
          <w:tcPr>
            <w:tcW w:w="5000" w:type="pct"/>
          </w:tcPr>
          <w:p w14:paraId="6DC009E7" w14:textId="77777777" w:rsidR="0066043F" w:rsidRDefault="0066043F" w:rsidP="005B3FB9">
            <w:pPr>
              <w:spacing w:before="240"/>
              <w:jc w:val="both"/>
            </w:pPr>
            <w:r>
              <w:t>3. punkts. Piekļuve Log-EPIS datiem ir pieejama tikai:</w:t>
            </w:r>
          </w:p>
        </w:tc>
      </w:tr>
      <w:tr w:rsidR="0066043F" w14:paraId="4DD61F3D" w14:textId="77777777" w:rsidTr="0066043F">
        <w:tc>
          <w:tcPr>
            <w:tcW w:w="5000" w:type="pct"/>
          </w:tcPr>
          <w:p w14:paraId="353859B4" w14:textId="77777777" w:rsidR="0066043F" w:rsidRDefault="0066043F" w:rsidP="005B3FB9">
            <w:pPr>
              <w:spacing w:before="240"/>
              <w:jc w:val="both"/>
            </w:pPr>
            <w:r>
              <w:t>1) komisijas priekšsēdētājs;</w:t>
            </w:r>
          </w:p>
        </w:tc>
      </w:tr>
      <w:tr w:rsidR="0066043F" w14:paraId="08B10F52" w14:textId="77777777" w:rsidTr="0066043F">
        <w:tc>
          <w:tcPr>
            <w:tcW w:w="5000" w:type="pct"/>
          </w:tcPr>
          <w:p w14:paraId="2A7940A0" w14:textId="77777777" w:rsidR="0066043F" w:rsidRDefault="0066043F" w:rsidP="005B3FB9">
            <w:pPr>
              <w:spacing w:before="240"/>
              <w:jc w:val="both"/>
            </w:pPr>
            <w:r>
              <w:t>2) 15. panta 3. punkta 1. apakšpunktā minētie policijas darbinieki;</w:t>
            </w:r>
          </w:p>
        </w:tc>
      </w:tr>
      <w:tr w:rsidR="0066043F" w14:paraId="67D5EF96" w14:textId="77777777" w:rsidTr="0066043F">
        <w:tc>
          <w:tcPr>
            <w:tcW w:w="5000" w:type="pct"/>
          </w:tcPr>
          <w:p w14:paraId="0BA5846D" w14:textId="77777777" w:rsidR="0066043F" w:rsidRDefault="0066043F" w:rsidP="005B3FB9">
            <w:pPr>
              <w:spacing w:before="240"/>
              <w:jc w:val="both"/>
            </w:pPr>
            <w:r>
              <w:lastRenderedPageBreak/>
              <w:t>3) komisijas sekretariāta locekļiem, kuru pienākumi to prasa un kurus ieceļ komisija.</w:t>
            </w:r>
          </w:p>
        </w:tc>
      </w:tr>
      <w:tr w:rsidR="0066043F" w:rsidRPr="00CD7F70" w14:paraId="7F59D378" w14:textId="77777777" w:rsidTr="0066043F">
        <w:tc>
          <w:tcPr>
            <w:tcW w:w="5000" w:type="pct"/>
          </w:tcPr>
          <w:p w14:paraId="15552ADB" w14:textId="77777777" w:rsidR="0066043F" w:rsidRPr="004F20BD" w:rsidRDefault="0066043F" w:rsidP="005B3FB9">
            <w:pPr>
              <w:spacing w:before="240"/>
              <w:jc w:val="both"/>
              <w:rPr>
                <w:b/>
                <w:bCs/>
              </w:rPr>
            </w:pPr>
          </w:p>
        </w:tc>
      </w:tr>
      <w:tr w:rsidR="0066043F" w14:paraId="49A321CA" w14:textId="77777777" w:rsidTr="0066043F">
        <w:tc>
          <w:tcPr>
            <w:tcW w:w="5000" w:type="pct"/>
          </w:tcPr>
          <w:p w14:paraId="3412A079" w14:textId="77777777" w:rsidR="0066043F" w:rsidRDefault="0066043F" w:rsidP="005B3FB9">
            <w:pPr>
              <w:spacing w:before="240"/>
              <w:jc w:val="both"/>
            </w:pPr>
            <w:r>
              <w:rPr>
                <w:b/>
                <w:bCs/>
              </w:rPr>
              <w:t>18. pants.</w:t>
            </w:r>
            <w:r>
              <w:t xml:space="preserve"> Šajā likumā iekļauj šādu 55/3. pantu:</w:t>
            </w:r>
          </w:p>
        </w:tc>
      </w:tr>
      <w:tr w:rsidR="0066043F" w14:paraId="41A0134D" w14:textId="77777777" w:rsidTr="0066043F">
        <w:tc>
          <w:tcPr>
            <w:tcW w:w="5000" w:type="pct"/>
          </w:tcPr>
          <w:p w14:paraId="12542870" w14:textId="77777777" w:rsidR="0066043F" w:rsidRDefault="0066043F" w:rsidP="005B3FB9">
            <w:pPr>
              <w:spacing w:before="240"/>
              <w:jc w:val="both"/>
            </w:pPr>
            <w:r>
              <w:t>“55/3. pants. 1. punkts. Saskaņā ar 6. panta 4. punktu un 23. panta 1. punkta e), g) un i) apakšpunktu Eiropas Parlamenta un Padomes 2016. gada 27. aprīļa Regulā (ES) 2016/679 par fizisku personu aizsardzību attiecībā uz datu apstrādi par personas datiem un šādu datu brīvu apriti un ar ko atceļ Direktīvu 95/46/EK (Vispārīgā datu aizsardzības regula), Komisija pēc tam var apstrādāt žurnāla-EPIS datus, lai:</w:t>
            </w:r>
          </w:p>
        </w:tc>
      </w:tr>
      <w:tr w:rsidR="0066043F" w14:paraId="707061C3" w14:textId="77777777" w:rsidTr="0066043F">
        <w:tc>
          <w:tcPr>
            <w:tcW w:w="5000" w:type="pct"/>
          </w:tcPr>
          <w:p w14:paraId="351136CF" w14:textId="77777777" w:rsidR="0066043F" w:rsidRDefault="0066043F" w:rsidP="005B3FB9">
            <w:pPr>
              <w:spacing w:before="240"/>
              <w:jc w:val="both"/>
            </w:pPr>
            <w:r>
              <w:t>1) ļautu tai pārbaudīt, vai licences turētājs pienācīgi pilda savas juridiskās saistības saskaņā ar 54. pantu;</w:t>
            </w:r>
          </w:p>
        </w:tc>
      </w:tr>
      <w:tr w:rsidR="0066043F" w14:paraId="5ACE8BAC" w14:textId="77777777" w:rsidTr="0066043F">
        <w:tc>
          <w:tcPr>
            <w:tcW w:w="5000" w:type="pct"/>
          </w:tcPr>
          <w:p w14:paraId="22636962" w14:textId="77777777" w:rsidR="0066043F" w:rsidRDefault="0066043F" w:rsidP="005B3FB9">
            <w:pPr>
              <w:spacing w:before="240"/>
              <w:jc w:val="both"/>
            </w:pPr>
            <w:r>
              <w:t>2) ļautu tai veikt spēlētāju aizsardzības uzdevumu, kas piešķirts saskaņā ar 54. panta 3. punkta 4. apakšpunktu.</w:t>
            </w:r>
          </w:p>
        </w:tc>
      </w:tr>
      <w:tr w:rsidR="0066043F" w14:paraId="34940354" w14:textId="77777777" w:rsidTr="0066043F">
        <w:tc>
          <w:tcPr>
            <w:tcW w:w="5000" w:type="pct"/>
          </w:tcPr>
          <w:p w14:paraId="40D132BB" w14:textId="77777777" w:rsidR="0066043F" w:rsidRDefault="0066043F" w:rsidP="005B3FB9">
            <w:pPr>
              <w:spacing w:before="240"/>
              <w:jc w:val="both"/>
            </w:pPr>
            <w:r>
              <w:t>2. punkts. Saskaņā ar 6. panta 4. punktu un 23. panta 1. punkta e) un g) apakšpunktu Eiropas Parlamenta un Padomes 2016. gada 27. aprīļa Regulā (ES) 2016/679 par fizisku personu aizsardzību attiecībā uz personas datu apstrādi un šādu datu brīvu apriti un, atceļot Direktīvu 95/46/EK (Vispārīgā datu aizsardzības regula), Komisija pēc tam var apstrādāt žurnāla EPIS datus, lai:</w:t>
            </w:r>
          </w:p>
        </w:tc>
      </w:tr>
      <w:tr w:rsidR="0066043F" w14:paraId="0659D4BE" w14:textId="77777777" w:rsidTr="0066043F">
        <w:tc>
          <w:tcPr>
            <w:tcW w:w="5000" w:type="pct"/>
          </w:tcPr>
          <w:p w14:paraId="2D508DBA" w14:textId="77777777" w:rsidR="0066043F" w:rsidRDefault="0066043F" w:rsidP="005B3FB9">
            <w:pPr>
              <w:spacing w:before="240"/>
              <w:jc w:val="both"/>
            </w:pPr>
            <w:r>
              <w:t>1) ļautu policijas dienestu darbiniekiem, kurus ieceļ viņu korpusa vadītājs, direktors vai ģenerāldirektors, pamatojoties uz vajadzību pēc informācijas, veikt 1992. gada 5. augusta Likuma par policijas darbību 15. pantā paredzētos uzdevumus, ja izmeklēšana attiecas uz kriminālizmeklēšanas kodeksa 90.b panta 2.–4. punktā minētajiem noziegumiem vai noziedzīgiem nodarījumiem. Šajā kontekstā drīkst izpaust tikai šā likuma 55/2. panta 2. punkta 1.–3. apakšpunktā minētos datus;</w:t>
            </w:r>
          </w:p>
        </w:tc>
      </w:tr>
      <w:tr w:rsidR="0066043F" w14:paraId="0ED6999E" w14:textId="77777777" w:rsidTr="0066043F">
        <w:tc>
          <w:tcPr>
            <w:tcW w:w="5000" w:type="pct"/>
          </w:tcPr>
          <w:p w14:paraId="3F432B08" w14:textId="77777777" w:rsidR="0066043F" w:rsidRDefault="0066043F" w:rsidP="005B3FB9">
            <w:pPr>
              <w:spacing w:before="240"/>
              <w:jc w:val="both"/>
            </w:pPr>
            <w:r>
              <w:t>2) atļautu Pastāvīgās komitejas P izmeklēšanas dienesta locekļiem veikt 1991. gada 18. jūlija Konstitutīvā likuma 16. pantā minētos uzdevumus par policijas un izlūkošanas dienestu un draudu analīzes koordinācijas struktūras pārraudzību;</w:t>
            </w:r>
          </w:p>
        </w:tc>
      </w:tr>
      <w:tr w:rsidR="0066043F" w14:paraId="191E4F4D" w14:textId="77777777" w:rsidTr="0066043F">
        <w:tc>
          <w:tcPr>
            <w:tcW w:w="5000" w:type="pct"/>
          </w:tcPr>
          <w:p w14:paraId="59CFEF5B" w14:textId="77777777" w:rsidR="0066043F" w:rsidRDefault="0066043F" w:rsidP="005B3FB9">
            <w:pPr>
              <w:spacing w:before="240"/>
              <w:jc w:val="both"/>
            </w:pPr>
            <w:r>
              <w:t>3) ļaut federālās un vietējās policijas ģenerālinspekcijas locekļiem veikt pienākumus, kas minēti 2007. gada 15. maija Likuma par ģenerālinspektorātu 4. panta 3. un 4. punktā un kas paredz dažādus noteikumus attiecībā uz noteiktu policijas darbinieku statusu, lai veiktu savus ar likumu noteiktos pienākumus.</w:t>
            </w:r>
          </w:p>
        </w:tc>
      </w:tr>
      <w:tr w:rsidR="0066043F" w14:paraId="1804C756" w14:textId="77777777" w:rsidTr="0066043F">
        <w:tc>
          <w:tcPr>
            <w:tcW w:w="5000" w:type="pct"/>
          </w:tcPr>
          <w:p w14:paraId="3AD4FD43" w14:textId="77777777" w:rsidR="0066043F" w:rsidRDefault="0066043F" w:rsidP="005B3FB9">
            <w:pPr>
              <w:spacing w:before="240"/>
              <w:jc w:val="both"/>
            </w:pPr>
            <w:r>
              <w:rPr>
                <w:b/>
                <w:bCs/>
              </w:rPr>
              <w:t>19. pants.</w:t>
            </w:r>
            <w:r>
              <w:t xml:space="preserve"> Šajā likumā iekļauj šādu 55/4. pantu:</w:t>
            </w:r>
          </w:p>
        </w:tc>
      </w:tr>
      <w:tr w:rsidR="0066043F" w14:paraId="1EF25886" w14:textId="77777777" w:rsidTr="0066043F">
        <w:tc>
          <w:tcPr>
            <w:tcW w:w="5000" w:type="pct"/>
          </w:tcPr>
          <w:p w14:paraId="0A5FF979" w14:textId="77777777" w:rsidR="0066043F" w:rsidRDefault="0066043F" w:rsidP="005B3FB9">
            <w:pPr>
              <w:spacing w:before="240"/>
              <w:jc w:val="both"/>
            </w:pPr>
            <w:r>
              <w:t>“55/4. pants. 1. punkts. I vai II klases azartspēļu iestādes vai IV klases stacionārās azartspēļu iestādes azartspēļu zāles operators uztur spēļu zālē ienākošo personu identifikācijas reģistru, kas pazīstams kā “profesionāļu reģistrs”, attiecībā uz kuru viņš ir pārzinis Eiropas Parlamenta un Padomes 2016. gada 27. aprīļa Regulas (ES) 2016/679 par fizisku personu aizsardzību attiecībā uz personas datu apstrādi un šādu datu brīvu apriti un ar ko atceļ Direktīvu 95/46/EK (Vispārīgā datu aizsardzības regula), 4. panta 7. punkta nozīmē.</w:t>
            </w:r>
          </w:p>
        </w:tc>
      </w:tr>
      <w:tr w:rsidR="0066043F" w14:paraId="328BB479" w14:textId="77777777" w:rsidTr="0066043F">
        <w:tc>
          <w:tcPr>
            <w:tcW w:w="5000" w:type="pct"/>
          </w:tcPr>
          <w:p w14:paraId="523ABDAF" w14:textId="77777777" w:rsidR="0066043F" w:rsidRDefault="0066043F" w:rsidP="005B3FB9">
            <w:pPr>
              <w:spacing w:before="240"/>
              <w:jc w:val="both"/>
            </w:pPr>
            <w:r>
              <w:t>Profesionāļu reģistra mērķis ir dot iespēju operatoram pamatot, kāpēc viņš ļāvis cilvēkiem piekļūt savas azartspēļu iestādes spēļu zālei, nepakļaujot tos EPIS pārbaudei.</w:t>
            </w:r>
          </w:p>
        </w:tc>
      </w:tr>
      <w:tr w:rsidR="0066043F" w14:paraId="2B93E5B1" w14:textId="77777777" w:rsidTr="0066043F">
        <w:tc>
          <w:tcPr>
            <w:tcW w:w="5000" w:type="pct"/>
          </w:tcPr>
          <w:p w14:paraId="34974DE4" w14:textId="77777777" w:rsidR="0066043F" w:rsidRDefault="0066043F" w:rsidP="005B3FB9">
            <w:pPr>
              <w:spacing w:before="240"/>
              <w:jc w:val="both"/>
            </w:pPr>
            <w:r>
              <w:lastRenderedPageBreak/>
              <w:t>2. punkts. Par katru personu, kas piekļūst azartspēļu iestādes spēļu zālei profesionālu iemeslu dēļ, profesionāļu reģistrā reģistrē šādus datus:</w:t>
            </w:r>
          </w:p>
        </w:tc>
      </w:tr>
      <w:tr w:rsidR="0066043F" w14:paraId="10DE9A20" w14:textId="77777777" w:rsidTr="0066043F">
        <w:tc>
          <w:tcPr>
            <w:tcW w:w="5000" w:type="pct"/>
          </w:tcPr>
          <w:p w14:paraId="63DF842D" w14:textId="77777777" w:rsidR="0066043F" w:rsidRDefault="0066043F" w:rsidP="005B3FB9">
            <w:pPr>
              <w:spacing w:before="240"/>
              <w:jc w:val="both"/>
            </w:pPr>
            <w:r>
              <w:t>1) uzvārdi un vārdi;</w:t>
            </w:r>
          </w:p>
        </w:tc>
      </w:tr>
      <w:tr w:rsidR="0066043F" w14:paraId="0908FE3A" w14:textId="77777777" w:rsidTr="0066043F">
        <w:tc>
          <w:tcPr>
            <w:tcW w:w="5000" w:type="pct"/>
          </w:tcPr>
          <w:p w14:paraId="46CB870E" w14:textId="77777777" w:rsidR="0066043F" w:rsidRDefault="0066043F" w:rsidP="005B3FB9">
            <w:pPr>
              <w:spacing w:before="240"/>
              <w:jc w:val="both"/>
            </w:pPr>
            <w:r>
              <w:t>2) apmeklējuma iemesls, datums un laiks;</w:t>
            </w:r>
          </w:p>
        </w:tc>
      </w:tr>
      <w:tr w:rsidR="0066043F" w14:paraId="5F488C84" w14:textId="77777777" w:rsidTr="0066043F">
        <w:tc>
          <w:tcPr>
            <w:tcW w:w="5000" w:type="pct"/>
          </w:tcPr>
          <w:p w14:paraId="390DBE41" w14:textId="77777777" w:rsidR="0066043F" w:rsidRDefault="0066043F" w:rsidP="005B3FB9">
            <w:pPr>
              <w:spacing w:before="240"/>
              <w:jc w:val="both"/>
            </w:pPr>
            <w:r>
              <w:t>3) paraksts, pirms kura ir: “Piekļuve šai azartspēļu iestādei man tiek piešķirta tikai manas profesionālās darbības ietvaros, un es apņemos neiesaistīties šajā kontekstā rīkotajās azartspēlēs.”</w:t>
            </w:r>
          </w:p>
        </w:tc>
      </w:tr>
      <w:tr w:rsidR="0066043F" w14:paraId="257955AA" w14:textId="77777777" w:rsidTr="0066043F">
        <w:tc>
          <w:tcPr>
            <w:tcW w:w="5000" w:type="pct"/>
          </w:tcPr>
          <w:p w14:paraId="7D439A09" w14:textId="77777777" w:rsidR="0066043F" w:rsidRDefault="0066043F" w:rsidP="005B3FB9">
            <w:pPr>
              <w:spacing w:before="240"/>
              <w:jc w:val="both"/>
            </w:pPr>
            <w:r>
              <w:t>Informāciju, kas minēta 1. punktā, glabā vienu gadu.</w:t>
            </w:r>
          </w:p>
        </w:tc>
      </w:tr>
      <w:tr w:rsidR="0066043F" w14:paraId="107B44E2" w14:textId="77777777" w:rsidTr="0066043F">
        <w:tc>
          <w:tcPr>
            <w:tcW w:w="5000" w:type="pct"/>
          </w:tcPr>
          <w:p w14:paraId="3AD8211E" w14:textId="77777777" w:rsidR="0066043F" w:rsidRDefault="0066043F" w:rsidP="005B3FB9">
            <w:pPr>
              <w:spacing w:before="240"/>
              <w:jc w:val="both"/>
            </w:pPr>
            <w:r>
              <w:t>3. punkts. Speciālistu reģistrā iekļautajiem datiem var piekļūt tikai komisijas sekretariāta locekļi, kas ir atbildīgi par šā likuma un tā īstenošanas dekrētu pārkāpumu izmeklēšanu un atklāšanu, kā arī šā likuma 15. panta 3. punkta 1. apakšpunktā minētajiem policijas darbiniekiem.”;</w:t>
            </w:r>
          </w:p>
        </w:tc>
      </w:tr>
      <w:tr w:rsidR="0066043F" w14:paraId="121755DF" w14:textId="77777777" w:rsidTr="0066043F">
        <w:tc>
          <w:tcPr>
            <w:tcW w:w="5000" w:type="pct"/>
          </w:tcPr>
          <w:p w14:paraId="640E426E" w14:textId="77777777" w:rsidR="0066043F" w:rsidRDefault="0066043F" w:rsidP="005B3FB9">
            <w:pPr>
              <w:spacing w:before="240"/>
              <w:jc w:val="both"/>
            </w:pPr>
            <w:r>
              <w:rPr>
                <w:b/>
                <w:bCs/>
              </w:rPr>
              <w:t>20. pants.</w:t>
            </w:r>
            <w:r>
              <w:t xml:space="preserve"> Šajā likumā iekļauj šādu 55/5. pantu:</w:t>
            </w:r>
          </w:p>
        </w:tc>
      </w:tr>
      <w:tr w:rsidR="0066043F" w14:paraId="2F470EFA" w14:textId="77777777" w:rsidTr="0066043F">
        <w:tc>
          <w:tcPr>
            <w:tcW w:w="5000" w:type="pct"/>
          </w:tcPr>
          <w:p w14:paraId="244612AC" w14:textId="77777777" w:rsidR="0066043F" w:rsidRDefault="0066043F" w:rsidP="005B3FB9">
            <w:pPr>
              <w:spacing w:before="240"/>
              <w:jc w:val="both"/>
            </w:pPr>
            <w:r>
              <w:t>“55/5. pants. 1. punkts. Ja no operatora neatkarīgu iemeslu dēļ nav iespējams iepazīties ar EPIS, spēlētāju dati ir jāreģistrē atsevišķā rezerves reģistrā, ko uztur licences turētājs, kurš minēts 54/1. panta 1. punktā, saukts par “rezerves reģistru”, attiecībā uz kuru tas ir datu pārzinis Eiropas Parlamenta un Padomes 2016. gada 27. aprīļa Regulas (ES) 2016/679 par fizisku personu aizsardzību attiecībā uz personas datu apstrādi un šādu datu brīvu apriti un ar ko atceļ Direktīvu 95/46/EK (Vispārīgā datu aizsardzības regula) 4. panta 7. punkta izpratnē.</w:t>
            </w:r>
          </w:p>
        </w:tc>
      </w:tr>
      <w:tr w:rsidR="0066043F" w14:paraId="777C14F2" w14:textId="77777777" w:rsidTr="0066043F">
        <w:tc>
          <w:tcPr>
            <w:tcW w:w="5000" w:type="pct"/>
          </w:tcPr>
          <w:p w14:paraId="54165307" w14:textId="77777777" w:rsidR="0066043F" w:rsidRDefault="0066043F" w:rsidP="005B3FB9">
            <w:pPr>
              <w:spacing w:before="240"/>
              <w:jc w:val="both"/>
            </w:pPr>
            <w:r>
              <w:t>Ja no operatora neatkarīgu iemeslu dēļ nav iespējams iepazīties ar EPIS, izmantojot 54/1. panta 3. punktā minēto datorsistēmu, licences turētājs, kas minēts 54/1. panta 3. punktā, var ieslēgt ierīci ar darbības karti pēc potenciālā spēlētāja identitātes un vecuma pārbaudes.</w:t>
            </w:r>
          </w:p>
        </w:tc>
      </w:tr>
      <w:tr w:rsidR="0066043F" w14:paraId="24022FDA" w14:textId="77777777" w:rsidTr="0066043F">
        <w:tc>
          <w:tcPr>
            <w:tcW w:w="5000" w:type="pct"/>
          </w:tcPr>
          <w:p w14:paraId="6E3C8D36" w14:textId="77777777" w:rsidR="0066043F" w:rsidRDefault="0066043F" w:rsidP="005B3FB9">
            <w:pPr>
              <w:spacing w:before="240"/>
              <w:jc w:val="both"/>
            </w:pPr>
            <w:r>
              <w:t>Rezerves reģistra mērķis ir ļaut azartspēļu iestāžu operatoriem pakļaut spēlētājus EPIS pārbaudei, tiklīdz tiek atcelta EPIS nepieejamība, un izslēgt personas, kurām ir aizliegts spēlēt azartspēļu iestādes, spēļu zāles vai azartspēļu iekārtas.</w:t>
            </w:r>
          </w:p>
        </w:tc>
      </w:tr>
      <w:tr w:rsidR="0066043F" w14:paraId="2EFBEBBD" w14:textId="77777777" w:rsidTr="0066043F">
        <w:tc>
          <w:tcPr>
            <w:tcW w:w="5000" w:type="pct"/>
          </w:tcPr>
          <w:p w14:paraId="02F292F1" w14:textId="77777777" w:rsidR="0066043F" w:rsidRDefault="0066043F" w:rsidP="005B3FB9">
            <w:pPr>
              <w:spacing w:before="240"/>
              <w:jc w:val="both"/>
            </w:pPr>
            <w:r>
              <w:t>2. punkts. Katram spēlētājam rezerves reģistrā ierakstītie dati ir šādi:</w:t>
            </w:r>
          </w:p>
        </w:tc>
      </w:tr>
      <w:tr w:rsidR="0066043F" w14:paraId="46D704FE" w14:textId="77777777" w:rsidTr="0066043F">
        <w:tc>
          <w:tcPr>
            <w:tcW w:w="5000" w:type="pct"/>
          </w:tcPr>
          <w:p w14:paraId="118F7061" w14:textId="77777777" w:rsidR="0066043F" w:rsidRDefault="0066043F" w:rsidP="005B3FB9">
            <w:pPr>
              <w:spacing w:before="240"/>
              <w:jc w:val="both"/>
            </w:pPr>
            <w:r>
              <w:t>1) uzvārdi un vārdi;</w:t>
            </w:r>
          </w:p>
        </w:tc>
      </w:tr>
      <w:tr w:rsidR="0066043F" w14:paraId="61FE8821" w14:textId="77777777" w:rsidTr="0066043F">
        <w:tc>
          <w:tcPr>
            <w:tcW w:w="5000" w:type="pct"/>
          </w:tcPr>
          <w:p w14:paraId="41E75040" w14:textId="77777777" w:rsidR="0066043F" w:rsidRDefault="0066043F" w:rsidP="005B3FB9">
            <w:pPr>
              <w:spacing w:before="240"/>
              <w:jc w:val="both"/>
            </w:pPr>
            <w:r>
              <w:t>2) dzimšanas datums;</w:t>
            </w:r>
          </w:p>
        </w:tc>
      </w:tr>
      <w:tr w:rsidR="0066043F" w14:paraId="6CF9C4A7" w14:textId="77777777" w:rsidTr="0066043F">
        <w:tc>
          <w:tcPr>
            <w:tcW w:w="5000" w:type="pct"/>
          </w:tcPr>
          <w:p w14:paraId="7CB954DE" w14:textId="77777777" w:rsidR="0066043F" w:rsidRDefault="0066043F" w:rsidP="005B3FB9">
            <w:pPr>
              <w:spacing w:before="240"/>
              <w:jc w:val="both"/>
            </w:pPr>
            <w:r>
              <w:t>3) fizisko personu valsts reģistra identifikācijas numurs vai, ja citas Eiropas Ekonomikas zonas dalībvalsts izsniegtas personas apliecības numurs nav pieejams, pases numurs vai, pakārtoti, Banque Carrefour identifikācijas numurs, kas minēts 1990. gada 15. janvāra Likuma par Banque Carrefour sociālā nodrošinājuma izveidi un organizāciju 8. panta 1. punkta 2. apakšpunktā.</w:t>
            </w:r>
          </w:p>
        </w:tc>
      </w:tr>
      <w:tr w:rsidR="0066043F" w14:paraId="4C7DE81B" w14:textId="77777777" w:rsidTr="0066043F">
        <w:tc>
          <w:tcPr>
            <w:tcW w:w="5000" w:type="pct"/>
          </w:tcPr>
          <w:p w14:paraId="44FA2C2F" w14:textId="77777777" w:rsidR="0066043F" w:rsidRDefault="0066043F" w:rsidP="005B3FB9">
            <w:pPr>
              <w:spacing w:before="240"/>
              <w:jc w:val="both"/>
            </w:pPr>
            <w:r>
              <w:t>3. punkts. Piekļuve datiem rezerves reģistrā ir atļauta tikai tiem komisijas sekretariāta locekļiem, kas ir atbildīgi par šā likuma un tā īstenošanas dekrētu pārkāpumu izmeklēšanu un atklāšanu, un šā 15. panta 3. punkta 1. apakšpunktā minētajiem policijas darbiniekiem.</w:t>
            </w:r>
          </w:p>
        </w:tc>
      </w:tr>
      <w:tr w:rsidR="0066043F" w14:paraId="0EB49C1B" w14:textId="77777777" w:rsidTr="0066043F">
        <w:tc>
          <w:tcPr>
            <w:tcW w:w="5000" w:type="pct"/>
          </w:tcPr>
          <w:p w14:paraId="153E3644" w14:textId="77777777" w:rsidR="0066043F" w:rsidRDefault="0066043F" w:rsidP="005B3FB9">
            <w:pPr>
              <w:spacing w:before="240"/>
              <w:jc w:val="both"/>
            </w:pPr>
            <w:r>
              <w:t>4. punkts. Licences turētājs nekavējoties informē Komisiju un apakšuzņēmēju, ko Azartspēļu komisija izraudzījusies EPIS mitināšanai un piekļuves pārvaldībai EPIS sistēmai, par neiespējamību iepazīties ar EPIS.</w:t>
            </w:r>
          </w:p>
        </w:tc>
      </w:tr>
      <w:tr w:rsidR="0066043F" w14:paraId="3727D729" w14:textId="77777777" w:rsidTr="0066043F">
        <w:tc>
          <w:tcPr>
            <w:tcW w:w="5000" w:type="pct"/>
          </w:tcPr>
          <w:p w14:paraId="41D583A3" w14:textId="77777777" w:rsidR="0066043F" w:rsidRDefault="0066043F" w:rsidP="005B3FB9">
            <w:pPr>
              <w:spacing w:before="240"/>
              <w:jc w:val="both"/>
            </w:pPr>
            <w:r>
              <w:lastRenderedPageBreak/>
              <w:t>Kad EPIS atkal ir iespējams meklēt, licences turētājam ir jāpārbauda visi rezerves reģistra dalībnieki, norādot apmeklējuma datumu un laiku. Ja šie spēlētāji tiek izslēgti, viņiem nekavējoties tiek aizliegts piekļūt azartspēlēm vai tajās iesaistīties, un par to nekavējoties jāinformē Komisija.</w:t>
            </w:r>
          </w:p>
        </w:tc>
      </w:tr>
      <w:tr w:rsidR="0066043F" w14:paraId="64362DEC" w14:textId="77777777" w:rsidTr="0066043F">
        <w:tc>
          <w:tcPr>
            <w:tcW w:w="5000" w:type="pct"/>
          </w:tcPr>
          <w:p w14:paraId="0E761CA9" w14:textId="77777777" w:rsidR="0066043F" w:rsidRDefault="0066043F" w:rsidP="005B3FB9">
            <w:pPr>
              <w:spacing w:before="240"/>
              <w:jc w:val="both"/>
            </w:pPr>
            <w:r>
              <w:t>Pēc šīs pārbaudes licences turētājs nekavējoties iznīcina sarakstu.”</w:t>
            </w:r>
          </w:p>
        </w:tc>
      </w:tr>
      <w:tr w:rsidR="0066043F" w14:paraId="692AD42D" w14:textId="77777777" w:rsidTr="0066043F">
        <w:tc>
          <w:tcPr>
            <w:tcW w:w="5000" w:type="pct"/>
          </w:tcPr>
          <w:p w14:paraId="0D8CAF39" w14:textId="77777777" w:rsidR="0066043F" w:rsidRDefault="0066043F" w:rsidP="005B3FB9">
            <w:pPr>
              <w:spacing w:before="240"/>
              <w:jc w:val="both"/>
            </w:pPr>
            <w:r>
              <w:rPr>
                <w:b/>
              </w:rPr>
              <w:t>21. pants.</w:t>
            </w:r>
            <w:r>
              <w:t xml:space="preserve"> Minētā likuma 61. panta 3. punktā, kas ir iekļauts ar 2010. gada 10. janvāra likumu, starp vārdiem “I, II, III un IV kategorijas” un vārdiem “skrejlapas” iekļauj vārdus “un 43/5. panta 5. punkta 1. apakšpunktā minēto licenču turētājus”.</w:t>
            </w:r>
          </w:p>
        </w:tc>
      </w:tr>
      <w:tr w:rsidR="0066043F" w14:paraId="3CF40967" w14:textId="77777777" w:rsidTr="0066043F">
        <w:tc>
          <w:tcPr>
            <w:tcW w:w="5000" w:type="pct"/>
          </w:tcPr>
          <w:p w14:paraId="2B1AC493" w14:textId="77777777" w:rsidR="0066043F" w:rsidRDefault="0066043F" w:rsidP="005B3FB9">
            <w:pPr>
              <w:spacing w:before="240"/>
              <w:jc w:val="both"/>
            </w:pPr>
            <w:r>
              <w:rPr>
                <w:b/>
              </w:rPr>
              <w:t>22. pants.</w:t>
            </w:r>
            <w:r>
              <w:t xml:space="preserve"> Tā paša likuma 63. pantā, kas pēdējo reizi grozīts ar 2010. gada 10. janvāra likumu, vārdus “ieslodzījums uz laiku no viena mēneša līdz trim gadiem un naudas sods no 26 līdz 25 000 frankiem vai viens no šiem sodiem” aizstāj ar vārdiem “naudas sods no EUR 26 līdz EUR 120 000”.</w:t>
            </w:r>
          </w:p>
        </w:tc>
      </w:tr>
      <w:tr w:rsidR="0066043F" w14:paraId="64F4A5D4" w14:textId="77777777" w:rsidTr="0066043F">
        <w:tc>
          <w:tcPr>
            <w:tcW w:w="5000" w:type="pct"/>
          </w:tcPr>
          <w:p w14:paraId="791991A0" w14:textId="77777777" w:rsidR="0066043F" w:rsidRDefault="0066043F" w:rsidP="005B3FB9">
            <w:pPr>
              <w:spacing w:before="240"/>
              <w:jc w:val="both"/>
            </w:pPr>
            <w:r>
              <w:rPr>
                <w:b/>
                <w:bCs/>
              </w:rPr>
              <w:t>23. pants.</w:t>
            </w:r>
            <w:r>
              <w:t xml:space="preserve"> Tā paša likuma 64. pantu, kurā jaunākie grozījumi izdarīti ar 2024. gada 18. janvāra likumu, aizstāj ar šādu:</w:t>
            </w:r>
          </w:p>
        </w:tc>
      </w:tr>
      <w:tr w:rsidR="0066043F" w14:paraId="17A38BE3" w14:textId="77777777" w:rsidTr="0066043F">
        <w:tc>
          <w:tcPr>
            <w:tcW w:w="5000" w:type="pct"/>
          </w:tcPr>
          <w:p w14:paraId="188A95DA" w14:textId="41F27EDD" w:rsidR="0066043F" w:rsidRDefault="0066043F" w:rsidP="005B3FB9">
            <w:pPr>
              <w:spacing w:before="240"/>
              <w:jc w:val="both"/>
            </w:pPr>
            <w:r>
              <w:t>“64. pants. Par 4. panta 2. punkta 4. un 5. apakšpunkta, 43/1., 43/2., 43/2., 43/2/1 43/3., 43/4., 60. panta, 61. panta 2. un 3. punkta pārkāpumiem, kā arī dekrētiem, lai īstenotu šos pantus, piemēro naudas sodu no EUR 26 līdz EUR 72 000.”</w:t>
            </w:r>
          </w:p>
        </w:tc>
      </w:tr>
      <w:tr w:rsidR="0066043F" w14:paraId="6E9F3319" w14:textId="77777777" w:rsidTr="0066043F">
        <w:tc>
          <w:tcPr>
            <w:tcW w:w="5000" w:type="pct"/>
          </w:tcPr>
          <w:p w14:paraId="783A4613" w14:textId="77777777" w:rsidR="0066043F" w:rsidRDefault="0066043F" w:rsidP="005B3FB9">
            <w:pPr>
              <w:spacing w:before="240"/>
              <w:jc w:val="both"/>
            </w:pPr>
            <w:r>
              <w:rPr>
                <w:b/>
              </w:rPr>
              <w:t>“24. pants.</w:t>
            </w:r>
            <w:r>
              <w:t xml:space="preserve"> Tā paša likuma 65. panta 2. punktā vārdus “persona, kas jaunāka par 18 gadiem” aizstāj ar vārdiem “persona, kas jaunāka par 21 gadu”.</w:t>
            </w:r>
          </w:p>
        </w:tc>
      </w:tr>
      <w:tr w:rsidR="0066043F" w:rsidRPr="00CD7F70" w14:paraId="5916DF57" w14:textId="77777777" w:rsidTr="0066043F">
        <w:tc>
          <w:tcPr>
            <w:tcW w:w="5000" w:type="pct"/>
          </w:tcPr>
          <w:p w14:paraId="6C782B02" w14:textId="77777777" w:rsidR="0066043F" w:rsidRPr="00CD7F70" w:rsidRDefault="0066043F" w:rsidP="005B3FB9">
            <w:pPr>
              <w:spacing w:before="240"/>
              <w:jc w:val="both"/>
            </w:pPr>
            <w:r>
              <w:t xml:space="preserve">3. NODAĻA.  – </w:t>
            </w:r>
            <w:r>
              <w:rPr>
                <w:i/>
              </w:rPr>
              <w:t>Karaļa 2024. gada 31. janvāra dekrēta par ieguldījumu Azartspēļu komisijas darbības, personāla un uzstādīšanas izmaksu segšanā, kas jāmaksā A, A+, B, B+, C, E, F1, F1+ un F2 kategorijas licenču turētājiem 2024. kalendārajam gadam, apstiprināšana</w:t>
            </w:r>
          </w:p>
        </w:tc>
      </w:tr>
      <w:tr w:rsidR="0066043F" w14:paraId="0361E2FC" w14:textId="77777777" w:rsidTr="0066043F">
        <w:tc>
          <w:tcPr>
            <w:tcW w:w="5000" w:type="pct"/>
          </w:tcPr>
          <w:p w14:paraId="5D82F0EF" w14:textId="77777777" w:rsidR="0066043F" w:rsidRDefault="0066043F" w:rsidP="005B3FB9">
            <w:pPr>
              <w:spacing w:before="240"/>
              <w:jc w:val="both"/>
            </w:pPr>
            <w:r>
              <w:rPr>
                <w:b/>
              </w:rPr>
              <w:t>25. pants.</w:t>
            </w:r>
            <w:r>
              <w:t xml:space="preserve"> Ar šo tiek apstiprināts 2024. gada 31. janvāra Karaļa dekrēts par ieguldījumu Azartspēļu komisijas darbības, personāla un uzstādīšanas izmaksu segšanā, kas jāmaksā A, A+, B, B+, C, E, F1, F1+ un F2 kategorijas licenču turētājiem 2024. kalendārajam gadam, un tas stājas spēkā no tā spēkā stāšanās dienas.</w:t>
            </w:r>
          </w:p>
        </w:tc>
      </w:tr>
      <w:tr w:rsidR="0066043F" w:rsidRPr="00CD7F70" w14:paraId="0376A838" w14:textId="77777777" w:rsidTr="0066043F">
        <w:tc>
          <w:tcPr>
            <w:tcW w:w="5000" w:type="pct"/>
          </w:tcPr>
          <w:p w14:paraId="5D4D8F13" w14:textId="77777777" w:rsidR="0066043F" w:rsidRPr="00CD7F70" w:rsidRDefault="0066043F" w:rsidP="005B3FB9">
            <w:pPr>
              <w:spacing w:before="240"/>
              <w:jc w:val="both"/>
            </w:pPr>
            <w:r>
              <w:t xml:space="preserve">4. nodaļa. – </w:t>
            </w:r>
            <w:r>
              <w:rPr>
                <w:i/>
              </w:rPr>
              <w:t>Atceltie noteikumi</w:t>
            </w:r>
          </w:p>
        </w:tc>
      </w:tr>
      <w:tr w:rsidR="0066043F" w14:paraId="3C2F9B72" w14:textId="77777777" w:rsidTr="0066043F">
        <w:tc>
          <w:tcPr>
            <w:tcW w:w="5000" w:type="pct"/>
          </w:tcPr>
          <w:p w14:paraId="7A20176D" w14:textId="77777777" w:rsidR="0066043F" w:rsidRDefault="0066043F" w:rsidP="005B3FB9">
            <w:pPr>
              <w:spacing w:before="240"/>
              <w:jc w:val="both"/>
            </w:pPr>
            <w:r>
              <w:rPr>
                <w:b/>
                <w:bCs/>
              </w:rPr>
              <w:t>26. pants.</w:t>
            </w:r>
            <w:r>
              <w:t xml:space="preserve"> Atceļ tā paša likuma 62. pantu, kas grozīts ar 2010. gada 10. janvāra, 2019. gada 7. maija un 2022. gada 30. jūlija tiesību aktiem.</w:t>
            </w:r>
          </w:p>
        </w:tc>
      </w:tr>
      <w:tr w:rsidR="0066043F" w14:paraId="726293BB" w14:textId="77777777" w:rsidTr="0066043F">
        <w:tc>
          <w:tcPr>
            <w:tcW w:w="5000" w:type="pct"/>
          </w:tcPr>
          <w:p w14:paraId="096B3F28" w14:textId="77777777" w:rsidR="0066043F" w:rsidRDefault="0066043F" w:rsidP="005B3FB9">
            <w:pPr>
              <w:spacing w:before="240"/>
              <w:jc w:val="both"/>
            </w:pPr>
            <w:r>
              <w:rPr>
                <w:b/>
              </w:rPr>
              <w:t>27. pants.</w:t>
            </w:r>
            <w:r>
              <w:t xml:space="preserve"> Ar šo tiek atcelts 2002. gada 26. jūnija Karaļa dekrēts, ar ko nosaka kārtību, kādā Azartspēļu komisija saņem sūdzības un prasības.</w:t>
            </w:r>
          </w:p>
        </w:tc>
      </w:tr>
      <w:tr w:rsidR="0066043F" w14:paraId="510EFD61" w14:textId="77777777" w:rsidTr="0066043F">
        <w:tc>
          <w:tcPr>
            <w:tcW w:w="5000" w:type="pct"/>
          </w:tcPr>
          <w:p w14:paraId="4ACA6199" w14:textId="77777777" w:rsidR="0066043F" w:rsidRDefault="0066043F" w:rsidP="005B3FB9">
            <w:pPr>
              <w:spacing w:before="240"/>
              <w:jc w:val="both"/>
            </w:pPr>
            <w:r>
              <w:rPr>
                <w:b/>
              </w:rPr>
              <w:t>28. pants.</w:t>
            </w:r>
            <w:r>
              <w:t xml:space="preserve"> Ar šo tiek atcelts Karaļa 2004. gada 15. decembra Dekrēts par I un II kategorijas azartspēļu iestāžu un fiksētu IV kategorijas azartspēļu iestāžu piekļuves reģistru, kas grozīts ar Karaļa 2022. gada 20. marta un 2022. gada 6. septembra dekrētiem.</w:t>
            </w:r>
          </w:p>
        </w:tc>
      </w:tr>
      <w:tr w:rsidR="0066043F" w14:paraId="7B9BDFF2" w14:textId="77777777" w:rsidTr="0066043F">
        <w:tc>
          <w:tcPr>
            <w:tcW w:w="5000" w:type="pct"/>
          </w:tcPr>
          <w:p w14:paraId="471B4110" w14:textId="77777777" w:rsidR="0066043F" w:rsidRDefault="0066043F" w:rsidP="005B3FB9">
            <w:pPr>
              <w:spacing w:before="240"/>
              <w:jc w:val="both"/>
            </w:pPr>
            <w:r>
              <w:rPr>
                <w:b/>
              </w:rPr>
              <w:t>29. pants.</w:t>
            </w:r>
            <w:r>
              <w:t xml:space="preserve"> Tiek atcelts Karaļa 2004. gada 15. decembra dekrēta par tādas informācijas apstrādes sistēmas izveidi, kas attiecas uz spēlētājiem, kuri izslēgti no I, II un IV kategorijas azartspēļu iestādēm, kas grozīts ar Karaļa 2022. gada 20. marta un 2022. gada 6. septembra dekrētiem, 1.–5. pants, 6. panta 1. un 5. punkts, 7. un 8. pants.</w:t>
            </w:r>
          </w:p>
        </w:tc>
      </w:tr>
      <w:tr w:rsidR="0066043F" w:rsidRPr="00CD7F70" w14:paraId="4CCF4A55" w14:textId="77777777" w:rsidTr="0066043F">
        <w:tc>
          <w:tcPr>
            <w:tcW w:w="5000" w:type="pct"/>
          </w:tcPr>
          <w:p w14:paraId="25EB3EA7" w14:textId="77777777" w:rsidR="0066043F" w:rsidRPr="00CD7F70" w:rsidRDefault="0066043F" w:rsidP="005B3FB9">
            <w:pPr>
              <w:spacing w:before="240"/>
              <w:jc w:val="both"/>
            </w:pPr>
            <w:r>
              <w:t xml:space="preserve">5. NODAĻA. – </w:t>
            </w:r>
            <w:r>
              <w:rPr>
                <w:i/>
              </w:rPr>
              <w:t>Pārejas noteikumi</w:t>
            </w:r>
          </w:p>
        </w:tc>
      </w:tr>
      <w:tr w:rsidR="0066043F" w14:paraId="50EC7C0E" w14:textId="77777777" w:rsidTr="0066043F">
        <w:tc>
          <w:tcPr>
            <w:tcW w:w="5000" w:type="pct"/>
          </w:tcPr>
          <w:p w14:paraId="47638B86" w14:textId="77777777" w:rsidR="0066043F" w:rsidRDefault="0066043F" w:rsidP="005B3FB9">
            <w:pPr>
              <w:spacing w:before="240"/>
              <w:jc w:val="both"/>
            </w:pPr>
            <w:r>
              <w:rPr>
                <w:b/>
                <w:bCs/>
              </w:rPr>
              <w:lastRenderedPageBreak/>
              <w:t>30. pants.</w:t>
            </w:r>
            <w:r>
              <w:t xml:space="preserve"> 9.pants attiecas uz visiem C licences atjaunošanas pieteikumiem, kas iesniegti pēc šā likuma stāšanās spēkā.</w:t>
            </w:r>
          </w:p>
        </w:tc>
      </w:tr>
      <w:tr w:rsidR="0066043F" w:rsidRPr="00CD7F70" w14:paraId="4CE8FA16" w14:textId="77777777" w:rsidTr="0066043F">
        <w:tc>
          <w:tcPr>
            <w:tcW w:w="5000" w:type="pct"/>
          </w:tcPr>
          <w:p w14:paraId="1B5FFFE7" w14:textId="77777777" w:rsidR="0066043F" w:rsidRPr="00CD7F70" w:rsidRDefault="0066043F" w:rsidP="005B3FB9">
            <w:pPr>
              <w:spacing w:before="240"/>
              <w:jc w:val="both"/>
            </w:pPr>
            <w:r>
              <w:t xml:space="preserve">6. NODAĻA. – </w:t>
            </w:r>
            <w:r>
              <w:rPr>
                <w:i/>
              </w:rPr>
              <w:t>Stāšanās spēkā</w:t>
            </w:r>
          </w:p>
        </w:tc>
      </w:tr>
      <w:tr w:rsidR="0066043F" w:rsidRPr="00B37C9A" w14:paraId="426D70DD" w14:textId="77777777" w:rsidTr="0066043F">
        <w:tc>
          <w:tcPr>
            <w:tcW w:w="5000" w:type="pct"/>
          </w:tcPr>
          <w:p w14:paraId="20CF0E89" w14:textId="77777777" w:rsidR="0066043F" w:rsidRPr="00B37C9A" w:rsidRDefault="0066043F" w:rsidP="005B3FB9">
            <w:pPr>
              <w:spacing w:before="240"/>
              <w:jc w:val="both"/>
            </w:pPr>
            <w:r>
              <w:rPr>
                <w:b/>
              </w:rPr>
              <w:t>31. pants.</w:t>
            </w:r>
            <w:r>
              <w:t xml:space="preserve"> A, A+, B, B+, F1+ licences turētājiem un F2 licences turētājiem, kas ļauj F1 klases koncesionāru vārdā veikt derības IV klases stacionārā azartspēļu iestādē, 2., 14., 15., 16., 17., 18. un 20. pants stājas spēkā divpadsmitā mēneša pirmajā dienā pēc šā likuma publicēšanas Moniteur belge.</w:t>
            </w:r>
          </w:p>
        </w:tc>
      </w:tr>
      <w:tr w:rsidR="0066043F" w:rsidRPr="00B37C9A" w14:paraId="53B86833" w14:textId="77777777" w:rsidTr="0066043F">
        <w:tc>
          <w:tcPr>
            <w:tcW w:w="5000" w:type="pct"/>
          </w:tcPr>
          <w:p w14:paraId="7B8FB8FB" w14:textId="77777777" w:rsidR="0066043F" w:rsidRPr="00B37C9A" w:rsidRDefault="0066043F" w:rsidP="005B3FB9">
            <w:pPr>
              <w:spacing w:before="240"/>
              <w:jc w:val="both"/>
            </w:pPr>
            <w:r>
              <w:t>F2 licences turētājiem, kas ļauj veikt derības F1 klases licenču turētāju vārdā IV klases mobilās azartspēļu iestādēs, un F2 licences turētājiem, kas ļauj veikt derības ārpus IV klases azartspēļu iestādēm, 2., 14., 15., 16., 17., 18. un 20. pants stājas spēkā divdesmit ceturtā mēneša pirmajā dienā pēc šā likuma publicēšanas Moniteur belge.</w:t>
            </w:r>
          </w:p>
        </w:tc>
      </w:tr>
      <w:tr w:rsidR="0066043F" w14:paraId="73C9E1B7" w14:textId="77777777" w:rsidTr="0066043F">
        <w:tc>
          <w:tcPr>
            <w:tcW w:w="5000" w:type="pct"/>
          </w:tcPr>
          <w:p w14:paraId="64823F79" w14:textId="77777777" w:rsidR="0066043F" w:rsidRDefault="0066043F" w:rsidP="005B3FB9">
            <w:pPr>
              <w:spacing w:before="240"/>
              <w:jc w:val="both"/>
            </w:pPr>
            <w:r>
              <w:rPr>
                <w:b/>
                <w:bCs/>
              </w:rPr>
              <w:t>32. pants.</w:t>
            </w:r>
            <w:r>
              <w:t xml:space="preserve"> Dekrēta 5., 10. un 24. pants stājas spēkā 2024. gada 1. septembrī.</w:t>
            </w:r>
          </w:p>
        </w:tc>
      </w:tr>
      <w:tr w:rsidR="0066043F" w14:paraId="4BBF38DB" w14:textId="77777777" w:rsidTr="0066043F">
        <w:tc>
          <w:tcPr>
            <w:tcW w:w="5000" w:type="pct"/>
          </w:tcPr>
          <w:p w14:paraId="22E524BD" w14:textId="77777777" w:rsidR="0066043F" w:rsidRDefault="0066043F" w:rsidP="005B3FB9">
            <w:pPr>
              <w:spacing w:before="240"/>
              <w:jc w:val="both"/>
            </w:pPr>
            <w:r>
              <w:rPr>
                <w:b/>
                <w:bCs/>
              </w:rPr>
              <w:t>33. pants.</w:t>
            </w:r>
            <w:r>
              <w:t xml:space="preserve"> 26., 28. un 29. pants stājas spēkā divpadsmitā mēneša pirmajā dienā pēc šā likuma publicēšanas Moniteur belge.</w:t>
            </w:r>
          </w:p>
        </w:tc>
      </w:tr>
      <w:tr w:rsidR="0066043F" w14:paraId="310E8087" w14:textId="77777777" w:rsidTr="0066043F">
        <w:tc>
          <w:tcPr>
            <w:tcW w:w="5000" w:type="pct"/>
          </w:tcPr>
          <w:p w14:paraId="01F50D5E" w14:textId="77777777" w:rsidR="0066043F" w:rsidRDefault="0066043F" w:rsidP="005B3FB9">
            <w:pPr>
              <w:spacing w:before="240"/>
              <w:jc w:val="both"/>
            </w:pPr>
            <w:r>
              <w:t xml:space="preserve">Izsludinām šo likumu, uzdodam tam uzlikt valsts zīmogu un publicēt to </w:t>
            </w:r>
            <w:r>
              <w:rPr>
                <w:i/>
                <w:iCs/>
              </w:rPr>
              <w:t>Moniteur belge</w:t>
            </w:r>
            <w:r>
              <w:t xml:space="preserve"> (Beļģijas Oficiālajā Vēstnesī).</w:t>
            </w:r>
          </w:p>
        </w:tc>
      </w:tr>
      <w:tr w:rsidR="0066043F" w:rsidRPr="00CF6D43" w14:paraId="1655BE91" w14:textId="77777777" w:rsidTr="0066043F">
        <w:tc>
          <w:tcPr>
            <w:tcW w:w="5000" w:type="pct"/>
          </w:tcPr>
          <w:p w14:paraId="1465896C" w14:textId="76401A1E" w:rsidR="0066043F" w:rsidRPr="00CF6D43" w:rsidRDefault="0066043F" w:rsidP="005B3FB9">
            <w:pPr>
              <w:spacing w:before="240"/>
              <w:jc w:val="both"/>
            </w:pPr>
            <w:r>
              <w:t>Briselē, 2024. gada 7. maijā</w:t>
            </w:r>
          </w:p>
        </w:tc>
      </w:tr>
      <w:tr w:rsidR="0066043F" w:rsidRPr="00CF6D43" w14:paraId="2C94C16D" w14:textId="77777777" w:rsidTr="0066043F">
        <w:tc>
          <w:tcPr>
            <w:tcW w:w="5000" w:type="pct"/>
          </w:tcPr>
          <w:p w14:paraId="727C7B58" w14:textId="77777777" w:rsidR="0066043F" w:rsidRPr="00CF6D43" w:rsidRDefault="0066043F" w:rsidP="005B3FB9">
            <w:pPr>
              <w:spacing w:before="240"/>
              <w:jc w:val="both"/>
              <w:rPr>
                <w:lang w:val="fr-FR"/>
              </w:rPr>
            </w:pPr>
          </w:p>
        </w:tc>
      </w:tr>
      <w:tr w:rsidR="0066043F" w:rsidRPr="00F11721" w14:paraId="43E86ABE" w14:textId="77777777" w:rsidTr="0066043F">
        <w:tc>
          <w:tcPr>
            <w:tcW w:w="5000" w:type="pct"/>
            <w:shd w:val="clear" w:color="auto" w:fill="auto"/>
          </w:tcPr>
          <w:p w14:paraId="61CD4026" w14:textId="77777777" w:rsidR="0066043F" w:rsidRDefault="0066043F" w:rsidP="00AB3722">
            <w:pPr>
              <w:spacing w:line="259" w:lineRule="auto"/>
              <w:jc w:val="center"/>
              <w:rPr>
                <w:rFonts w:cstheme="minorHAnsi"/>
              </w:rPr>
            </w:pPr>
            <w:r>
              <w:t>FILIPS</w:t>
            </w:r>
          </w:p>
          <w:p w14:paraId="1A22CB92" w14:textId="77777777" w:rsidR="0066043F" w:rsidRPr="00F11721" w:rsidRDefault="0066043F" w:rsidP="005B3FB9">
            <w:pPr>
              <w:spacing w:before="240"/>
              <w:jc w:val="center"/>
            </w:pPr>
            <w:r>
              <w:t>Karaļa vārdā:</w:t>
            </w:r>
          </w:p>
        </w:tc>
      </w:tr>
      <w:tr w:rsidR="0066043F" w:rsidRPr="00F11721" w14:paraId="7B29FED6" w14:textId="77777777" w:rsidTr="0066043F">
        <w:tc>
          <w:tcPr>
            <w:tcW w:w="5000" w:type="pct"/>
            <w:shd w:val="clear" w:color="auto" w:fill="auto"/>
          </w:tcPr>
          <w:p w14:paraId="28C19FE2" w14:textId="77777777" w:rsidR="0066043F" w:rsidRDefault="0066043F" w:rsidP="005B3FB9">
            <w:pPr>
              <w:spacing w:before="240" w:after="160" w:line="259" w:lineRule="auto"/>
              <w:jc w:val="center"/>
              <w:rPr>
                <w:rFonts w:cstheme="minorHAnsi"/>
              </w:rPr>
            </w:pPr>
            <w:r>
              <w:t>Tieslietu ministrs,</w:t>
            </w:r>
          </w:p>
          <w:p w14:paraId="271F69C9" w14:textId="77777777" w:rsidR="0066043F" w:rsidRPr="00F11721" w:rsidRDefault="0066043F" w:rsidP="005B3FB9">
            <w:pPr>
              <w:spacing w:before="240"/>
              <w:jc w:val="center"/>
            </w:pPr>
            <w:r>
              <w:t>P. VAN TIGČELTS (P. VAN TIGCHELT)</w:t>
            </w:r>
          </w:p>
        </w:tc>
      </w:tr>
      <w:tr w:rsidR="0066043F" w:rsidRPr="00F11721" w14:paraId="3A41DE4A" w14:textId="77777777" w:rsidTr="0066043F">
        <w:tc>
          <w:tcPr>
            <w:tcW w:w="5000" w:type="pct"/>
          </w:tcPr>
          <w:p w14:paraId="311DE88B" w14:textId="77777777" w:rsidR="0066043F" w:rsidRPr="00A35F0D" w:rsidRDefault="0066043F" w:rsidP="005B3FB9">
            <w:pPr>
              <w:spacing w:before="240"/>
              <w:jc w:val="center"/>
            </w:pPr>
            <w:r>
              <w:t>Valsts zīmogs:</w:t>
            </w:r>
          </w:p>
          <w:p w14:paraId="636EF669" w14:textId="77777777" w:rsidR="0066043F" w:rsidRDefault="0066043F" w:rsidP="005B3FB9">
            <w:pPr>
              <w:spacing w:before="240"/>
              <w:jc w:val="center"/>
            </w:pPr>
            <w:r>
              <w:t>Tieslietu ministrs,</w:t>
            </w:r>
          </w:p>
          <w:p w14:paraId="32EFF2C9" w14:textId="77777777" w:rsidR="0066043F" w:rsidRPr="00F11721" w:rsidRDefault="0066043F" w:rsidP="005B3FB9">
            <w:pPr>
              <w:spacing w:before="240"/>
              <w:jc w:val="center"/>
            </w:pPr>
            <w:r>
              <w:t>P. VAN TIGČELTS (P. VAN TIGCHELT)</w:t>
            </w:r>
          </w:p>
        </w:tc>
      </w:tr>
      <w:tr w:rsidR="0066043F" w:rsidRPr="00A35F0D" w14:paraId="7F68DC46" w14:textId="77777777" w:rsidTr="0066043F">
        <w:tc>
          <w:tcPr>
            <w:tcW w:w="5000" w:type="pct"/>
          </w:tcPr>
          <w:p w14:paraId="0BF98B7C" w14:textId="77777777" w:rsidR="0066043F" w:rsidRPr="00AB3722" w:rsidRDefault="0066043F" w:rsidP="005B3FB9">
            <w:pPr>
              <w:spacing w:before="240"/>
              <w:jc w:val="both"/>
            </w:pPr>
          </w:p>
        </w:tc>
      </w:tr>
      <w:tr w:rsidR="0066043F" w:rsidRPr="00A35F0D" w14:paraId="0791B6E1" w14:textId="77777777" w:rsidTr="0066043F">
        <w:tc>
          <w:tcPr>
            <w:tcW w:w="5000" w:type="pct"/>
          </w:tcPr>
          <w:p w14:paraId="74D76D86" w14:textId="77777777" w:rsidR="0066043F" w:rsidRPr="00A35F0D" w:rsidRDefault="0066043F" w:rsidP="005B3FB9">
            <w:pPr>
              <w:spacing w:before="240"/>
              <w:jc w:val="center"/>
            </w:pPr>
            <w:r>
              <w:t>PIEZĪME</w:t>
            </w:r>
          </w:p>
        </w:tc>
      </w:tr>
      <w:tr w:rsidR="0066043F" w:rsidRPr="00FE07E8" w14:paraId="6730366D" w14:textId="77777777" w:rsidTr="0066043F">
        <w:tc>
          <w:tcPr>
            <w:tcW w:w="5000" w:type="pct"/>
          </w:tcPr>
          <w:p w14:paraId="7C217953" w14:textId="77777777" w:rsidR="0066043F" w:rsidRPr="004F20BD" w:rsidRDefault="0066043F" w:rsidP="005B3FB9">
            <w:pPr>
              <w:jc w:val="both"/>
              <w:rPr>
                <w:lang w:eastAsia="en-GB"/>
              </w:rPr>
            </w:pPr>
          </w:p>
          <w:p w14:paraId="2B387012" w14:textId="77777777" w:rsidR="0066043F" w:rsidRPr="00502D71" w:rsidRDefault="0066043F" w:rsidP="005B3FB9">
            <w:pPr>
              <w:jc w:val="both"/>
            </w:pPr>
            <w:r>
              <w:t>(1) Pārstāvju palāta</w:t>
            </w:r>
          </w:p>
          <w:p w14:paraId="2F303363" w14:textId="77777777" w:rsidR="0066043F" w:rsidRPr="00FE07E8" w:rsidRDefault="0066043F" w:rsidP="005B3FB9">
            <w:pPr>
              <w:spacing w:before="240"/>
              <w:jc w:val="both"/>
            </w:pPr>
            <w:r>
              <w:t>(</w:t>
            </w:r>
            <w:hyperlink r:id="rId4" w:history="1">
              <w:r>
                <w:rPr>
                  <w:rStyle w:val="Hyperlink"/>
                </w:rPr>
                <w:t>www.lachambre.be</w:t>
              </w:r>
            </w:hyperlink>
            <w:r>
              <w:t>):</w:t>
            </w:r>
          </w:p>
        </w:tc>
      </w:tr>
      <w:tr w:rsidR="0066043F" w:rsidRPr="004454BC" w14:paraId="483BAC9C" w14:textId="77777777" w:rsidTr="0066043F">
        <w:tc>
          <w:tcPr>
            <w:tcW w:w="5000" w:type="pct"/>
          </w:tcPr>
          <w:p w14:paraId="3FA4EF28" w14:textId="77777777" w:rsidR="0066043F" w:rsidRPr="004454BC" w:rsidRDefault="0066043F" w:rsidP="005B3FB9">
            <w:pPr>
              <w:jc w:val="both"/>
            </w:pPr>
            <w:r>
              <w:t>Dokumenti: 55-3956</w:t>
            </w:r>
          </w:p>
          <w:p w14:paraId="3577992A" w14:textId="77777777" w:rsidR="0066043F" w:rsidRPr="004454BC" w:rsidRDefault="0066043F" w:rsidP="005B3FB9">
            <w:pPr>
              <w:spacing w:before="240"/>
              <w:jc w:val="both"/>
            </w:pPr>
            <w:r>
              <w:t>Pilns ziņojums: 02 2024. gada maijs</w:t>
            </w:r>
          </w:p>
        </w:tc>
      </w:tr>
    </w:tbl>
    <w:p w14:paraId="26C9C8ED" w14:textId="158EF1F8" w:rsidR="00A36095" w:rsidRPr="00AB3722" w:rsidRDefault="00A36095" w:rsidP="00AB3722">
      <w:pPr>
        <w:tabs>
          <w:tab w:val="left" w:pos="1320"/>
        </w:tabs>
      </w:pPr>
    </w:p>
    <w:sectPr w:rsidR="00A36095" w:rsidRPr="00AB3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3F"/>
    <w:rsid w:val="000F018E"/>
    <w:rsid w:val="004F20BD"/>
    <w:rsid w:val="0066043F"/>
    <w:rsid w:val="00662183"/>
    <w:rsid w:val="006B0BBF"/>
    <w:rsid w:val="00A36095"/>
    <w:rsid w:val="00AB3722"/>
    <w:rsid w:val="00B92BBF"/>
    <w:rsid w:val="00CF682C"/>
    <w:rsid w:val="00DD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09B6"/>
  <w15:chartTrackingRefBased/>
  <w15:docId w15:val="{16EE4D2E-2227-422F-88B6-A4BC4DE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4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_Sup"/>
    <w:uiPriority w:val="99"/>
    <w:rsid w:val="0066043F"/>
    <w:rPr>
      <w:vertAlign w:val="superscript"/>
    </w:rPr>
  </w:style>
  <w:style w:type="character" w:styleId="Hyperlink">
    <w:name w:val="Hyperlink"/>
    <w:rsid w:val="0066043F"/>
    <w:rPr>
      <w:color w:val="0000FF"/>
      <w:u w:val="single"/>
    </w:rPr>
  </w:style>
  <w:style w:type="character" w:customStyle="1" w:styleId="Italic">
    <w:name w:val="_Italic"/>
    <w:uiPriority w:val="99"/>
    <w:rsid w:val="00660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hamb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3726</Words>
  <Characters>21244</Characters>
  <Application>Microsoft Office Word</Application>
  <DocSecurity>0</DocSecurity>
  <Lines>177</Lines>
  <Paragraphs>49</Paragraphs>
  <ScaleCrop>false</ScaleCrop>
  <Company>Federal Justice Belgium</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Failla Jessica</dc:creator>
  <cp:keywords>class='Internal'</cp:keywords>
  <dc:description/>
  <cp:lastModifiedBy>Dimitris Dimitriadis</cp:lastModifiedBy>
  <cp:revision>4</cp:revision>
  <dcterms:created xsi:type="dcterms:W3CDTF">2024-06-20T13:27:00Z</dcterms:created>
  <dcterms:modified xsi:type="dcterms:W3CDTF">2024-06-27T10:04:00Z</dcterms:modified>
</cp:coreProperties>
</file>