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7B694" w14:textId="1523D237" w:rsidR="00681F68" w:rsidRDefault="00681F68">
      <w:pPr>
        <w:pStyle w:val="BodyText"/>
        <w:spacing w:line="20" w:lineRule="exact"/>
        <w:ind w:left="166"/>
        <w:rPr>
          <w:rFonts w:ascii="Times New Roman"/>
          <w:sz w:val="2"/>
        </w:rPr>
      </w:pPr>
    </w:p>
    <w:p w14:paraId="58443490" w14:textId="77777777" w:rsidR="00681F68" w:rsidRDefault="00555CF7" w:rsidP="00287046">
      <w:pPr>
        <w:spacing w:before="1"/>
        <w:ind w:left="1560" w:right="1612"/>
        <w:jc w:val="center"/>
        <w:rPr>
          <w:b/>
          <w:sz w:val="30"/>
        </w:rPr>
      </w:pPr>
      <w:r>
        <w:rPr>
          <w:b/>
          <w:sz w:val="30"/>
        </w:rPr>
        <w:t>Ι. ΓΕΝΙΚΕΣ ΔΙΑΤΑΞΕΙΣ</w:t>
      </w:r>
    </w:p>
    <w:p w14:paraId="4BA164BC" w14:textId="77777777" w:rsidR="00681F68" w:rsidRDefault="00681F68" w:rsidP="00287046">
      <w:pPr>
        <w:pStyle w:val="BodyText"/>
        <w:spacing w:before="9"/>
        <w:ind w:left="1560" w:right="1612"/>
        <w:jc w:val="center"/>
        <w:rPr>
          <w:b/>
          <w:sz w:val="30"/>
        </w:rPr>
      </w:pPr>
    </w:p>
    <w:p w14:paraId="09A253C5" w14:textId="77777777" w:rsidR="00681F68" w:rsidRDefault="00555CF7" w:rsidP="00287046">
      <w:pPr>
        <w:spacing w:line="230" w:lineRule="auto"/>
        <w:ind w:left="1560" w:right="1612"/>
        <w:jc w:val="center"/>
        <w:rPr>
          <w:sz w:val="39"/>
        </w:rPr>
      </w:pPr>
      <w:r>
        <w:rPr>
          <w:sz w:val="39"/>
        </w:rPr>
        <w:t>ΥΠΟΥΡΓΕΙΟ ΨΗΦΙΑΚΟΥ ΜΕΤΑΣΧΗΜΑΤΙΣΜΟΥ ΚΑΙ ΔΗΜΟΣΙΑΣ ΥΠΗΡΕΣΙΑΣ</w:t>
      </w:r>
    </w:p>
    <w:p w14:paraId="33746D61" w14:textId="5A66A1B2" w:rsidR="00681F68" w:rsidRDefault="00555CF7">
      <w:pPr>
        <w:spacing w:before="296" w:line="240" w:lineRule="exact"/>
        <w:ind w:left="2604" w:right="1582" w:hanging="1021"/>
        <w:jc w:val="both"/>
        <w:rPr>
          <w:i/>
          <w:sz w:val="20"/>
        </w:rPr>
      </w:pPr>
      <w:r>
        <w:rPr>
          <w:b/>
          <w:sz w:val="24"/>
        </w:rPr>
        <w:t xml:space="preserve">8716  </w:t>
      </w:r>
      <w:r>
        <w:rPr>
          <w:b/>
          <w:sz w:val="24"/>
        </w:rPr>
        <w:tab/>
      </w:r>
      <w:r>
        <w:rPr>
          <w:i/>
          <w:sz w:val="20"/>
        </w:rPr>
        <w:t>Βασιλικό διάταγμα 444/2024 της 30ής Απριλίου για τη ρύθμιση των απαιτήσεων όσον αφορά στον χαρακτηρισμό χρήστη ιδιαίτερης σημασίας για τις υπηρεσίες πλατφόρμας διαμοιρασμού βίντεο κατ’ εφαρμογή του άρθρου 94 του γενικού νόμου 13/2022 της 7ης Ιουλίου 2022 για την οπτικοακουστική επικοινωνία.</w:t>
      </w:r>
    </w:p>
    <w:p w14:paraId="149500A7" w14:textId="77777777" w:rsidR="00681F68" w:rsidRDefault="00681F68">
      <w:pPr>
        <w:pStyle w:val="BodyText"/>
        <w:spacing w:before="78"/>
        <w:rPr>
          <w:i/>
        </w:rPr>
      </w:pPr>
    </w:p>
    <w:p w14:paraId="3346B50D" w14:textId="77777777" w:rsidR="00681F68" w:rsidRDefault="00555CF7">
      <w:pPr>
        <w:pStyle w:val="Heading2"/>
      </w:pPr>
      <w:r>
        <w:t>I</w:t>
      </w:r>
    </w:p>
    <w:p w14:paraId="3A9C77E8" w14:textId="77777777" w:rsidR="00681F68" w:rsidRDefault="00555CF7">
      <w:pPr>
        <w:pStyle w:val="BodyText"/>
        <w:spacing w:before="180" w:line="249" w:lineRule="auto"/>
        <w:ind w:left="1584" w:right="1581" w:firstLine="340"/>
        <w:jc w:val="both"/>
      </w:pPr>
      <w:r>
        <w:t>Η θέσπιση του γενικού νόμου 13/2022, της 7ης Ιουλίου 2022, για την οπτικοακουστική επικοινωνία οδήγησε στη μεταφορά στο ισπανικό δίκαιο της οδηγίας (EE) 2018/1808 του Ευρωπαϊκού Κοινοβουλίου και του Συμβουλίου, της 14ης Νοεμβρίου 2018, για την τροποποίηση της οδηγίας 2010/13/ΕΕ για τον συντονισμό ορισμένων νομοθετικών, κανονιστικών και διοικητικών διατάξεων των κρατών μελών σχετικά με την παροχή υπηρεσιών οπτικοακουστικών μέσων.</w:t>
      </w:r>
    </w:p>
    <w:p w14:paraId="1FB0E45D" w14:textId="77777777" w:rsidR="00681F68" w:rsidRDefault="00555CF7">
      <w:pPr>
        <w:pStyle w:val="BodyText"/>
        <w:spacing w:before="5" w:line="249" w:lineRule="auto"/>
        <w:ind w:left="1584" w:right="1581" w:firstLine="340"/>
        <w:jc w:val="both"/>
      </w:pPr>
      <w:r>
        <w:t>Βάσει της προαναφερθείσας οδηγίας, ο νόμος 13/2022 της 7ης Ιουλίου θεσπίστηκε με σκοπό τη θέσπιση επικαιροποιημένου νομικού πλαισίου βάσει της εξέλιξης της οπτικοακουστικής αγοράς τα τελευταία χρόνια που επιτρέπει την επίτευξη ισορροπίας μεταξύ της πρόσβασης στο περιεχόμενο, της προστασίας των χρηστών και του ανταγωνισμού μεταξύ των διαφόρων παρόχων στην αγορά, με τη συμπερίληψη, υπό ίσους όρους, όλων των παραγόντων που ανταγωνίζονται για το ίδιο κοινό.</w:t>
      </w:r>
    </w:p>
    <w:p w14:paraId="60357888" w14:textId="77777777" w:rsidR="00681F68" w:rsidRDefault="00681F68">
      <w:pPr>
        <w:pStyle w:val="BodyText"/>
        <w:spacing w:before="58"/>
      </w:pPr>
    </w:p>
    <w:p w14:paraId="7E5DF4CF" w14:textId="77777777" w:rsidR="00681F68" w:rsidRDefault="00555CF7">
      <w:pPr>
        <w:pStyle w:val="Heading2"/>
        <w:spacing w:before="1"/>
      </w:pPr>
      <w:r>
        <w:t>II</w:t>
      </w:r>
    </w:p>
    <w:p w14:paraId="7585AF9E" w14:textId="77777777" w:rsidR="00681F68" w:rsidRDefault="00555CF7">
      <w:pPr>
        <w:pStyle w:val="BodyText"/>
        <w:spacing w:before="180" w:line="249" w:lineRule="auto"/>
        <w:ind w:left="1584" w:right="1581" w:firstLine="340"/>
        <w:jc w:val="both"/>
      </w:pPr>
      <w:r>
        <w:t>Η επίτευξη αυτού του στόχου οδήγησε στη συμπερίληψη των παρόχων της υπηρεσίας πλατφόρμας διαμοιρασμού βίντεο στο πεδίο εφαρμογής της οδηγίας, δεδομένης της αυξανόμενης σημασίας που έχουν αποκτήσει στην παραγωγή και τη διάδοση οπτικοακουστικού περιεχομένου και οπτικοακουστικών εμπορικών ανακοινώσεων. Συνδεδεμένες με αυτές τις υπηρεσίες είναι οι υπηρεσίες μέσων ενημέρωσης ή μέσων κοινωνικής δικτύωσης η βασική λειτουργικότητα των οποίων επιτρέπει τον διαμοιρασμό βίντεο, δεδομένου ότι έχουν καταστεί σημαντικό μέσο ανταλλαγής πληροφοριών, ψυχαγωγίας και εκπαίδευσης, ιδίως μέσω της πρόσβασης σε προγράμματα και βίντεο που παράγονται από χρήστες.</w:t>
      </w:r>
    </w:p>
    <w:p w14:paraId="24AF3B82" w14:textId="77777777" w:rsidR="00681F68" w:rsidRDefault="00555CF7">
      <w:pPr>
        <w:pStyle w:val="BodyText"/>
        <w:spacing w:before="6" w:line="249" w:lineRule="auto"/>
        <w:ind w:left="1584" w:right="1582" w:firstLine="340"/>
        <w:jc w:val="both"/>
      </w:pPr>
      <w:r>
        <w:t>Στο πλαίσιο αυτό, ο νόμος 13/2022, της 7ης Ιουλίου 2022, σύμφωνα με τις διατάξεις της οδηγίας (ΕΕ) 2018/1808 του Ευρωπαϊκού Κοινοβουλίου και του Συμβουλίου, της 14ης Νοεμβρίου 2018, περιλαμβάνει στο άρθρο 2 παράγραφοι 13 και 17 ορισμό της υπηρεσίας πλατφόρμας διαμοιρασμού βίντεο και του παρόχου της, αντίστοιχα. Ομοίως, αφιερώνει τον τίτλο V στη ρύθμιση των παρόχων της υπηρεσίας πλατφόρμας διαμοιρασμού βίντεο, θεσπίζοντας ένα σύνολο υποχρεώσεων που αποσκοπούν στη διασφάλιση της προστασίας των χρηστών τους εν γένει και, ιδίως, των ανηλίκων, από ορισμένα οπτικοακουστικά περιεχόμενα και οπτικοακουστικές εμπορικές ανακοινώσεις.</w:t>
      </w:r>
    </w:p>
    <w:p w14:paraId="718AAE7C" w14:textId="1B46A6C6" w:rsidR="00681F68" w:rsidRDefault="00555CF7">
      <w:pPr>
        <w:pStyle w:val="BodyText"/>
        <w:spacing w:before="8" w:line="249" w:lineRule="auto"/>
        <w:ind w:left="1584" w:right="1581" w:firstLine="340"/>
        <w:jc w:val="both"/>
      </w:pPr>
      <w:r>
        <w:t xml:space="preserve">Ειδικότερα, το άρθρο 88 του νόμου 13/2022, της 7ης Ιουλίου 2022, επιβάλλει στους παρόχους της υπηρεσίας πλατφόρμας διαμοιρασμού βίντεο την υποχρέωση να λαμβάνουν μέτρα για την προστασία των ανηλίκων από προγράμματα, βίντεο που παράγονται από χρήστες και οπτικοακουστικές εμπορικές ανακοινώσεις που ενδέχεται να βλάψουν τη σωματική, νοητική ή ηθική τους ανάπτυξη. Από την άλλη πλευρά, οι εν λόγω πάροχοι πρέπει να θεσπίσουν μέτρα για την προστασία του ευρέος κοινού από προγράμματα, βίντεο που παράγονται από χρήστες και οπτικοακουστικές εμπορικές ανακοινώσεις που δεν συμμορφώνονται με το άρθρο 4 παράγραφοι 2 και 4 του νόμου 13/2022 της 7ης Ιουλίου 2022. Τα μέτρα προστασίας που αναφέρονται ανωτέρω καθορίζονται στα άρθρα 89, 90 και </w:t>
      </w:r>
      <w:r>
        <w:lastRenderedPageBreak/>
        <w:t>91.</w:t>
      </w:r>
    </w:p>
    <w:p w14:paraId="793499DA" w14:textId="77777777" w:rsidR="00681F68" w:rsidRDefault="00555CF7">
      <w:pPr>
        <w:pStyle w:val="BodyText"/>
        <w:spacing w:before="1" w:line="249" w:lineRule="auto"/>
        <w:ind w:left="1584" w:right="1581" w:firstLine="340"/>
        <w:jc w:val="both"/>
      </w:pPr>
      <w:r>
        <w:t>Οι προαναφερθείσες υποχρεώσεις ισχύουν επίσης για τις υπηρεσίες μέσων ενημέρωσης ή μέσων κοινωνικής δικτύωσης στον βαθμό που μπορούν να καλύπτονται από τον ορισμό της «υπηρεσίας πλατφόρμας διαμοιρασμού βίντεο». Ένα από τα κύρια οπτικοακουστικά περιεχόμενα που προσφέρονται από αυτές τις υπηρεσίες είναι τα βίντεο που παράγονται από τους χρήστες και μεταφορτώνονται στην πλατφόρμα από τους εν λόγω χρήστες ή από οποιονδήποτε άλλο. Στο πλαίσιο του συνόλου των χρηστών αυτών των υπηρεσιών, ξεχωρίζει κυρίως μια συγκεκριμένη κατηγορία: τα άτομα που συνήθως αναφέρονται ως «vloggers», «influencers» ή «δημιουργοί περιεχομένου», τα οποία έχουν ιδιαίτερη σημασία στην οπτικοακουστική αγορά από την άποψη της κατανάλωσης και των διαφημιστικών επενδύσεων, ιδίως όσον αφορά στο νεανικό κοινό.</w:t>
      </w:r>
    </w:p>
    <w:p w14:paraId="71FF3A40" w14:textId="77777777" w:rsidR="00681F68" w:rsidRDefault="00555CF7">
      <w:pPr>
        <w:pStyle w:val="BodyText"/>
        <w:spacing w:before="8" w:line="249" w:lineRule="auto"/>
        <w:ind w:left="1584" w:right="1582" w:firstLine="340"/>
        <w:jc w:val="both"/>
      </w:pPr>
      <w:r>
        <w:t>Ως εκ τούτου, η εμφάνιση και η εδραίωση αυτών των νέων παραγόντων απαιτεί ένα νομικό πλαίσιο που να αντικατοπτρίζει την πρόοδο της αγοράς και να επιτρέπει την επίτευξη ισορροπίας στο οπτικοακουστικό οικοσύστημα στο οποίο όλοι οι παράγοντές του υπόκεινται σε παρόμοιους κανόνες. Δεδομένου ότι οι «influencers» ασκούν τη δραστηριότητά τους σε ανταγωνισμό με άλλους παίκτες της αγοράς των οπτικοακουστικών μέσων και της διαφήμισης και έχουν ορισμένα χαρακτηριστικά παρόμοια με τους παρόχους υπηρεσιών οπτικοακουστικών μέσων, είναι επομένως σκόπιμο να εφαρμοστεί σε αυτούς ένα σύνολο υποχρεώσεων παρεμφερών με τις υποχρεώσεις των εν λόγω παρόχων υπηρεσιών οπτικοακουστικών μέσων.</w:t>
      </w:r>
    </w:p>
    <w:p w14:paraId="676AA567" w14:textId="77777777" w:rsidR="00681F68" w:rsidRDefault="00555CF7">
      <w:pPr>
        <w:pStyle w:val="BodyText"/>
        <w:spacing w:before="6" w:line="249" w:lineRule="auto"/>
        <w:ind w:left="1584" w:right="1582" w:firstLine="340"/>
        <w:jc w:val="both"/>
      </w:pPr>
      <w:r>
        <w:t>Η πρόοδος όσον αφορά την εξίσωση μεταξύ των «influencers» και των άλλων παρόχων υπηρεσιών οπτικοακουστικών μέσων ανταποκρίνεται στην ανάγκη να διασφαλιστεί ο σεβασμός των βασικών αρχών της οπτικοακουστικής επικοινωνίας και να διασφαλιστεί η προστασία του ευρέος κοινού, και ιδίως των ανηλίκων, από το επιβλαβές οπτικοακουστικό περιεχόμενο και τις εμπορικές ανακοινώσεις.</w:t>
      </w:r>
    </w:p>
    <w:p w14:paraId="01585FE0" w14:textId="77777777" w:rsidR="00681F68" w:rsidRDefault="00681F68">
      <w:pPr>
        <w:pStyle w:val="BodyText"/>
        <w:spacing w:before="58"/>
      </w:pPr>
    </w:p>
    <w:p w14:paraId="3662C6BA" w14:textId="77777777" w:rsidR="00681F68" w:rsidRDefault="00555CF7">
      <w:pPr>
        <w:pStyle w:val="Heading2"/>
      </w:pPr>
      <w:r>
        <w:t>III</w:t>
      </w:r>
    </w:p>
    <w:p w14:paraId="066EA9D0" w14:textId="77777777" w:rsidR="00681F68" w:rsidRDefault="00555CF7">
      <w:pPr>
        <w:pStyle w:val="BodyText"/>
        <w:spacing w:before="180" w:line="249" w:lineRule="auto"/>
        <w:ind w:left="1584" w:right="1581" w:firstLine="340"/>
        <w:jc w:val="both"/>
      </w:pPr>
      <w:r>
        <w:t>Όσον αφορά τους «influencers», η οδηγία (ΕΕ) 2018/1808 του Ευρωπαϊκού Κοινοβουλίου και του Συμβουλίου, της 14ης Νοεμβρίου 2018, δεν τους συμπεριέλαβε ρητώς στο πεδίο εφαρμογής της, παρέχοντας στα κράτη μέλη ευχέρεια ως προς τη ρύθμισή τους. Εν προκειμένω, αναφέρεται σε αυτό το ζήτημα μόνον στην αιτιολογική σκέψη 3: οι τηλεοπτικοί σταθμοί ή κάθε άλλη οπτικοακουστική υπηρεσία υπό τη συντακτική ευθύνη παρόχου υπηρεσιών μπορούν να συνιστούν αφ’ εαυτών υπηρεσίες οπτικοακουστικών μέσων, ακόμη και εάν παρέχονται σε πλατφόρμα διαμοιρασμού βίντεο, χαρακτηριστικό της οποίας είναι η απουσία συντακτικής ευθύνης. Από την πλευρά της, η Ομάδα Ευρωπαϊκών Ρυθμιστικών Αρχών για τις Υπηρεσίες Οπτικοακουστικών Μέσων (ERGA), έχει εκδώσει αρκετές εκθέσεις σχετικά με τη δυνατότητα να αποδοθεί στους «vloggers» το καθεστώς των παρόχων υπηρεσιών οπτικοακουστικών μέσων και τα κριτήρια που πρέπει να τηρούνται για τη ρύθμιση της δραστηριότητάς τους.</w:t>
      </w:r>
    </w:p>
    <w:p w14:paraId="5E754024" w14:textId="77777777" w:rsidR="00681F68" w:rsidRDefault="00555CF7">
      <w:pPr>
        <w:pStyle w:val="BodyText"/>
        <w:spacing w:before="10" w:line="249" w:lineRule="auto"/>
        <w:ind w:left="1584" w:right="1581" w:firstLine="340"/>
        <w:jc w:val="both"/>
      </w:pPr>
      <w:r>
        <w:t>Εν προκειμένω, ορισμένα κράτη μέλη έχουν θεσπίσει το δικό τους νομικό καθεστώς για τους «influencers» στο αντίστοιχο εθνικό νομικό τους σύστημα. Μολονότι οι διάφοροι κανονισμοί παρεκκλίνουν, στις περισσότερες περιπτώσεις, από την αρχή της θεωρήσεως των «influencers» ως τύπου παρόχου υπηρεσιών οπτικοακουστικών μέσων, δεν είναι ομοιογενείς όσον αφορά τα ειδικά κριτήρια που πρέπει να ληφθούν υπόψη και τις υποχρεώσεις που ισχύουν γι’ αυτούς.</w:t>
      </w:r>
    </w:p>
    <w:p w14:paraId="532A8C07" w14:textId="495612EE" w:rsidR="00681F68" w:rsidRDefault="00555CF7">
      <w:pPr>
        <w:pStyle w:val="BodyText"/>
        <w:spacing w:before="5" w:line="249" w:lineRule="auto"/>
        <w:ind w:left="1584" w:right="1581" w:firstLine="340"/>
        <w:jc w:val="both"/>
      </w:pPr>
      <w:r>
        <w:t>Έχοντας επίγνωση της αυξανόμενης επιρροής των θεμάτων αυτών στην ισπανική, ευρωπαϊκή και διεθνή αγορά οπτικοακουστικών μέσων και διαφήμισης εν γένει, ο Ισπανός νομοθέτης επέλεξε επίσης να ρυθμίσει, πέραν των διατάξεων αναγκαστικού δικαίου της οδηγίας (ΕΕ) 2018/1808 του Ευρωπαϊκού Κοινοβουλίου και του Συμβουλίου, της 14ης Νοεμβρίου 2018, τον ρόλο των «influencers» στο άρθρο 94 του νόμου 13/2022, της 7ης Ιουλίου 2022, τους οποίους αναφέρει ως «χρήστες ιδιαίτερης σημασίας που χρησιμοποιούν υπηρεσίες πλατφόρμας διαμοιρασμού βίντεο».</w:t>
      </w:r>
    </w:p>
    <w:p w14:paraId="0A0521AD" w14:textId="2279F069" w:rsidR="00681F68" w:rsidRDefault="00555CF7" w:rsidP="00370940">
      <w:pPr>
        <w:pStyle w:val="BodyText"/>
        <w:spacing w:before="6" w:line="249" w:lineRule="auto"/>
        <w:ind w:left="1584" w:right="1582" w:firstLine="340"/>
        <w:jc w:val="both"/>
        <w:rPr>
          <w:sz w:val="13"/>
        </w:rPr>
      </w:pPr>
      <w:r>
        <w:t>Το ισπανικό μοντέλο βασίζεται στην αφομοίωση των χρηστών ιδιαίτερης σημασίας ως συγκεκριμένου τύπου παρόχων υπηρεσιών οπτικοακουστικών μέσων. Ωστόσο, δεδομένης της φύσης της υπηρεσίας και των νέων και καινοτόμων χαρακτηριστικών της, δεν εξομοιώνονται πλήρως με άλλους παρόχους υπηρεσιών οπτικοακουστικών μέσων, ούτε ισχύουν για αυτούς όλες οι υποχρεώσεις των τελευταίων.</w:t>
      </w:r>
    </w:p>
    <w:p w14:paraId="01E9B322" w14:textId="55298A8C" w:rsidR="00681F68" w:rsidRDefault="00681F68">
      <w:pPr>
        <w:pStyle w:val="BodyText"/>
        <w:spacing w:line="20" w:lineRule="exact"/>
        <w:ind w:left="166"/>
        <w:rPr>
          <w:sz w:val="2"/>
        </w:rPr>
      </w:pPr>
    </w:p>
    <w:p w14:paraId="56844D01" w14:textId="77777777" w:rsidR="00681F68" w:rsidRDefault="00681F68">
      <w:pPr>
        <w:pStyle w:val="BodyText"/>
        <w:spacing w:before="1" w:line="249" w:lineRule="auto"/>
        <w:ind w:left="1584" w:right="1582"/>
        <w:jc w:val="both"/>
      </w:pPr>
    </w:p>
    <w:p w14:paraId="2C8B02F2" w14:textId="77777777" w:rsidR="00681F68" w:rsidRDefault="00555CF7">
      <w:pPr>
        <w:pStyle w:val="BodyText"/>
        <w:spacing w:before="1" w:line="249" w:lineRule="auto"/>
        <w:ind w:left="1584" w:right="1582" w:firstLine="340"/>
        <w:jc w:val="both"/>
      </w:pPr>
      <w:r>
        <w:t>Ως εκ τούτου, το άρθρο 94 παράγραφος 1 του νόμου 13/2022, της 7ης Ιουλίου 2022, θεωρεί ότι οι χρήστες που έχουν ιδιαίτερη σημασία είναι πάροχοι υπηρεσιών οπτικοακουστικών μέσων για τους σκοπούς της τήρησης των γενικών αρχών παροχής της υπηρεσίας πλατφόρμας διαμοιρασμού βίντεο που περιέχονται στο άρθρο 86 του προαναφερθέντος νόμου και της τήρησης των υποχρεώσεων προστασίας των ανηλίκων και των οπτικοακουστικών εμπορικών ανακοινώσεων, οι οποίες προβλέπονται στο άρθρο 99 παράγραφοι 1 και 4, και στα τμήματα 1 και 2 του κεφαλαίου IV του τίτλου VI του προαναφερθέντος νόμου, αντιστοίχως.</w:t>
      </w:r>
    </w:p>
    <w:p w14:paraId="6BFCC0BF" w14:textId="77777777" w:rsidR="00681F68" w:rsidRDefault="00555CF7">
      <w:pPr>
        <w:pStyle w:val="BodyText"/>
        <w:spacing w:before="6" w:line="249" w:lineRule="auto"/>
        <w:ind w:left="1584" w:right="1582" w:firstLine="340"/>
        <w:jc w:val="both"/>
      </w:pPr>
      <w:r>
        <w:t>Από την πλευρά του, το άρθρο 94 παράγραφος 3 του νόμου 13/2022 της 7ης Ιουλίου 2022 περιλαμβάνει κατάλογο των θεμάτων που εξαιρούνται από τη συμμόρφωση με τις υποχρεώσεις που ορίζονται στο άρθρο 94 παράγραφος 1, ενώ το άρθρο 94 παράγραφος 4 θεσπίζει την υποχρέωση των χρηστών που έχουν ιδιαίτερη σημασία να εγγραφούν στο κρατικό μητρώο που προβλέπεται στο άρθρο 39 του προαναφερθέντος νόμου.</w:t>
      </w:r>
    </w:p>
    <w:p w14:paraId="5A7B607D" w14:textId="77777777" w:rsidR="00681F68" w:rsidRDefault="00555CF7">
      <w:pPr>
        <w:pStyle w:val="BodyText"/>
        <w:spacing w:before="3" w:line="249" w:lineRule="auto"/>
        <w:ind w:left="1584" w:right="1582" w:firstLine="340"/>
        <w:jc w:val="both"/>
      </w:pPr>
      <w:r>
        <w:t>Από την άλλη πλευρά, το άρθρο 94 παράγραφος 2 του νόμου 13/2022, της 7ης Ιουλίου 2022, καθορίζει τις απαιτήσεις για το πότε οι χρήστες υπηρεσιών πλατφόρμας διαμοιρασμού βίντεο θεωρούνται «χρήστες ιδιαίτερης σημασίας». Ο καθορισμός αυτών των απαιτήσεων πραγματοποιήθηκε λαμβάνοντας υπόψη τις συστάσεις που περιέχονται στις εκθέσεις της ERGA, δεδομένου ότι πληρούν τα κριτήρια που τους επιτρέπουν να εξομοιώνονται με τους παρόχους υπηρεσιών οπτικοακουστικών μέσων.</w:t>
      </w:r>
    </w:p>
    <w:p w14:paraId="4A31740D" w14:textId="77777777" w:rsidR="00681F68" w:rsidRDefault="00555CF7">
      <w:pPr>
        <w:pStyle w:val="BodyText"/>
        <w:spacing w:before="5" w:line="249" w:lineRule="auto"/>
        <w:ind w:left="1584" w:right="1582" w:firstLine="340"/>
        <w:jc w:val="both"/>
      </w:pPr>
      <w:r>
        <w:t>Από τις απαιτήσεις αυτές, το στοιχείο α) αναφέρεται στο «σημαντικό εισόδημα» που πρέπει να αποκομίζουν οι χρήστες ιδιαίτερης σημασίας κατά την εκτέλεση των δραστηριοτήτων τους σε υπηρεσίες πλατφόρμας διαμοιρασμού βίντεο. Από την πλευρά του, το στοιχείο γ) αφορά το κοινό που πρέπει να προσεγγίζουν οι χρήστες με ιδιαίτερη σημασία μέσω των δραστηριοτήτων τους στις εν λόγω υπηρεσίες.</w:t>
      </w:r>
    </w:p>
    <w:p w14:paraId="663DEBFD" w14:textId="77777777" w:rsidR="00681F68" w:rsidRDefault="00555CF7">
      <w:pPr>
        <w:pStyle w:val="BodyText"/>
        <w:spacing w:before="4" w:line="249" w:lineRule="auto"/>
        <w:ind w:left="1584" w:right="1582" w:firstLine="340"/>
        <w:jc w:val="both"/>
      </w:pPr>
      <w:r>
        <w:t>Η διάταξη αυτή δεν προβλέπει τις απαιτήσεις του άρθρου 94 παράγραφος 2 στοιχεία α) και γ). Στο πλαίσιο αυτό, η έβδομη τελική διάταξη του νόμου 13/2022 της 7ης Ιουλίου 2022 παραπέμπει στις διατάξεις που είναι αναγκαίες για την ανάπτυξη και την εφαρμογή του άρθρου 94. Στην πραγματικότητα, η έναρξη ισχύος του παρόντος άρθρου υπόκειται στην έκδοση των κανονισμών που διευκρινίζουν τις εν λόγω απαιτήσεις, σύμφωνα με το τέταρτο εδάφιο της ένατης τελικής διάταξης του νόμου 13/2022 της 7ης Ιουλίου 2022.</w:t>
      </w:r>
    </w:p>
    <w:p w14:paraId="70933DDF" w14:textId="77777777" w:rsidR="00681F68" w:rsidRDefault="00555CF7">
      <w:pPr>
        <w:pStyle w:val="BodyText"/>
        <w:spacing w:before="5" w:line="249" w:lineRule="auto"/>
        <w:ind w:left="1584" w:right="1582" w:firstLine="340"/>
        <w:jc w:val="both"/>
      </w:pPr>
      <w:r>
        <w:t>Έτσι, σύμφωνα με την έβδομη τελική διάταξη του νόμου 13/2022 της 7ης Ιουλίου 2022, το παρόν βασιλικό διάταγμα καταρτίζεται με σκοπό τον προσδιορισμό των απαιτήσεων του άρθρου 94 παράγραφος 2 στοιχεία α) και γ), η έγκριση του οποίου συνεπάγεται την έναρξη ισχύος του άρθρου 94.</w:t>
      </w:r>
    </w:p>
    <w:p w14:paraId="5BB9829B" w14:textId="77777777" w:rsidR="00681F68" w:rsidRDefault="00681F68">
      <w:pPr>
        <w:pStyle w:val="BodyText"/>
        <w:spacing w:before="57"/>
      </w:pPr>
    </w:p>
    <w:p w14:paraId="76D4520A" w14:textId="77777777" w:rsidR="00681F68" w:rsidRDefault="00555CF7">
      <w:pPr>
        <w:pStyle w:val="Heading2"/>
      </w:pPr>
      <w:r>
        <w:t>IV</w:t>
      </w:r>
    </w:p>
    <w:p w14:paraId="4A5C52C0" w14:textId="77777777" w:rsidR="00681F68" w:rsidRDefault="00555CF7">
      <w:pPr>
        <w:pStyle w:val="BodyText"/>
        <w:spacing w:before="180" w:line="249" w:lineRule="auto"/>
        <w:ind w:left="1584" w:right="1582" w:firstLine="339"/>
        <w:jc w:val="both"/>
      </w:pPr>
      <w:r>
        <w:t>Όσον αφορά τη διάρθρωση, το βασιλικό διάταγμα αποτελείται από τέσσερα άρθρα διαρθρωμένα σε δύο κεφάλαια, μία συμπληρωματική διάταξη και τρεις τελικές διατάξεις.</w:t>
      </w:r>
    </w:p>
    <w:p w14:paraId="52DF792C" w14:textId="77777777" w:rsidR="00681F68" w:rsidRDefault="00555CF7">
      <w:pPr>
        <w:pStyle w:val="BodyText"/>
        <w:spacing w:before="2" w:line="249" w:lineRule="auto"/>
        <w:ind w:left="1584" w:right="1582" w:firstLine="340"/>
        <w:jc w:val="both"/>
      </w:pPr>
      <w:r>
        <w:t>Το κεφάλαιο Ι περιλαμβάνει το αντικείμενο και το πεδίο εφαρμογής του βασιλικού διατάγματος. Στο κεφάλαιο ΙΙ προσδιορίζονται οι σημαντικές απαιτήσεις εισοδήματος και κοινού που ορίζονται στα στοιχεία α) και γ) αντίστοιχα του άρθρου 94 παράγραφος 2 του νόμου 13/2022 της 7ης Ιουλίου 2022.</w:t>
      </w:r>
    </w:p>
    <w:p w14:paraId="62387CA0" w14:textId="77777777" w:rsidR="00681F68" w:rsidRDefault="00555CF7">
      <w:pPr>
        <w:pStyle w:val="BodyText"/>
        <w:spacing w:before="2" w:line="249" w:lineRule="auto"/>
        <w:ind w:left="1584" w:right="1581" w:firstLine="340"/>
        <w:jc w:val="both"/>
      </w:pPr>
      <w:r>
        <w:t>Επιπλέον, και σύμφωνα με τις διατάξεις του άρθρου 129 του νόμου 39/2015 της 1ης Οκτωβρίου 2015, το παρόν βασιλικό διάταγμα καταρτίστηκε σύμφωνα με τις αρχές της αναγκαιότητας, της αποτελεσματικότητας, της αναλογικότητας, της ασφάλειας δικαίου, της διαφάνειας και της αποδοτικότητας.</w:t>
      </w:r>
    </w:p>
    <w:p w14:paraId="2C11F8B1" w14:textId="3DCF6A67" w:rsidR="00681F68" w:rsidRDefault="00555CF7">
      <w:pPr>
        <w:pStyle w:val="BodyText"/>
        <w:spacing w:before="3" w:line="249" w:lineRule="auto"/>
        <w:ind w:left="1584" w:right="1580" w:firstLine="340"/>
        <w:jc w:val="both"/>
      </w:pPr>
      <w:r>
        <w:t>Πρώτον, τηρούνται οι αρχές της αναγκαιότητας και της αποτελεσματικότητας, στο μέτρο που η κανονιστική πρωτοβουλία αποσκοπεί στη διασφάλιση της ισορροπίας της οπτικοακουστικής αγοράς καθορίζοντας συγκεκριμένη κατηγορία χρηστών υπηρεσιών διαμοιρασμού βίντεο μέσω πλατφόρμας που πρέπει να συμμορφώνεται με βασικές υποχρεώσεις για την προστασία του ευρέος κοινού, και ιδίως των ανηλίκων, από το οπτικοακουστικό περιεχόμενο και τις οπτικοακουστικές εμπορικές ανακοινώσεις που είναι επιβλαβείς ή απαγορεύονται βάσει του νόμου 13/2022, της 7ης Ιουλίου 2022. Ομοίως, η ρύθμιση μέσω του βασιλικού διατάγματος αποτελεί το κατάλληλο μέσο για τη διασφάλιση συνολικής και συνεκτικής ρύθμισης των απαιτήσεων.</w:t>
      </w:r>
    </w:p>
    <w:p w14:paraId="2E46D771" w14:textId="77777777" w:rsidR="00681F68" w:rsidRPr="00A404F4" w:rsidRDefault="00681F68">
      <w:pPr>
        <w:spacing w:line="249" w:lineRule="auto"/>
        <w:jc w:val="both"/>
      </w:pPr>
    </w:p>
    <w:p w14:paraId="4839AE4B" w14:textId="77777777" w:rsidR="00681F68" w:rsidRDefault="00555CF7">
      <w:pPr>
        <w:pStyle w:val="BodyText"/>
        <w:spacing w:before="1" w:line="249" w:lineRule="auto"/>
        <w:ind w:left="1584" w:right="1581" w:firstLine="340"/>
        <w:jc w:val="both"/>
      </w:pPr>
      <w:r>
        <w:lastRenderedPageBreak/>
        <w:t>Όσον αφορά την αρχή της ασφάλειας δικαίου, το βασιλικό διάταγμα συνάδει με την υπόλοιπη εθνική έννομη τάξη, καθόσον συνιστά, σε συνδυασμό με τον νόμο 13/2022, της 7ης Ιουλίου 2022, ένα σταθερό, προβλέψιμο, ολοκληρωμένο και σαφές κανονιστικό πλαίσιο όσον αφορά τον χαρακτηρισμό κάποιου ως χρήστη με ιδιαίτερη σημασία, καθώς και τις υποχρεώσεις που συνεπάγεται αυτό το καθεστώς όταν υπόκειται στο πεδίο εφαρμογής του κανονισμού.</w:t>
      </w:r>
    </w:p>
    <w:p w14:paraId="67E0400C" w14:textId="77777777" w:rsidR="00681F68" w:rsidRDefault="00555CF7">
      <w:pPr>
        <w:pStyle w:val="BodyText"/>
        <w:spacing w:before="4" w:line="249" w:lineRule="auto"/>
        <w:ind w:left="1584" w:right="1581" w:firstLine="340"/>
        <w:jc w:val="both"/>
      </w:pPr>
      <w:r>
        <w:t>Όσον αφορά την αρχή της αναλογικότητας, οι κανονισμοί περιέχουν τους κανόνες που είναι αναγκαίοι για την επίτευξη των σκοπών που δικαιολογούν την έκδοσή τους, δεδομένου ότι περιορίζονται αυστηρά στη ρύθμιση των απαιτήσεων οι οποίες, ως νομική απαίτηση, απαιτούν κανονιστική ανάπτυξη. Η εκπλήρωση των εν λόγω απαιτήσεων καθοδηγείται, ανά πάσα στιγμή, από τη σχολαστική μελέτη των στοιχείων που δημοσιεύονται από ειδικούς δικτυακούς τόπους σχετικά με τα έσοδα και τα ποσοστά ακροαματικότητας των πιο γνωστών «influencers» που δραστηριοποιούνται στην Ισπανία, στην αγορά οπτικοακουστικών μέσων και διαφήμισης συγκρίσιμη με εκείνη άλλων παρόχων υπηρεσιών οπτικοακουστικών μέσων.</w:t>
      </w:r>
    </w:p>
    <w:p w14:paraId="2105ED2B" w14:textId="77777777" w:rsidR="00681F68" w:rsidRDefault="00555CF7">
      <w:pPr>
        <w:pStyle w:val="BodyText"/>
        <w:spacing w:before="7" w:line="249" w:lineRule="auto"/>
        <w:ind w:left="1584" w:right="1581" w:firstLine="340"/>
        <w:jc w:val="both"/>
      </w:pPr>
      <w:r>
        <w:t>Όσον αφορά την αρχή της διαφάνειας, η αιτιολογική έκθεση καθορίζει με σαφήνεια και ακρίβεια τους στόχους που επιδιώκονται με την παρούσα κανονιστική πρωτοβουλία και την αιτιολόγησή της. Με απόφαση του Υπουργικού Συμβουλίου της 5ης Δεκεμβρίου 2023, συμφωνήθηκε ότι το παρόν σχέδιο βασιλικού διατάγματος θα πρέπει να διεκπεραιωθεί επειγόντως λόγω έκτακτης περίστασης, όπως προβλέπεται στο άρθρο 27 παράγραφος 1 στοιχείο β) του νόμου 50/1997 της 27ης Νοεμβρίου 1997 σχετικά με την κυβέρνηση. Κατά συνέπεια, δεν ελήφθη υπόψη η διαδικασία δημόσιας διαβούλευσης που προβλέπεται στο άρθρο 26 παράγραφος 2 και άρθρο 27 παράγραφος 2 στοιχείο β) του νόμου 50/1997, της 27ης Νοεμβρίου 1997.</w:t>
      </w:r>
    </w:p>
    <w:p w14:paraId="7B68582B" w14:textId="77777777" w:rsidR="00681F68" w:rsidRDefault="00555CF7">
      <w:pPr>
        <w:pStyle w:val="BodyText"/>
        <w:spacing w:before="7" w:line="249" w:lineRule="auto"/>
        <w:ind w:left="1584" w:right="1581" w:firstLine="340"/>
        <w:jc w:val="both"/>
      </w:pPr>
      <w:r>
        <w:t>Πραγματοποιήθηκε δημόσια ακρόαση για τον οπτικοακουστικό τομέα και τις αυτόνομες κοινότητες, σύμφωνα με τις διατάξεις του άρθρου 26 παράγραφος 6 και του άρθρου 27 παράγραφος 2 στοιχείο β) του νόμου 50/1997, της 27ης Νοεμβρίου 1997, προκειμένου να μπορέσουν να λάβουν γνώση του περιεχομένου του σχεδίου κανονισμού, να παράσχουν συνδρομή και, εν τέλει, να βελτιώσουν το παρόν βασιλικό διάταγμα. Επιπλέον, έχει ληφθεί έκθεση από την Εθνική Επιτροπή Αγορών και Ανταγωνισμού, την Ισπανική Υπηρεσία Προστασίας Δεδομένων και το Συμβούλιο Καταναλωτών και Χρηστών.</w:t>
      </w:r>
    </w:p>
    <w:p w14:paraId="6D0B69BF" w14:textId="77777777" w:rsidR="00681F68" w:rsidRDefault="00555CF7">
      <w:pPr>
        <w:pStyle w:val="BodyText"/>
        <w:spacing w:before="5" w:line="249" w:lineRule="auto"/>
        <w:ind w:left="1584" w:right="1582" w:firstLine="340"/>
        <w:jc w:val="both"/>
      </w:pPr>
      <w:r>
        <w:t>Μολονότι η επείγουσα διεκπεραίωση έχει ως αποτέλεσμα την παράλειψη της διαδικασίας δημόσιας διαβούλευσης, έχει δοθεί η δυνατότητα στους αποδέκτες του κανονισμού να συμμετέχουν στη σύνταξη του κανονισμού μέσω της διαδικασίας δημόσιας ακρόασης.</w:t>
      </w:r>
    </w:p>
    <w:p w14:paraId="69E4B59A" w14:textId="77777777" w:rsidR="00681F68" w:rsidRDefault="00555CF7">
      <w:pPr>
        <w:pStyle w:val="BodyText"/>
        <w:spacing w:before="3" w:line="249" w:lineRule="auto"/>
        <w:ind w:left="1584" w:right="1581" w:firstLine="340"/>
        <w:jc w:val="both"/>
      </w:pPr>
      <w:r>
        <w:t>Όσον αφορά την αρχή της αποτελεσματικότητας, το παρόν βασιλικό διάταγμα δεν δημιουργεί νέο διοικητικό φόρτο για τους θιγόμενους από τον κανονισμό. Μολονότι η συμμόρφωση με τις απαιτήσεις για σημαντικά έσοδα και κοινό συνεπάγεται την υποχρέωση εγγραφής στο Κρατικό Μητρώο που προβλέπεται στο άρθρο 39 παράγραφος 2 στοιχείο ζ) του νόμου 13/2022 της 7ης Ιουλίου 2022, ο διοικητικός αυτός φόρτος έχει ήδη εξεταστεί και αξιολογηθεί δεόντως στην Έκθεση Ανάλυσης Κανονιστικού Αντικτύπου που αντιστοιχεί στο βασιλικό διάταγμα 1138/2023 της 19ης Δεκεμβρίου 2023 για τη ρύθμιση του Κρατικού Μητρώου των παρόχων υπηρεσιών οπτικοακουστικών μέσων, των παρόχων υπηρεσιών πλατφόρμας διαμοιρασμού βίντεο και των παρόχων υπηρεσιών συγκέντρωσης υπηρεσιών οπτικοακουστικών μέσων, καθώς και στη διαδικασία προηγούμενης κοινοποίησης της έναρξης δραστηριότητας.</w:t>
      </w:r>
    </w:p>
    <w:p w14:paraId="0617C079" w14:textId="06211280" w:rsidR="00681F68" w:rsidRDefault="00555CF7">
      <w:pPr>
        <w:pStyle w:val="BodyText"/>
        <w:spacing w:before="9" w:line="249" w:lineRule="auto"/>
        <w:ind w:left="1584" w:right="1581" w:firstLine="340"/>
        <w:jc w:val="both"/>
      </w:pPr>
      <w:r>
        <w:t>Κατά τη διάρκεια της διαδικασίας κατάρτισης του εν λόγω βασιλικού διατάγματος, ζητήθηκε έκθεση από τις υπουργικές υπηρεσίες των οποίων οι αρμοδιότητες θεωρήθηκαν ότι επηρεάζονται από τον κανονισμό, καθώς και η υποχρεωτική γνωμοδότηση του Συμβουλίου της Επικρατείας, σύμφωνα με τις διατάξεις του άρθρου 26 παράγραφοι 5, 7 και 9 του νόμου 50/1997 της 27ης Νοεμβρίου 1997.</w:t>
      </w:r>
    </w:p>
    <w:p w14:paraId="583F882B" w14:textId="77777777" w:rsidR="00681F68" w:rsidRDefault="00555CF7">
      <w:pPr>
        <w:pStyle w:val="BodyText"/>
        <w:spacing w:before="4" w:line="249" w:lineRule="auto"/>
        <w:ind w:left="1584" w:right="1582" w:firstLine="340"/>
        <w:jc w:val="both"/>
      </w:pPr>
      <w:r>
        <w:t xml:space="preserve">Τέλος, το παρόν βασιλικό διάταγμα έχει υπαχθεί στη διαδικασία που προβλέπεται στην οδηγία (ΕΕ) 2015/1535 του Ευρωπαϊκού Κοινοβουλίου και του Συμβουλίου, της 9ης Σεπτεμβρίου 2015, για την καθιέρωση μιας διαδικασίας πληροφόρησης στον τομέα των τεχνικών προδιαγραφών και των κανόνων σχετικά με τις υπηρεσίες της κοινωνίας των πληροφοριών, καθώς και στις διατάξεις του βασιλικού διατάγματος 1337/1999 της 31ης Ιουλίου 1999 που ρυθμίζει την παροχή πληροφοριών στον τομέα των τεχνικών προτύπων και κανονισμών και των κανόνων σχετικά με τις υπηρεσίες της κοινωνίας των </w:t>
      </w:r>
      <w:r>
        <w:lastRenderedPageBreak/>
        <w:t>πληροφοριών.</w:t>
      </w:r>
    </w:p>
    <w:p w14:paraId="7B359D60" w14:textId="17210F4A" w:rsidR="00681F68" w:rsidRPr="00A404F4" w:rsidRDefault="00681F68">
      <w:pPr>
        <w:pStyle w:val="BodyText"/>
        <w:spacing w:line="20" w:lineRule="exact"/>
        <w:ind w:left="166"/>
        <w:rPr>
          <w:sz w:val="2"/>
        </w:rPr>
      </w:pPr>
    </w:p>
    <w:p w14:paraId="73B76E32" w14:textId="77777777" w:rsidR="00681F68" w:rsidRDefault="00555CF7">
      <w:pPr>
        <w:pStyle w:val="BodyText"/>
        <w:spacing w:before="1" w:line="249" w:lineRule="auto"/>
        <w:ind w:left="1584" w:right="1582" w:firstLine="340"/>
        <w:jc w:val="both"/>
      </w:pPr>
      <w:r>
        <w:t>Το παρόν βασιλικό διάταγμα εκδίδεται σύμφωνα με τις διατάξεις του άρθρου 149 παράγραφος 1 σημείο 21 που εκχωρούν στο κράτος την αποκλειστική αρμοδιότητα σε θέματα τηλεπικοινωνιών και την εξουσιοδότηση για την κανονιστική ανάπτυξη του νόμου 13/2022 της 7ης Ιουλίου 2022.</w:t>
      </w:r>
    </w:p>
    <w:p w14:paraId="5F0B5EC9" w14:textId="77777777" w:rsidR="00681F68" w:rsidRDefault="00555CF7">
      <w:pPr>
        <w:pStyle w:val="BodyText"/>
        <w:spacing w:before="3" w:line="249" w:lineRule="auto"/>
        <w:ind w:left="1584" w:right="1582" w:firstLine="340"/>
        <w:jc w:val="both"/>
      </w:pPr>
      <w:r>
        <w:t>Δυνάμει αυτού, βάσει πρότασης του υπουργού Ψηφιακού Μετασχηματισμού και Δημόσιας Υπηρεσίας, σε συμφωνία με το Συμβούλιο της Επικρατείας, και κατόπιν διαβούλευσης του Υπουργικού Συμβουλίου κατά τη σύνοδό του στις 30 Απριλίου 2024,</w:t>
      </w:r>
    </w:p>
    <w:p w14:paraId="52403124" w14:textId="77777777" w:rsidR="00681F68" w:rsidRDefault="00681F68">
      <w:pPr>
        <w:pStyle w:val="BodyText"/>
        <w:spacing w:before="56"/>
      </w:pPr>
    </w:p>
    <w:p w14:paraId="03AA100B" w14:textId="77777777" w:rsidR="00681F68" w:rsidRDefault="00555CF7" w:rsidP="00287046">
      <w:pPr>
        <w:ind w:left="1560" w:right="1612"/>
        <w:jc w:val="center"/>
        <w:rPr>
          <w:sz w:val="20"/>
        </w:rPr>
      </w:pPr>
      <w:r>
        <w:rPr>
          <w:sz w:val="20"/>
        </w:rPr>
        <w:t>ΟΡΙΖΟΝΤΑΙ ΤΑ ΕΞΗΣ:</w:t>
      </w:r>
    </w:p>
    <w:p w14:paraId="2E3620EE" w14:textId="77777777" w:rsidR="00681F68" w:rsidRDefault="00681F68" w:rsidP="00287046">
      <w:pPr>
        <w:pStyle w:val="BodyText"/>
        <w:spacing w:before="63"/>
        <w:ind w:left="1560" w:right="1612"/>
      </w:pPr>
    </w:p>
    <w:p w14:paraId="6D9A275F" w14:textId="77777777" w:rsidR="00681F68" w:rsidRDefault="00555CF7" w:rsidP="00287046">
      <w:pPr>
        <w:ind w:left="1560" w:right="1612"/>
        <w:jc w:val="center"/>
        <w:rPr>
          <w:sz w:val="20"/>
        </w:rPr>
      </w:pPr>
      <w:r>
        <w:rPr>
          <w:sz w:val="20"/>
        </w:rPr>
        <w:t>ΚΕΦΑΛΑΙΟ Ι</w:t>
      </w:r>
    </w:p>
    <w:p w14:paraId="4DE54A57" w14:textId="77777777" w:rsidR="00681F68" w:rsidRDefault="00555CF7" w:rsidP="00287046">
      <w:pPr>
        <w:pStyle w:val="Heading1"/>
        <w:spacing w:before="180"/>
        <w:ind w:left="1560" w:right="1612"/>
        <w:jc w:val="center"/>
      </w:pPr>
      <w:r>
        <w:t>Γενικές διατάξεις</w:t>
      </w:r>
    </w:p>
    <w:p w14:paraId="7061DBEC" w14:textId="77777777" w:rsidR="00681F68" w:rsidRDefault="00681F68">
      <w:pPr>
        <w:pStyle w:val="BodyText"/>
        <w:spacing w:before="7"/>
        <w:rPr>
          <w:b/>
        </w:rPr>
      </w:pPr>
    </w:p>
    <w:p w14:paraId="753ED149" w14:textId="77777777" w:rsidR="00681F68" w:rsidRDefault="00555CF7">
      <w:pPr>
        <w:tabs>
          <w:tab w:val="left" w:pos="2740"/>
        </w:tabs>
        <w:ind w:left="1584"/>
        <w:rPr>
          <w:i/>
          <w:sz w:val="20"/>
        </w:rPr>
      </w:pPr>
      <w:r>
        <w:rPr>
          <w:sz w:val="20"/>
        </w:rPr>
        <w:t>Άρθρο 1.</w:t>
      </w:r>
      <w:r>
        <w:rPr>
          <w:sz w:val="20"/>
        </w:rPr>
        <w:tab/>
      </w:r>
      <w:r>
        <w:rPr>
          <w:i/>
          <w:sz w:val="20"/>
        </w:rPr>
        <w:t>Σκοπός.</w:t>
      </w:r>
    </w:p>
    <w:p w14:paraId="05EFD4BC" w14:textId="77777777" w:rsidR="00681F68" w:rsidRDefault="00555CF7">
      <w:pPr>
        <w:pStyle w:val="BodyText"/>
        <w:spacing w:before="180" w:line="249" w:lineRule="auto"/>
        <w:ind w:left="1584" w:right="1582" w:firstLine="340"/>
        <w:jc w:val="both"/>
      </w:pPr>
      <w:r>
        <w:t>Σκοπός του παρόντος βασιλικού διατάγματος είναι να διευκρινίσει τις απαιτήσεις που ορίζονται στο άρθρο 94 παράγραφος 2 στοιχεία α) και γ) του γενικού νόμου 13/2022, της 7ης Ιουλίου 2022, για την οπτικοακουστική επικοινωνία, όσον αφορά τον χαρακτηρισμό του χρήστη με ιδιαίτερη σημασία που χρησιμοποιεί υπηρεσίες πλατφόρμας διαμοιρασμού βίντεο.</w:t>
      </w:r>
    </w:p>
    <w:p w14:paraId="5CC0E379" w14:textId="77777777" w:rsidR="00681F68" w:rsidRDefault="00681F68">
      <w:pPr>
        <w:pStyle w:val="BodyText"/>
      </w:pPr>
    </w:p>
    <w:p w14:paraId="6EE3751E" w14:textId="77777777" w:rsidR="00681F68" w:rsidRDefault="00555CF7">
      <w:pPr>
        <w:tabs>
          <w:tab w:val="left" w:pos="2740"/>
        </w:tabs>
        <w:ind w:left="1584"/>
        <w:rPr>
          <w:i/>
          <w:sz w:val="20"/>
        </w:rPr>
      </w:pPr>
      <w:r>
        <w:rPr>
          <w:sz w:val="20"/>
        </w:rPr>
        <w:t>Άρθρο 2.</w:t>
      </w:r>
      <w:r>
        <w:rPr>
          <w:sz w:val="20"/>
        </w:rPr>
        <w:tab/>
      </w:r>
      <w:r>
        <w:rPr>
          <w:i/>
          <w:sz w:val="20"/>
        </w:rPr>
        <w:t>Πεδίο εφαρμογής.</w:t>
      </w:r>
    </w:p>
    <w:p w14:paraId="2710E9C6" w14:textId="77777777" w:rsidR="00681F68" w:rsidRDefault="00555CF7">
      <w:pPr>
        <w:pStyle w:val="ListParagraph"/>
        <w:numPr>
          <w:ilvl w:val="0"/>
          <w:numId w:val="3"/>
        </w:numPr>
        <w:tabs>
          <w:tab w:val="left" w:pos="2290"/>
        </w:tabs>
        <w:spacing w:before="181" w:line="249" w:lineRule="auto"/>
        <w:ind w:firstLine="340"/>
        <w:jc w:val="both"/>
        <w:rPr>
          <w:sz w:val="20"/>
        </w:rPr>
      </w:pPr>
      <w:r>
        <w:rPr>
          <w:sz w:val="20"/>
        </w:rPr>
        <w:t>Το παρόν βασιλικό διάταγμα εφαρμόζεται σε χρήστες, είτε είναι φυσικά είτε νομικά πρόσωπα, υπηρεσιών πλατφόρμας διαμοιρασμού βίντεο που πληρούν ταυτόχρονα τις απαιτήσεις του άρθρου 94 παράγραφος 2 του νόμου 13/2022 της 7ης Ιουλίου 2022. Οι απαιτήσεις που ορίζονται στα στοιχεία α) και γ) της εν λόγω διάταξης καθορίζονται στα άρθρα 3 και 4 του κεφαλαίου ΙΙ, αντιστοίχως.</w:t>
      </w:r>
    </w:p>
    <w:p w14:paraId="4EE51DBB" w14:textId="77777777" w:rsidR="00681F68" w:rsidRDefault="00555CF7">
      <w:pPr>
        <w:pStyle w:val="ListParagraph"/>
        <w:numPr>
          <w:ilvl w:val="0"/>
          <w:numId w:val="3"/>
        </w:numPr>
        <w:tabs>
          <w:tab w:val="left" w:pos="2290"/>
        </w:tabs>
        <w:spacing w:line="249" w:lineRule="auto"/>
        <w:ind w:firstLine="340"/>
        <w:jc w:val="both"/>
        <w:rPr>
          <w:sz w:val="20"/>
        </w:rPr>
      </w:pPr>
      <w:r>
        <w:rPr>
          <w:sz w:val="20"/>
        </w:rPr>
        <w:t>Σύμφωνα με τις διατάξεις του άρθρου 94 παράγραφος 3 του νόμου 13/2022 της 7ης Ιουλίου 2022, το παρόν βασιλικό διάταγμα δεν εφαρμόζεται στα θέματα που απαριθμούνται στην εν λόγω διάταξη υπό τους όρους που καθορίζονται σε αυτή.</w:t>
      </w:r>
    </w:p>
    <w:p w14:paraId="46B26FBE" w14:textId="77777777" w:rsidR="00681F68" w:rsidRDefault="00555CF7">
      <w:pPr>
        <w:pStyle w:val="BodyText"/>
        <w:spacing w:before="2" w:line="249" w:lineRule="auto"/>
        <w:ind w:left="1584" w:right="1581" w:firstLine="340"/>
        <w:jc w:val="both"/>
      </w:pPr>
      <w:r>
        <w:t xml:space="preserve">Ομοίως, δεν εφαρμόζεται στους παρόχους υπηρεσιών οπτικοακουστικών μέσων που είναι εγγεγραμμένοι στο πρώτο τμήμα του Κρατικού Μητρώου παρόχων υπηρεσιών οπτικοακουστικών μέσων, παρόχων υπηρεσιών πλατφόρμας διαμοιρασμού βίντεο και παρόχων υπηρεσιών συγκέντρωσης υπηρεσιών οπτικοακουστικών μέσων· σύμφωνα με τις διατάξεις του άρθρου 9 παράγραφος 1 του βασιλικού διατάγματος 1138/2023 της 19ης Δεκεμβρίου 2023, σε σχέση με προγράμματα, οπτικοακουστικό περιεχόμενο και/ή αποσπάσματα αυτών που διατίθενται στο κοινό στις υπηρεσίες πλατφόρμας διαμοιρασμού βίντεο. </w:t>
      </w:r>
    </w:p>
    <w:p w14:paraId="46759993" w14:textId="77777777" w:rsidR="00681F68" w:rsidRDefault="00681F68">
      <w:pPr>
        <w:pStyle w:val="BodyText"/>
        <w:spacing w:before="60"/>
      </w:pPr>
    </w:p>
    <w:p w14:paraId="2891762B" w14:textId="77777777" w:rsidR="00681F68" w:rsidRDefault="00555CF7" w:rsidP="00287046">
      <w:pPr>
        <w:ind w:left="1560" w:right="1471"/>
        <w:jc w:val="center"/>
        <w:rPr>
          <w:sz w:val="20"/>
        </w:rPr>
      </w:pPr>
      <w:r>
        <w:rPr>
          <w:sz w:val="20"/>
        </w:rPr>
        <w:t>ΚΕΦΑΛΑΙΟ II</w:t>
      </w:r>
    </w:p>
    <w:p w14:paraId="6F6F1A52" w14:textId="77777777" w:rsidR="00681F68" w:rsidRDefault="00555CF7" w:rsidP="00287046">
      <w:pPr>
        <w:pStyle w:val="Heading1"/>
        <w:spacing w:before="180"/>
        <w:ind w:left="1560" w:right="1471"/>
        <w:jc w:val="center"/>
      </w:pPr>
      <w:r>
        <w:t>Απαιτήσεις για τα σημαντικά έσοδα και κοινό</w:t>
      </w:r>
    </w:p>
    <w:p w14:paraId="1451BFAA" w14:textId="77777777" w:rsidR="00681F68" w:rsidRDefault="00681F68">
      <w:pPr>
        <w:pStyle w:val="BodyText"/>
        <w:spacing w:before="7"/>
        <w:rPr>
          <w:b/>
        </w:rPr>
      </w:pPr>
    </w:p>
    <w:p w14:paraId="1F32AA9C" w14:textId="77777777" w:rsidR="00681F68" w:rsidRDefault="00555CF7">
      <w:pPr>
        <w:tabs>
          <w:tab w:val="left" w:pos="2684"/>
        </w:tabs>
        <w:ind w:left="1584"/>
        <w:rPr>
          <w:i/>
          <w:sz w:val="20"/>
        </w:rPr>
      </w:pPr>
      <w:r>
        <w:rPr>
          <w:sz w:val="20"/>
        </w:rPr>
        <w:t>Άρθρο 3.</w:t>
      </w:r>
      <w:r>
        <w:rPr>
          <w:sz w:val="20"/>
        </w:rPr>
        <w:tab/>
      </w:r>
      <w:r>
        <w:rPr>
          <w:i/>
          <w:sz w:val="20"/>
        </w:rPr>
        <w:t>Σημαντικά έσοδα.</w:t>
      </w:r>
    </w:p>
    <w:p w14:paraId="75C7F1F1" w14:textId="5931CA35" w:rsidR="00681F68" w:rsidRDefault="00555CF7">
      <w:pPr>
        <w:pStyle w:val="ListParagraph"/>
        <w:numPr>
          <w:ilvl w:val="0"/>
          <w:numId w:val="2"/>
        </w:numPr>
        <w:tabs>
          <w:tab w:val="left" w:pos="2290"/>
        </w:tabs>
        <w:spacing w:before="180" w:line="249" w:lineRule="auto"/>
        <w:ind w:firstLine="340"/>
        <w:jc w:val="both"/>
        <w:rPr>
          <w:sz w:val="20"/>
        </w:rPr>
      </w:pPr>
      <w:r>
        <w:rPr>
          <w:sz w:val="20"/>
        </w:rPr>
        <w:t>Σύμφωνα με τις διατάξεις του άρθρου 94 παράγραφος 2 στοιχείο α) του νόμου 13/2022 της 7ης Ιουλίου 2022, ως σημαντικά έσοδα νοείται το ακαθάριστο εισόδημα που αποκτήθηκε κατά το προηγούμενο ημερολογιακό έτος, ίσο ή μεγαλύτερο από 300 000 EUR, το οποίο προέρχεται αποκλειστικά από τη δραστηριότητα των χρηστών σε όλες τις υπηρεσίες πλατφόρμας διαμοιρασμού βίντεο που χρησιμοποιούν.</w:t>
      </w:r>
    </w:p>
    <w:p w14:paraId="1299B180" w14:textId="77777777" w:rsidR="00681F68" w:rsidRDefault="00555CF7">
      <w:pPr>
        <w:pStyle w:val="ListParagraph"/>
        <w:numPr>
          <w:ilvl w:val="0"/>
          <w:numId w:val="2"/>
        </w:numPr>
        <w:tabs>
          <w:tab w:val="left" w:pos="2290"/>
        </w:tabs>
        <w:spacing w:line="249" w:lineRule="auto"/>
        <w:ind w:right="1582" w:firstLine="340"/>
        <w:jc w:val="both"/>
        <w:rPr>
          <w:sz w:val="20"/>
        </w:rPr>
      </w:pPr>
      <w:r>
        <w:rPr>
          <w:sz w:val="20"/>
        </w:rPr>
        <w:t>Τα έσοδα που είναι επιλέξιμα για τον προσδιορισμό των σημαντικών εσόδων είναι τα ακόλουθα:</w:t>
      </w:r>
    </w:p>
    <w:p w14:paraId="60937687" w14:textId="004808EC" w:rsidR="00681F68" w:rsidRDefault="00555CF7" w:rsidP="00287046">
      <w:pPr>
        <w:pStyle w:val="ListParagraph"/>
        <w:numPr>
          <w:ilvl w:val="1"/>
          <w:numId w:val="2"/>
        </w:numPr>
        <w:tabs>
          <w:tab w:val="left" w:pos="2301"/>
        </w:tabs>
        <w:spacing w:before="1" w:line="249" w:lineRule="auto"/>
        <w:ind w:right="1583" w:firstLine="340"/>
        <w:jc w:val="both"/>
      </w:pPr>
      <w:r>
        <w:t xml:space="preserve">Έσοδα που προέρχονται από αμοιβές τόσο σε χρήμα όσο και σε είδος, για την εμπορία, την πώληση ή την οργάνωση οπτικοακουστικών εμπορικών ανακοινώσεων που συνοδεύουν ή παρεμβάλλονται στο οπτικοακουστικό περιεχόμενο που αποτελεί ευθύνη των χρηστών υπηρεσιών πλατφόρμας </w:t>
      </w:r>
      <w:r>
        <w:lastRenderedPageBreak/>
        <w:t>διαμοιρασμού βίντεο.</w:t>
      </w:r>
    </w:p>
    <w:p w14:paraId="143715A7" w14:textId="77777777" w:rsidR="00681F68" w:rsidRDefault="00555CF7">
      <w:pPr>
        <w:pStyle w:val="ListParagraph"/>
        <w:numPr>
          <w:ilvl w:val="1"/>
          <w:numId w:val="2"/>
        </w:numPr>
        <w:tabs>
          <w:tab w:val="left" w:pos="2301"/>
        </w:tabs>
        <w:spacing w:before="1" w:line="249" w:lineRule="auto"/>
        <w:ind w:right="1582" w:firstLine="340"/>
        <w:jc w:val="both"/>
        <w:rPr>
          <w:sz w:val="20"/>
        </w:rPr>
      </w:pPr>
      <w:r>
        <w:rPr>
          <w:sz w:val="20"/>
        </w:rPr>
        <w:t>Έσοδα που εισπράττουν οι χρήστες από τους παρόχους υπηρεσιών πλατφόρμας διαμοιρασμού βίντεο ως αποτέλεσμα της δραστηριότητάς τους στις εν λόγω υπηρεσίες.</w:t>
      </w:r>
    </w:p>
    <w:p w14:paraId="20465DC5" w14:textId="77777777" w:rsidR="00681F68" w:rsidRDefault="00555CF7">
      <w:pPr>
        <w:pStyle w:val="ListParagraph"/>
        <w:numPr>
          <w:ilvl w:val="1"/>
          <w:numId w:val="2"/>
        </w:numPr>
        <w:tabs>
          <w:tab w:val="left" w:pos="2289"/>
        </w:tabs>
        <w:spacing w:before="3" w:line="249" w:lineRule="auto"/>
        <w:ind w:firstLine="340"/>
        <w:jc w:val="both"/>
        <w:rPr>
          <w:sz w:val="20"/>
        </w:rPr>
      </w:pPr>
      <w:r>
        <w:rPr>
          <w:sz w:val="20"/>
        </w:rPr>
        <w:t>Έσοδα που εισπράττονται από τη δραστηριότητα των χρηστών από τέλη και πληρωμές που καταβάλλονται από το κοινό τους για υπηρεσίες πλατφόρμας διαμοιρασμού βίντεο.</w:t>
      </w:r>
    </w:p>
    <w:p w14:paraId="46880796" w14:textId="77777777" w:rsidR="00681F68" w:rsidRDefault="00555CF7">
      <w:pPr>
        <w:pStyle w:val="ListParagraph"/>
        <w:numPr>
          <w:ilvl w:val="1"/>
          <w:numId w:val="2"/>
        </w:numPr>
        <w:tabs>
          <w:tab w:val="left" w:pos="2301"/>
        </w:tabs>
        <w:spacing w:before="2" w:line="249" w:lineRule="auto"/>
        <w:ind w:firstLine="340"/>
        <w:jc w:val="both"/>
        <w:rPr>
          <w:sz w:val="20"/>
        </w:rPr>
      </w:pPr>
      <w:r>
        <w:rPr>
          <w:sz w:val="20"/>
        </w:rPr>
        <w:t>Έσοδα από οικονομικά οφέλη που χορηγούνται από δημόσιες διοικήσεις και οντότητες, ανεξάρτητα από το όνομα και τη φύση τους, σε σχέση με τη δραστηριότητα των χρηστών σε υπηρεσίες πλατφόρμας διαμοιρασμού βίντεο.</w:t>
      </w:r>
    </w:p>
    <w:p w14:paraId="6B97E818" w14:textId="77777777" w:rsidR="00681F68" w:rsidRDefault="00555CF7">
      <w:pPr>
        <w:pStyle w:val="ListParagraph"/>
        <w:numPr>
          <w:ilvl w:val="1"/>
          <w:numId w:val="2"/>
        </w:numPr>
        <w:tabs>
          <w:tab w:val="left" w:pos="2301"/>
        </w:tabs>
        <w:spacing w:before="3" w:line="249" w:lineRule="auto"/>
        <w:ind w:firstLine="340"/>
        <w:jc w:val="both"/>
        <w:rPr>
          <w:sz w:val="20"/>
        </w:rPr>
      </w:pPr>
      <w:r>
        <w:rPr>
          <w:sz w:val="20"/>
        </w:rPr>
        <w:t>Άλλα έσοδα που προέρχονται από τη δραστηριότητα των χρηστών στις υπηρεσίες πλατφόρμας διαμοιρασμού βίντεο που δεν προβλέπονται στα προηγούμενα σημεία της παρούσας παραγράφου.</w:t>
      </w:r>
    </w:p>
    <w:p w14:paraId="3DAFE26C" w14:textId="77777777" w:rsidR="00681F68" w:rsidRDefault="00681F68">
      <w:pPr>
        <w:pStyle w:val="BodyText"/>
      </w:pPr>
    </w:p>
    <w:p w14:paraId="1F8E0CE6" w14:textId="77777777" w:rsidR="00681F68" w:rsidRDefault="00555CF7">
      <w:pPr>
        <w:ind w:left="1584"/>
        <w:rPr>
          <w:i/>
          <w:sz w:val="20"/>
        </w:rPr>
      </w:pPr>
      <w:r>
        <w:rPr>
          <w:sz w:val="20"/>
        </w:rPr>
        <w:t xml:space="preserve">Άρθρο 4.  </w:t>
      </w:r>
      <w:r>
        <w:rPr>
          <w:i/>
          <w:sz w:val="20"/>
        </w:rPr>
        <w:t>Σημαντικό κοινό.</w:t>
      </w:r>
    </w:p>
    <w:p w14:paraId="279187DB" w14:textId="77777777" w:rsidR="00681F68" w:rsidRDefault="00555CF7">
      <w:pPr>
        <w:pStyle w:val="ListParagraph"/>
        <w:numPr>
          <w:ilvl w:val="0"/>
          <w:numId w:val="1"/>
        </w:numPr>
        <w:tabs>
          <w:tab w:val="left" w:pos="2290"/>
        </w:tabs>
        <w:spacing w:before="180" w:line="249" w:lineRule="auto"/>
        <w:ind w:right="1582" w:firstLine="340"/>
        <w:jc w:val="both"/>
        <w:rPr>
          <w:sz w:val="20"/>
        </w:rPr>
      </w:pPr>
      <w:r>
        <w:rPr>
          <w:sz w:val="20"/>
        </w:rPr>
        <w:t>Σύμφωνα με τις διατάξεις του άρθρου 94 παράγραφος 2 στοιχείο γ) του νόμου 13/2022 της 7ης Ιουλίου 2022, μια υπηρεσία που αποτελεί ευθύνη του χρήστη θεωρείται ότι προορίζεται για σημαντικό τμήμα του ευρέος κοινού και μπορεί να έχει σαφή αντίκτυπο σε αυτό, εφόσον πληροί σωρευτικά τις ακόλουθες απαιτήσεις:</w:t>
      </w:r>
    </w:p>
    <w:p w14:paraId="1515AE29" w14:textId="77777777" w:rsidR="00681F68" w:rsidRDefault="00555CF7">
      <w:pPr>
        <w:pStyle w:val="ListParagraph"/>
        <w:numPr>
          <w:ilvl w:val="1"/>
          <w:numId w:val="1"/>
        </w:numPr>
        <w:tabs>
          <w:tab w:val="left" w:pos="2301"/>
        </w:tabs>
        <w:spacing w:before="173" w:line="249" w:lineRule="auto"/>
        <w:ind w:firstLine="340"/>
        <w:jc w:val="both"/>
        <w:rPr>
          <w:sz w:val="20"/>
        </w:rPr>
      </w:pPr>
      <w:r>
        <w:rPr>
          <w:sz w:val="20"/>
        </w:rPr>
        <w:t xml:space="preserve">Η υπηρεσία φθάνει, σε κάποιο σημείο του προηγούμενου ημερολογιακού έτους, αριθμό ακολούθων ίσο με ή μεγαλύτερο από 1 000 000 σε μια μεμονωμένη υπηρεσία πλατφόρμας διαμοιρασμού βίντεο· ή αριθμό ακολούθων ίσο με ή μεγαλύτερο από 2 000 000, συνολικά, λαμβάνοντας υπόψη όλες τις υπηρεσίες πλατφόρμας διαμοιρασμού βίντεο στις οποίες ο χρήστης ασκεί τη δραστηριότητά του. </w:t>
      </w:r>
    </w:p>
    <w:p w14:paraId="7BC706F3" w14:textId="77777777" w:rsidR="00681F68" w:rsidRDefault="00555CF7">
      <w:pPr>
        <w:pStyle w:val="ListParagraph"/>
        <w:numPr>
          <w:ilvl w:val="1"/>
          <w:numId w:val="1"/>
        </w:numPr>
        <w:tabs>
          <w:tab w:val="left" w:pos="2301"/>
        </w:tabs>
        <w:spacing w:line="249" w:lineRule="auto"/>
        <w:ind w:right="1583" w:firstLine="340"/>
        <w:jc w:val="both"/>
        <w:rPr>
          <w:sz w:val="20"/>
        </w:rPr>
      </w:pPr>
      <w:r>
        <w:rPr>
          <w:sz w:val="20"/>
        </w:rPr>
        <w:t>Ότι, σε όλες τις υπηρεσίες πλατφόρμας διαμοιρασμού βίντεο στις οποίες ο χρήστης ασκεί τη δραστηριότητά του, έχουν δημοσιευθεί ή μοιραστεί τουλάχιστον 24 βίντεο κατά το προηγούμενο ημερολογιακό έτος, ανεξάρτητα από τη διάρκειά τους.</w:t>
      </w:r>
    </w:p>
    <w:p w14:paraId="1D6290FD" w14:textId="77777777" w:rsidR="00681F68" w:rsidRDefault="00681F68">
      <w:pPr>
        <w:pStyle w:val="BodyText"/>
      </w:pPr>
    </w:p>
    <w:p w14:paraId="6961055C" w14:textId="77777777" w:rsidR="00681F68" w:rsidRDefault="00555CF7">
      <w:pPr>
        <w:spacing w:line="249" w:lineRule="auto"/>
        <w:ind w:left="1924" w:right="1582" w:hanging="340"/>
        <w:jc w:val="both"/>
        <w:rPr>
          <w:i/>
          <w:sz w:val="20"/>
        </w:rPr>
      </w:pPr>
      <w:r>
        <w:rPr>
          <w:sz w:val="20"/>
        </w:rPr>
        <w:t xml:space="preserve">Μοναδική συμπληρωματική διάταξη. </w:t>
      </w:r>
      <w:r>
        <w:rPr>
          <w:i/>
          <w:sz w:val="20"/>
        </w:rPr>
        <w:t>Καταχώριση χρηστών ιδιαίτερης σημασίας στο κρατικό μητρώο παρόχων υπηρεσιών οπτικοακουστικών μέσων, παρόχων υπηρεσιών πλατφόρμας διαμοιρασμού βίντεο και παρόχων υπηρεσιών συγκέντρωσης υπηρεσιών οπτικοακουστικών μέσων.</w:t>
      </w:r>
    </w:p>
    <w:p w14:paraId="4A179741" w14:textId="77777777" w:rsidR="00681F68" w:rsidRDefault="00555CF7">
      <w:pPr>
        <w:pStyle w:val="BodyText"/>
        <w:spacing w:before="174" w:line="249" w:lineRule="auto"/>
        <w:ind w:left="1584" w:right="1581" w:firstLine="340"/>
        <w:jc w:val="both"/>
      </w:pPr>
      <w:r>
        <w:t>Σύμφωνα με την παράγραφο 2 της πρώτης μεταβατικής διάταξης του βασιλικού διατάγματος 1138/2023, της 19ης Δεκεμβρίου 2023, οι χρήστες υπηρεσιών πλατφόρμας διαμοιρασμού βίντεο που πληρούν τις απαιτήσεις των άρθρων 3 και 4 διαθέτουν προθεσμία δύο μηνών από την έναρξη ισχύος του παρόντος βασιλικού διατάγματος για να υποβάλουν την αίτηση εγγραφής στο κρατικό μητρώο που προβλέπεται στο άρθρο 39 του νόμου 13/2022 της 7ης Ιουλίου 2022.</w:t>
      </w:r>
    </w:p>
    <w:p w14:paraId="0612639F" w14:textId="77777777" w:rsidR="00681F68" w:rsidRDefault="00681F68">
      <w:pPr>
        <w:pStyle w:val="BodyText"/>
        <w:spacing w:before="1"/>
      </w:pPr>
    </w:p>
    <w:p w14:paraId="0A84776C" w14:textId="77777777" w:rsidR="00681F68" w:rsidRDefault="00555CF7">
      <w:pPr>
        <w:tabs>
          <w:tab w:val="left" w:pos="4018"/>
        </w:tabs>
        <w:ind w:left="1584"/>
        <w:rPr>
          <w:i/>
          <w:sz w:val="20"/>
        </w:rPr>
      </w:pPr>
      <w:r>
        <w:rPr>
          <w:sz w:val="20"/>
        </w:rPr>
        <w:t>Πρώτη τελική διάταξη.</w:t>
      </w:r>
      <w:r>
        <w:rPr>
          <w:sz w:val="20"/>
        </w:rPr>
        <w:tab/>
      </w:r>
      <w:r>
        <w:rPr>
          <w:i/>
          <w:sz w:val="20"/>
        </w:rPr>
        <w:t>Ανάθεση εξουσιών</w:t>
      </w:r>
    </w:p>
    <w:p w14:paraId="16E6279A" w14:textId="66273675" w:rsidR="00681F68" w:rsidRDefault="00555CF7">
      <w:pPr>
        <w:pStyle w:val="BodyText"/>
        <w:spacing w:before="181" w:line="249" w:lineRule="auto"/>
        <w:ind w:left="1584" w:right="1582" w:firstLine="340"/>
        <w:jc w:val="both"/>
      </w:pPr>
      <w:r>
        <w:t>Το παρόν βασιλικό διάταγμα εκδίδεται βάσει της αποκλειστικής αρμοδιότητας του κράτους στον τομέα των τηλεπικοινωνιών που του εκχωρεί το άρθρο 149 παράγραφος 1 σημείο 21 του ισπανικού Συντάγματος.</w:t>
      </w:r>
    </w:p>
    <w:p w14:paraId="168A0FB9" w14:textId="77777777" w:rsidR="00681F68" w:rsidRDefault="00555CF7">
      <w:pPr>
        <w:tabs>
          <w:tab w:val="left" w:pos="4107"/>
        </w:tabs>
        <w:spacing w:before="229"/>
        <w:ind w:left="1584"/>
        <w:rPr>
          <w:i/>
          <w:sz w:val="20"/>
        </w:rPr>
      </w:pPr>
      <w:r>
        <w:rPr>
          <w:sz w:val="20"/>
        </w:rPr>
        <w:t>Δεύτερη τελική διάταξη.</w:t>
      </w:r>
      <w:r>
        <w:rPr>
          <w:sz w:val="20"/>
        </w:rPr>
        <w:tab/>
      </w:r>
      <w:r>
        <w:rPr>
          <w:i/>
          <w:sz w:val="20"/>
        </w:rPr>
        <w:t>Εξουσίες θέσπισης.</w:t>
      </w:r>
    </w:p>
    <w:p w14:paraId="4989D857" w14:textId="77777777" w:rsidR="00681F68" w:rsidRDefault="00555CF7">
      <w:pPr>
        <w:pStyle w:val="BodyText"/>
        <w:spacing w:before="180" w:line="249" w:lineRule="auto"/>
        <w:ind w:left="1584" w:right="1582" w:firstLine="340"/>
        <w:jc w:val="both"/>
      </w:pPr>
      <w:r>
        <w:t>Ο υπουργός Ψηφιακού Μετασχηματισμού και Δημόσιας Υπηρεσίας δύναται να εκδίδει τις διατάξεις για την εκπόνηση, εφαρμογή και εκτέλεση του παρόντος βασιλικού διατάγματος.</w:t>
      </w:r>
    </w:p>
    <w:p w14:paraId="6E421BBE" w14:textId="77777777" w:rsidR="00681F68" w:rsidRPr="00A404F4" w:rsidRDefault="00681F68">
      <w:pPr>
        <w:spacing w:line="249" w:lineRule="auto"/>
        <w:jc w:val="both"/>
      </w:pPr>
    </w:p>
    <w:p w14:paraId="4EB0E38E" w14:textId="77777777" w:rsidR="00681F68" w:rsidRDefault="00681F68">
      <w:pPr>
        <w:pStyle w:val="BodyText"/>
        <w:spacing w:before="221"/>
      </w:pPr>
    </w:p>
    <w:p w14:paraId="7316B0EC" w14:textId="77777777" w:rsidR="00681F68" w:rsidRDefault="00555CF7">
      <w:pPr>
        <w:tabs>
          <w:tab w:val="left" w:pos="3962"/>
        </w:tabs>
        <w:spacing w:before="1"/>
        <w:ind w:left="1584"/>
        <w:rPr>
          <w:i/>
          <w:sz w:val="20"/>
        </w:rPr>
      </w:pPr>
      <w:r>
        <w:rPr>
          <w:sz w:val="20"/>
        </w:rPr>
        <w:t>Τρίτη τελική διάταξη.</w:t>
      </w:r>
      <w:r>
        <w:rPr>
          <w:sz w:val="20"/>
        </w:rPr>
        <w:tab/>
      </w:r>
      <w:r>
        <w:rPr>
          <w:i/>
          <w:sz w:val="20"/>
        </w:rPr>
        <w:t>Έναρξη ισχύος.</w:t>
      </w:r>
    </w:p>
    <w:p w14:paraId="488E54FB" w14:textId="77777777" w:rsidR="00681F68" w:rsidRDefault="00555CF7">
      <w:pPr>
        <w:pStyle w:val="BodyText"/>
        <w:spacing w:before="180"/>
        <w:ind w:left="1924"/>
      </w:pPr>
      <w:r>
        <w:t>Το παρόν βασιλικό διάταγμα τίθεται σε ισχύ την επομένη της δημοσίευσής του στην «Επίσημη Εφημερίδα της Κυβερνήσεως».</w:t>
      </w:r>
    </w:p>
    <w:p w14:paraId="175EF5C8" w14:textId="77777777" w:rsidR="00681F68" w:rsidRDefault="00681F68">
      <w:pPr>
        <w:pStyle w:val="BodyText"/>
        <w:spacing w:before="10"/>
        <w:ind w:left="1584"/>
      </w:pPr>
    </w:p>
    <w:p w14:paraId="3107AFE8" w14:textId="77777777" w:rsidR="00681F68" w:rsidRDefault="00555CF7">
      <w:pPr>
        <w:pStyle w:val="BodyText"/>
        <w:spacing w:before="180"/>
        <w:ind w:left="1924"/>
      </w:pPr>
      <w:r>
        <w:lastRenderedPageBreak/>
        <w:t>Μαδρίτη, 30 Απριλίου 2024.</w:t>
      </w:r>
    </w:p>
    <w:p w14:paraId="0EF41E3E" w14:textId="77777777" w:rsidR="00681F68" w:rsidRDefault="00555CF7">
      <w:pPr>
        <w:pStyle w:val="Heading2"/>
        <w:spacing w:before="180"/>
        <w:ind w:left="0" w:right="1582"/>
        <w:jc w:val="right"/>
      </w:pPr>
      <w:r>
        <w:t>FELIPE R.</w:t>
      </w:r>
    </w:p>
    <w:p w14:paraId="4638E486" w14:textId="77777777" w:rsidR="00681F68" w:rsidRDefault="00681F68" w:rsidP="00287046">
      <w:pPr>
        <w:pStyle w:val="BodyText"/>
        <w:spacing w:before="109"/>
        <w:ind w:left="1560" w:right="1612"/>
        <w:rPr>
          <w:sz w:val="16"/>
        </w:rPr>
      </w:pPr>
    </w:p>
    <w:p w14:paraId="0FA3C4C5" w14:textId="77777777" w:rsidR="00681F68" w:rsidRDefault="00555CF7" w:rsidP="00287046">
      <w:pPr>
        <w:spacing w:line="249" w:lineRule="auto"/>
        <w:ind w:left="1560" w:right="1612"/>
        <w:jc w:val="center"/>
        <w:rPr>
          <w:sz w:val="16"/>
        </w:rPr>
      </w:pPr>
      <w:r>
        <w:rPr>
          <w:sz w:val="16"/>
        </w:rPr>
        <w:t>Ο υπουργός Ψηφιακού Μετασχηματισμού και Δημόσιας Υπηρεσίας,</w:t>
      </w:r>
    </w:p>
    <w:p w14:paraId="18C0761C" w14:textId="77777777" w:rsidR="00681F68" w:rsidRDefault="00555CF7" w:rsidP="00287046">
      <w:pPr>
        <w:spacing w:before="58"/>
        <w:ind w:left="1560" w:right="1612"/>
        <w:jc w:val="center"/>
        <w:rPr>
          <w:sz w:val="16"/>
        </w:rPr>
      </w:pPr>
      <w:r>
        <w:rPr>
          <w:sz w:val="16"/>
        </w:rPr>
        <w:t>JOSÉ LUIS ESCRIVÁ BELMONTE</w:t>
      </w:r>
    </w:p>
    <w:p w14:paraId="2A7FE105" w14:textId="77777777" w:rsidR="00681F68" w:rsidRDefault="00681F68">
      <w:pPr>
        <w:pStyle w:val="BodyText"/>
      </w:pPr>
    </w:p>
    <w:p w14:paraId="06E85649" w14:textId="77777777" w:rsidR="00681F68" w:rsidRDefault="00681F68">
      <w:pPr>
        <w:pStyle w:val="BodyText"/>
      </w:pPr>
    </w:p>
    <w:p w14:paraId="1A42DD5A" w14:textId="77777777" w:rsidR="00681F68" w:rsidRDefault="00681F68">
      <w:pPr>
        <w:pStyle w:val="BodyText"/>
      </w:pPr>
    </w:p>
    <w:p w14:paraId="12328D54" w14:textId="77777777" w:rsidR="00681F68" w:rsidRDefault="00681F68">
      <w:pPr>
        <w:pStyle w:val="BodyText"/>
      </w:pPr>
    </w:p>
    <w:p w14:paraId="38649BDE" w14:textId="77777777" w:rsidR="00681F68" w:rsidRDefault="00681F68">
      <w:pPr>
        <w:pStyle w:val="BodyText"/>
      </w:pPr>
    </w:p>
    <w:p w14:paraId="4958D122" w14:textId="77777777" w:rsidR="00681F68" w:rsidRPr="00555CF7" w:rsidRDefault="00681F68">
      <w:pPr>
        <w:pStyle w:val="BodyText"/>
      </w:pPr>
    </w:p>
    <w:p w14:paraId="28237A84" w14:textId="77777777" w:rsidR="00287046" w:rsidRPr="00555CF7" w:rsidRDefault="00287046">
      <w:pPr>
        <w:pStyle w:val="BodyText"/>
      </w:pPr>
    </w:p>
    <w:p w14:paraId="05718B9C" w14:textId="77777777" w:rsidR="00287046" w:rsidRPr="00555CF7" w:rsidRDefault="00287046">
      <w:pPr>
        <w:pStyle w:val="BodyText"/>
      </w:pPr>
    </w:p>
    <w:p w14:paraId="1E448900" w14:textId="77777777" w:rsidR="00287046" w:rsidRPr="00555CF7" w:rsidRDefault="00287046">
      <w:pPr>
        <w:pStyle w:val="BodyText"/>
      </w:pPr>
    </w:p>
    <w:p w14:paraId="673C9B3B" w14:textId="77777777" w:rsidR="00287046" w:rsidRPr="00555CF7" w:rsidRDefault="00287046">
      <w:pPr>
        <w:pStyle w:val="BodyText"/>
      </w:pPr>
    </w:p>
    <w:p w14:paraId="1CBC09AC" w14:textId="77777777" w:rsidR="00287046" w:rsidRPr="00555CF7" w:rsidRDefault="00287046">
      <w:pPr>
        <w:pStyle w:val="BodyText"/>
      </w:pPr>
    </w:p>
    <w:p w14:paraId="4A27157C" w14:textId="77777777" w:rsidR="00287046" w:rsidRPr="00555CF7" w:rsidRDefault="00287046">
      <w:pPr>
        <w:pStyle w:val="BodyText"/>
      </w:pPr>
    </w:p>
    <w:p w14:paraId="5CDC579F" w14:textId="77777777" w:rsidR="00287046" w:rsidRPr="00555CF7" w:rsidRDefault="00287046">
      <w:pPr>
        <w:pStyle w:val="BodyText"/>
      </w:pPr>
    </w:p>
    <w:p w14:paraId="677CCC52" w14:textId="77777777" w:rsidR="00287046" w:rsidRPr="00555CF7" w:rsidRDefault="00287046">
      <w:pPr>
        <w:pStyle w:val="BodyText"/>
      </w:pPr>
    </w:p>
    <w:p w14:paraId="4B5218A3" w14:textId="77777777" w:rsidR="00287046" w:rsidRPr="00555CF7" w:rsidRDefault="00287046">
      <w:pPr>
        <w:pStyle w:val="BodyText"/>
      </w:pPr>
    </w:p>
    <w:p w14:paraId="25ACE0A4" w14:textId="77777777" w:rsidR="00287046" w:rsidRPr="00555CF7" w:rsidRDefault="00287046">
      <w:pPr>
        <w:pStyle w:val="BodyText"/>
      </w:pPr>
    </w:p>
    <w:p w14:paraId="6F5BE9FA" w14:textId="77777777" w:rsidR="00681F68" w:rsidRDefault="00681F68">
      <w:pPr>
        <w:pStyle w:val="BodyText"/>
      </w:pPr>
    </w:p>
    <w:p w14:paraId="342C19DA" w14:textId="77777777" w:rsidR="00681F68" w:rsidRDefault="00681F68">
      <w:pPr>
        <w:pStyle w:val="BodyText"/>
      </w:pPr>
    </w:p>
    <w:p w14:paraId="1AE887C1" w14:textId="77777777" w:rsidR="00681F68" w:rsidRDefault="00681F68">
      <w:pPr>
        <w:pStyle w:val="BodyText"/>
      </w:pPr>
    </w:p>
    <w:p w14:paraId="65ACBC7F" w14:textId="24362B44" w:rsidR="00681F68" w:rsidRDefault="00681F68">
      <w:pPr>
        <w:pStyle w:val="BodyText"/>
      </w:pPr>
    </w:p>
    <w:p w14:paraId="4D2689C6" w14:textId="5A804200" w:rsidR="00A404F4" w:rsidRDefault="00A404F4">
      <w:pPr>
        <w:pStyle w:val="BodyText"/>
      </w:pPr>
    </w:p>
    <w:p w14:paraId="0570E860" w14:textId="578F4D57" w:rsidR="00A404F4" w:rsidRDefault="00A404F4">
      <w:pPr>
        <w:pStyle w:val="BodyText"/>
      </w:pPr>
    </w:p>
    <w:p w14:paraId="2F96F1BA" w14:textId="4CC42E5B" w:rsidR="00A404F4" w:rsidRDefault="00A404F4">
      <w:pPr>
        <w:pStyle w:val="BodyText"/>
      </w:pPr>
    </w:p>
    <w:p w14:paraId="1D334555" w14:textId="52F79369" w:rsidR="00A404F4" w:rsidRDefault="00A404F4">
      <w:pPr>
        <w:pStyle w:val="BodyText"/>
      </w:pPr>
    </w:p>
    <w:p w14:paraId="7EDF128F" w14:textId="4ED7FBF9" w:rsidR="00A404F4" w:rsidRDefault="00A404F4">
      <w:pPr>
        <w:pStyle w:val="BodyText"/>
      </w:pPr>
    </w:p>
    <w:p w14:paraId="4EEA5B65" w14:textId="0FC106AA" w:rsidR="00A404F4" w:rsidRDefault="00A404F4">
      <w:pPr>
        <w:pStyle w:val="BodyText"/>
      </w:pPr>
    </w:p>
    <w:p w14:paraId="7B295A7B" w14:textId="7C811FC2" w:rsidR="00A404F4" w:rsidRDefault="00A404F4">
      <w:pPr>
        <w:pStyle w:val="BodyText"/>
      </w:pPr>
    </w:p>
    <w:p w14:paraId="00AC5815" w14:textId="6EBBC1D1" w:rsidR="00A404F4" w:rsidRDefault="00A404F4">
      <w:pPr>
        <w:pStyle w:val="BodyText"/>
      </w:pPr>
    </w:p>
    <w:p w14:paraId="340764DD" w14:textId="1AB553EB" w:rsidR="00A404F4" w:rsidRDefault="00A404F4">
      <w:pPr>
        <w:pStyle w:val="BodyText"/>
      </w:pPr>
    </w:p>
    <w:p w14:paraId="39612BD9" w14:textId="5FDBF6A0" w:rsidR="00A404F4" w:rsidRDefault="00A404F4">
      <w:pPr>
        <w:pStyle w:val="BodyText"/>
      </w:pPr>
    </w:p>
    <w:p w14:paraId="14914D51" w14:textId="254FD333" w:rsidR="00A404F4" w:rsidRDefault="00A404F4">
      <w:pPr>
        <w:pStyle w:val="BodyText"/>
      </w:pPr>
    </w:p>
    <w:p w14:paraId="02661CE7" w14:textId="226F8770" w:rsidR="00A404F4" w:rsidRDefault="00A404F4">
      <w:pPr>
        <w:pStyle w:val="BodyText"/>
      </w:pPr>
    </w:p>
    <w:p w14:paraId="2BAB8C0A" w14:textId="6F281686" w:rsidR="00A404F4" w:rsidRDefault="00A404F4">
      <w:pPr>
        <w:pStyle w:val="BodyText"/>
      </w:pPr>
    </w:p>
    <w:p w14:paraId="6FF50A0A" w14:textId="268F091C" w:rsidR="00A404F4" w:rsidRDefault="00A404F4">
      <w:pPr>
        <w:pStyle w:val="BodyText"/>
      </w:pPr>
    </w:p>
    <w:p w14:paraId="585D4B2A" w14:textId="0E197BDA" w:rsidR="00A404F4" w:rsidRDefault="00A404F4">
      <w:pPr>
        <w:pStyle w:val="BodyText"/>
      </w:pPr>
    </w:p>
    <w:p w14:paraId="02B11BC3" w14:textId="5F82B8D7" w:rsidR="00A404F4" w:rsidRDefault="00A404F4">
      <w:pPr>
        <w:pStyle w:val="BodyText"/>
      </w:pPr>
    </w:p>
    <w:p w14:paraId="34FA085E" w14:textId="771FDD14" w:rsidR="00A404F4" w:rsidRDefault="00A404F4">
      <w:pPr>
        <w:pStyle w:val="BodyText"/>
      </w:pPr>
    </w:p>
    <w:p w14:paraId="1C714DCA" w14:textId="41C20C3C" w:rsidR="00A404F4" w:rsidRDefault="00A404F4">
      <w:pPr>
        <w:pStyle w:val="BodyText"/>
      </w:pPr>
    </w:p>
    <w:p w14:paraId="4C5C2912" w14:textId="06A07820" w:rsidR="00A404F4" w:rsidRDefault="00A404F4">
      <w:pPr>
        <w:pStyle w:val="BodyText"/>
      </w:pPr>
    </w:p>
    <w:p w14:paraId="552D1C45" w14:textId="3EA26932" w:rsidR="00A404F4" w:rsidRDefault="00A404F4">
      <w:pPr>
        <w:pStyle w:val="BodyText"/>
      </w:pPr>
    </w:p>
    <w:p w14:paraId="77AA6CBE" w14:textId="601A9D19" w:rsidR="00A404F4" w:rsidRDefault="00A404F4">
      <w:pPr>
        <w:pStyle w:val="BodyText"/>
      </w:pPr>
    </w:p>
    <w:p w14:paraId="7809AD75" w14:textId="2650587E" w:rsidR="00A404F4" w:rsidRDefault="00A404F4">
      <w:pPr>
        <w:pStyle w:val="BodyText"/>
      </w:pPr>
    </w:p>
    <w:p w14:paraId="735F9E54" w14:textId="364A0470" w:rsidR="00A404F4" w:rsidRDefault="00A404F4">
      <w:pPr>
        <w:pStyle w:val="BodyText"/>
      </w:pPr>
    </w:p>
    <w:p w14:paraId="50990358" w14:textId="19222BD3" w:rsidR="00A404F4" w:rsidRDefault="00A404F4">
      <w:pPr>
        <w:pStyle w:val="BodyText"/>
      </w:pPr>
    </w:p>
    <w:p w14:paraId="4EF803DC" w14:textId="1BB8F055" w:rsidR="00A404F4" w:rsidRDefault="00A404F4">
      <w:pPr>
        <w:pStyle w:val="BodyText"/>
      </w:pPr>
    </w:p>
    <w:p w14:paraId="20E8A574" w14:textId="18200BF0" w:rsidR="00A404F4" w:rsidRDefault="00A404F4">
      <w:pPr>
        <w:pStyle w:val="BodyText"/>
      </w:pPr>
    </w:p>
    <w:p w14:paraId="2076C3E4" w14:textId="77777777" w:rsidR="00A404F4" w:rsidRDefault="00A404F4">
      <w:pPr>
        <w:pStyle w:val="BodyText"/>
      </w:pPr>
    </w:p>
    <w:p w14:paraId="2EC8359F" w14:textId="77777777" w:rsidR="00681F68" w:rsidRPr="00555CF7" w:rsidRDefault="00681F68">
      <w:pPr>
        <w:pStyle w:val="BodyText"/>
      </w:pPr>
    </w:p>
    <w:p w14:paraId="59FA3500" w14:textId="77777777" w:rsidR="00287046" w:rsidRPr="00555CF7" w:rsidRDefault="00287046">
      <w:pPr>
        <w:pStyle w:val="BodyText"/>
      </w:pPr>
    </w:p>
    <w:p w14:paraId="51BDD44D" w14:textId="77777777" w:rsidR="00681F68" w:rsidRDefault="00681F68">
      <w:pPr>
        <w:pStyle w:val="BodyText"/>
      </w:pPr>
    </w:p>
    <w:p w14:paraId="7A866902" w14:textId="7432C0D4" w:rsidR="00681F68" w:rsidRDefault="00F73AED" w:rsidP="00287046">
      <w:pPr>
        <w:shd w:val="clear" w:color="auto" w:fill="1F497D" w:themeFill="text2"/>
        <w:tabs>
          <w:tab w:val="left" w:pos="3358"/>
          <w:tab w:val="left" w:pos="8011"/>
        </w:tabs>
        <w:spacing w:before="69"/>
        <w:ind w:left="315"/>
      </w:pPr>
      <w:hyperlink r:id="rId7">
        <w:r w:rsidR="00555CF7">
          <w:rPr>
            <w:b/>
            <w:color w:val="FFFFFF"/>
            <w:sz w:val="16"/>
          </w:rPr>
          <w:t>https://www.boe.es</w:t>
        </w:r>
      </w:hyperlink>
      <w:r w:rsidR="00555CF7">
        <w:rPr>
          <w:b/>
          <w:color w:val="FFFFFF"/>
          <w:sz w:val="16"/>
        </w:rPr>
        <w:tab/>
      </w:r>
      <w:r w:rsidR="00555CF7">
        <w:rPr>
          <w:b/>
          <w:color w:val="FFFFFF"/>
          <w:sz w:val="20"/>
        </w:rPr>
        <w:t xml:space="preserve">ΕΠΙΣΗΜΗ ΕΦΗΜΕΡΙΔΑ </w:t>
      </w:r>
      <w:r w:rsidR="00555CF7">
        <w:rPr>
          <w:b/>
          <w:color w:val="FFFFFF"/>
          <w:sz w:val="16"/>
        </w:rPr>
        <w:t>DL: M-1/1958 - ISSN: 0212-033X</w:t>
      </w:r>
    </w:p>
    <w:sectPr w:rsidR="00681F68" w:rsidSect="00287046">
      <w:headerReference w:type="even" r:id="rId8"/>
      <w:headerReference w:type="default" r:id="rId9"/>
      <w:pgSz w:w="11910" w:h="16840"/>
      <w:pgMar w:top="1400" w:right="400" w:bottom="426" w:left="400" w:header="61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81839" w14:textId="77777777" w:rsidR="00F73AED" w:rsidRDefault="00F73AED">
      <w:r>
        <w:separator/>
      </w:r>
    </w:p>
  </w:endnote>
  <w:endnote w:type="continuationSeparator" w:id="0">
    <w:p w14:paraId="6DCCDA9A" w14:textId="77777777" w:rsidR="00F73AED" w:rsidRDefault="00F73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22C46" w14:textId="77777777" w:rsidR="00F73AED" w:rsidRDefault="00F73AED">
      <w:r>
        <w:separator/>
      </w:r>
    </w:p>
  </w:footnote>
  <w:footnote w:type="continuationSeparator" w:id="0">
    <w:p w14:paraId="41BBC2CE" w14:textId="77777777" w:rsidR="00F73AED" w:rsidRDefault="00F73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80DC2" w14:textId="77777777" w:rsidR="00287046" w:rsidRDefault="00287046" w:rsidP="00287046">
    <w:pPr>
      <w:spacing w:before="7"/>
      <w:jc w:val="center"/>
      <w:rPr>
        <w:b/>
        <w:sz w:val="40"/>
      </w:rPr>
    </w:pPr>
    <w:r>
      <w:rPr>
        <w:b/>
        <w:color w:val="004479"/>
        <w:sz w:val="40"/>
      </w:rPr>
      <w:t>ΕΠΙΣΗΜΗ ΕΦΗΜΕΡΙΔΑ</w:t>
    </w:r>
  </w:p>
  <w:p w14:paraId="35E4B161" w14:textId="77777777" w:rsidR="00287046" w:rsidRPr="00287046" w:rsidRDefault="00287046" w:rsidP="00287046">
    <w:pPr>
      <w:tabs>
        <w:tab w:val="center" w:pos="5670"/>
        <w:tab w:val="center" w:pos="9356"/>
      </w:tabs>
      <w:spacing w:before="13"/>
      <w:ind w:left="142"/>
      <w:rPr>
        <w:b/>
        <w:color w:val="004479"/>
        <w:sz w:val="20"/>
      </w:rPr>
    </w:pPr>
  </w:p>
  <w:p w14:paraId="2175B147" w14:textId="77777777" w:rsidR="00287046" w:rsidRPr="00287046" w:rsidRDefault="00287046" w:rsidP="00287046">
    <w:pPr>
      <w:tabs>
        <w:tab w:val="center" w:pos="5670"/>
        <w:tab w:val="center" w:pos="9356"/>
      </w:tabs>
      <w:spacing w:before="13"/>
      <w:ind w:left="142"/>
      <w:rPr>
        <w:b/>
        <w:color w:val="004479"/>
        <w:sz w:val="20"/>
      </w:rPr>
    </w:pPr>
  </w:p>
  <w:p w14:paraId="3B1EBEDE" w14:textId="77777777" w:rsidR="00287046" w:rsidRDefault="00287046" w:rsidP="00287046">
    <w:pPr>
      <w:pBdr>
        <w:top w:val="single" w:sz="18" w:space="1" w:color="1F497D" w:themeColor="text2"/>
        <w:bottom w:val="single" w:sz="18" w:space="1" w:color="1F497D" w:themeColor="text2"/>
      </w:pBdr>
      <w:tabs>
        <w:tab w:val="center" w:pos="5670"/>
        <w:tab w:val="center" w:pos="9356"/>
      </w:tabs>
      <w:spacing w:before="13"/>
      <w:ind w:left="142"/>
      <w:rPr>
        <w:b/>
        <w:sz w:val="20"/>
      </w:rPr>
    </w:pPr>
    <w:r>
      <w:rPr>
        <w:b/>
        <w:color w:val="004479"/>
        <w:sz w:val="20"/>
      </w:rPr>
      <w:t>Αριθ. 106</w:t>
    </w:r>
    <w:r>
      <w:rPr>
        <w:b/>
        <w:sz w:val="20"/>
      </w:rPr>
      <w:tab/>
    </w:r>
    <w:r>
      <w:rPr>
        <w:b/>
        <w:color w:val="004479"/>
        <w:sz w:val="20"/>
      </w:rPr>
      <w:t>Τετάρτη, 1η Μαΐου 2024</w:t>
    </w:r>
    <w:r>
      <w:rPr>
        <w:b/>
        <w:color w:val="004479"/>
        <w:sz w:val="20"/>
      </w:rPr>
      <w:tab/>
      <w:t xml:space="preserve">Τμήμα Ι. Σελίδα </w:t>
    </w:r>
    <w:r>
      <w:rPr>
        <w:b/>
        <w:color w:val="004479"/>
        <w:sz w:val="20"/>
      </w:rPr>
      <w:fldChar w:fldCharType="begin"/>
    </w:r>
    <w:r>
      <w:rPr>
        <w:b/>
        <w:color w:val="004479"/>
        <w:sz w:val="20"/>
      </w:rPr>
      <w:instrText xml:space="preserve"> PAGE </w:instrText>
    </w:r>
    <w:r>
      <w:rPr>
        <w:b/>
        <w:color w:val="004479"/>
        <w:sz w:val="20"/>
      </w:rPr>
      <w:fldChar w:fldCharType="separate"/>
    </w:r>
    <w:r>
      <w:rPr>
        <w:b/>
        <w:color w:val="004479"/>
        <w:sz w:val="20"/>
      </w:rPr>
      <w:t>49802</w:t>
    </w:r>
    <w:r>
      <w:rPr>
        <w:b/>
        <w:color w:val="004479"/>
        <w:sz w:val="20"/>
      </w:rPr>
      <w:fldChar w:fldCharType="end"/>
    </w:r>
  </w:p>
  <w:p w14:paraId="258D2ED4" w14:textId="77777777" w:rsidR="00287046" w:rsidRPr="00287046" w:rsidRDefault="00287046" w:rsidP="00287046">
    <w:pPr>
      <w:spacing w:before="240"/>
      <w:ind w:right="17"/>
      <w:jc w:val="center"/>
      <w:rPr>
        <w:b/>
        <w:sz w:val="20"/>
      </w:rPr>
    </w:pPr>
  </w:p>
  <w:p w14:paraId="344A4F3C" w14:textId="77777777" w:rsidR="00287046" w:rsidRDefault="00287046" w:rsidP="00287046">
    <w:pPr>
      <w:pStyle w:val="BodyText"/>
      <w:spacing w:line="14" w:lineRule="auto"/>
    </w:pPr>
    <w:r>
      <w:rPr>
        <w:noProof/>
      </w:rPr>
      <w:drawing>
        <wp:anchor distT="0" distB="0" distL="0" distR="0" simplePos="0" relativeHeight="251687424" behindDoc="1" locked="0" layoutInCell="1" allowOverlap="1" wp14:anchorId="21CE90EF" wp14:editId="6E61BDC4">
          <wp:simplePos x="0" y="0"/>
          <wp:positionH relativeFrom="page">
            <wp:posOffset>6822508</wp:posOffset>
          </wp:positionH>
          <wp:positionV relativeFrom="page">
            <wp:posOffset>387743</wp:posOffset>
          </wp:positionV>
          <wp:extent cx="376405" cy="400329"/>
          <wp:effectExtent l="0" t="0" r="0" b="0"/>
          <wp:wrapNone/>
          <wp:docPr id="1520129814" name="Image 1" descr="Εικόνα που περιέχει κείμενο, στέμμα, ζωγραφιά, clipart&#10;&#10;Περιγραφή που δημιουργήθηκε αυτόματ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2278509" name="Image 1" descr="Εικόνα που περιέχει κείμενο, στέμμα, ζωγραφιά, clipart&#10;&#10;Περιγραφή που δημιουργήθηκε αυτόματα"/>
                  <pic:cNvPicPr/>
                </pic:nvPicPr>
                <pic:blipFill>
                  <a:blip r:embed="rId1" cstate="print"/>
                  <a:stretch>
                    <a:fillRect/>
                  </a:stretch>
                </pic:blipFill>
                <pic:spPr>
                  <a:xfrm>
                    <a:off x="0" y="0"/>
                    <a:ext cx="376405" cy="400329"/>
                  </a:xfrm>
                  <a:prstGeom prst="rect">
                    <a:avLst/>
                  </a:prstGeom>
                </pic:spPr>
              </pic:pic>
            </a:graphicData>
          </a:graphic>
        </wp:anchor>
      </w:drawing>
    </w:r>
    <w:r>
      <w:rPr>
        <w:noProof/>
      </w:rPr>
      <w:drawing>
        <wp:anchor distT="0" distB="0" distL="0" distR="0" simplePos="0" relativeHeight="251694592" behindDoc="1" locked="0" layoutInCell="1" allowOverlap="1" wp14:anchorId="2B117CAC" wp14:editId="36B9F60D">
          <wp:simplePos x="0" y="0"/>
          <wp:positionH relativeFrom="page">
            <wp:posOffset>360000</wp:posOffset>
          </wp:positionH>
          <wp:positionV relativeFrom="page">
            <wp:posOffset>445712</wp:posOffset>
          </wp:positionV>
          <wp:extent cx="756000" cy="315637"/>
          <wp:effectExtent l="0" t="0" r="0" b="0"/>
          <wp:wrapNone/>
          <wp:docPr id="837978639" name="Image 2" descr="Εικόνα που περιέχει κείμενο, γραμματοσειρά, γραφικά, λογότυπο&#10;&#10;Περιγραφή που δημιουργήθηκε αυτόματ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74329290" name="Image 2" descr="Εικόνα που περιέχει κείμενο, γραμματοσειρά, γραφικά, λογότυπο&#10;&#10;Περιγραφή που δημιουργήθηκε αυτόματα"/>
                  <pic:cNvPicPr/>
                </pic:nvPicPr>
                <pic:blipFill>
                  <a:blip r:embed="rId2" cstate="print"/>
                  <a:stretch>
                    <a:fillRect/>
                  </a:stretch>
                </pic:blipFill>
                <pic:spPr>
                  <a:xfrm>
                    <a:off x="0" y="0"/>
                    <a:ext cx="756000" cy="31563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E75DD" w14:textId="77777777" w:rsidR="00287046" w:rsidRDefault="00287046" w:rsidP="00287046">
    <w:pPr>
      <w:spacing w:before="7"/>
      <w:jc w:val="center"/>
      <w:rPr>
        <w:b/>
        <w:sz w:val="40"/>
      </w:rPr>
    </w:pPr>
    <w:r>
      <w:rPr>
        <w:b/>
        <w:color w:val="004479"/>
        <w:sz w:val="40"/>
      </w:rPr>
      <w:t>ΕΠΙΣΗΜΗ ΕΦΗΜΕΡΙΔΑ</w:t>
    </w:r>
  </w:p>
  <w:p w14:paraId="2DEC74EE" w14:textId="77777777" w:rsidR="00287046" w:rsidRPr="00287046" w:rsidRDefault="00287046" w:rsidP="00287046">
    <w:pPr>
      <w:tabs>
        <w:tab w:val="center" w:pos="5670"/>
        <w:tab w:val="center" w:pos="9356"/>
      </w:tabs>
      <w:spacing w:before="13"/>
      <w:ind w:left="142"/>
      <w:rPr>
        <w:b/>
        <w:color w:val="004479"/>
        <w:sz w:val="20"/>
      </w:rPr>
    </w:pPr>
  </w:p>
  <w:p w14:paraId="634E998A" w14:textId="77777777" w:rsidR="00287046" w:rsidRPr="00287046" w:rsidRDefault="00287046" w:rsidP="00287046">
    <w:pPr>
      <w:tabs>
        <w:tab w:val="center" w:pos="5670"/>
        <w:tab w:val="center" w:pos="9356"/>
      </w:tabs>
      <w:spacing w:before="13"/>
      <w:ind w:left="142"/>
      <w:rPr>
        <w:b/>
        <w:color w:val="004479"/>
        <w:sz w:val="20"/>
      </w:rPr>
    </w:pPr>
  </w:p>
  <w:p w14:paraId="59651D1F" w14:textId="77777777" w:rsidR="00287046" w:rsidRDefault="00287046" w:rsidP="00287046">
    <w:pPr>
      <w:pBdr>
        <w:top w:val="single" w:sz="18" w:space="1" w:color="1F497D" w:themeColor="text2"/>
        <w:bottom w:val="single" w:sz="18" w:space="1" w:color="1F497D" w:themeColor="text2"/>
      </w:pBdr>
      <w:tabs>
        <w:tab w:val="center" w:pos="5670"/>
        <w:tab w:val="center" w:pos="9356"/>
      </w:tabs>
      <w:spacing w:before="13"/>
      <w:ind w:left="142"/>
      <w:rPr>
        <w:b/>
        <w:sz w:val="20"/>
      </w:rPr>
    </w:pPr>
    <w:r>
      <w:rPr>
        <w:b/>
        <w:color w:val="004479"/>
        <w:sz w:val="20"/>
      </w:rPr>
      <w:t>Αριθ. 106</w:t>
    </w:r>
    <w:r>
      <w:rPr>
        <w:b/>
        <w:sz w:val="20"/>
      </w:rPr>
      <w:tab/>
    </w:r>
    <w:r>
      <w:rPr>
        <w:b/>
        <w:color w:val="004479"/>
        <w:sz w:val="20"/>
      </w:rPr>
      <w:t>Τετάρτη, 1η Μαΐου 2024</w:t>
    </w:r>
    <w:r>
      <w:rPr>
        <w:b/>
        <w:color w:val="004479"/>
        <w:sz w:val="20"/>
      </w:rPr>
      <w:tab/>
      <w:t xml:space="preserve">Τμήμα Ι. Σελίδα </w:t>
    </w:r>
    <w:r>
      <w:rPr>
        <w:b/>
        <w:color w:val="004479"/>
        <w:sz w:val="20"/>
      </w:rPr>
      <w:fldChar w:fldCharType="begin"/>
    </w:r>
    <w:r>
      <w:rPr>
        <w:b/>
        <w:color w:val="004479"/>
        <w:sz w:val="20"/>
      </w:rPr>
      <w:instrText xml:space="preserve"> PAGE </w:instrText>
    </w:r>
    <w:r>
      <w:rPr>
        <w:b/>
        <w:color w:val="004479"/>
        <w:sz w:val="20"/>
      </w:rPr>
      <w:fldChar w:fldCharType="separate"/>
    </w:r>
    <w:r>
      <w:rPr>
        <w:b/>
        <w:color w:val="004479"/>
        <w:sz w:val="20"/>
      </w:rPr>
      <w:t>49802</w:t>
    </w:r>
    <w:r>
      <w:rPr>
        <w:b/>
        <w:color w:val="004479"/>
        <w:sz w:val="20"/>
      </w:rPr>
      <w:fldChar w:fldCharType="end"/>
    </w:r>
  </w:p>
  <w:p w14:paraId="171B0DDF" w14:textId="77777777" w:rsidR="00287046" w:rsidRPr="00287046" w:rsidRDefault="00287046" w:rsidP="00287046">
    <w:pPr>
      <w:spacing w:before="240"/>
      <w:ind w:right="17"/>
      <w:jc w:val="center"/>
      <w:rPr>
        <w:b/>
        <w:sz w:val="20"/>
      </w:rPr>
    </w:pPr>
  </w:p>
  <w:p w14:paraId="03EFF52A" w14:textId="77777777" w:rsidR="00287046" w:rsidRDefault="00287046" w:rsidP="00287046">
    <w:pPr>
      <w:pStyle w:val="BodyText"/>
      <w:spacing w:line="14" w:lineRule="auto"/>
    </w:pPr>
    <w:r>
      <w:rPr>
        <w:noProof/>
      </w:rPr>
      <w:drawing>
        <wp:anchor distT="0" distB="0" distL="0" distR="0" simplePos="0" relativeHeight="251673088" behindDoc="1" locked="0" layoutInCell="1" allowOverlap="1" wp14:anchorId="279CF4DF" wp14:editId="56CBBEAD">
          <wp:simplePos x="0" y="0"/>
          <wp:positionH relativeFrom="page">
            <wp:posOffset>6822508</wp:posOffset>
          </wp:positionH>
          <wp:positionV relativeFrom="page">
            <wp:posOffset>387743</wp:posOffset>
          </wp:positionV>
          <wp:extent cx="376405" cy="400329"/>
          <wp:effectExtent l="0" t="0" r="0" b="0"/>
          <wp:wrapNone/>
          <wp:docPr id="1471376625" name="Image 1" descr="Εικόνα που περιέχει κείμενο, στέμμα, ζωγραφιά, clipart&#10;&#10;Περιγραφή που δημιουργήθηκε αυτόματ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40550449" name="Image 1" descr="Εικόνα που περιέχει κείμενο, στέμμα, ζωγραφιά, clipart&#10;&#10;Περιγραφή που δημιουργήθηκε αυτόματα"/>
                  <pic:cNvPicPr/>
                </pic:nvPicPr>
                <pic:blipFill>
                  <a:blip r:embed="rId1" cstate="print"/>
                  <a:stretch>
                    <a:fillRect/>
                  </a:stretch>
                </pic:blipFill>
                <pic:spPr>
                  <a:xfrm>
                    <a:off x="0" y="0"/>
                    <a:ext cx="376405" cy="400329"/>
                  </a:xfrm>
                  <a:prstGeom prst="rect">
                    <a:avLst/>
                  </a:prstGeom>
                </pic:spPr>
              </pic:pic>
            </a:graphicData>
          </a:graphic>
        </wp:anchor>
      </w:drawing>
    </w:r>
    <w:r>
      <w:rPr>
        <w:noProof/>
      </w:rPr>
      <w:drawing>
        <wp:anchor distT="0" distB="0" distL="0" distR="0" simplePos="0" relativeHeight="251680256" behindDoc="1" locked="0" layoutInCell="1" allowOverlap="1" wp14:anchorId="5C492956" wp14:editId="615EE0C4">
          <wp:simplePos x="0" y="0"/>
          <wp:positionH relativeFrom="page">
            <wp:posOffset>360000</wp:posOffset>
          </wp:positionH>
          <wp:positionV relativeFrom="page">
            <wp:posOffset>445712</wp:posOffset>
          </wp:positionV>
          <wp:extent cx="756000" cy="315637"/>
          <wp:effectExtent l="0" t="0" r="0" b="0"/>
          <wp:wrapNone/>
          <wp:docPr id="1294531949" name="Image 2" descr="Εικόνα που περιέχει κείμενο, γραμματοσειρά, γραφικά, λογότυπο&#10;&#10;Περιγραφή που δημιουργήθηκε αυτόματ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9365485" name="Image 2" descr="Εικόνα που περιέχει κείμενο, γραμματοσειρά, γραφικά, λογότυπο&#10;&#10;Περιγραφή που δημιουργήθηκε αυτόματα"/>
                  <pic:cNvPicPr/>
                </pic:nvPicPr>
                <pic:blipFill>
                  <a:blip r:embed="rId2" cstate="print"/>
                  <a:stretch>
                    <a:fillRect/>
                  </a:stretch>
                </pic:blipFill>
                <pic:spPr>
                  <a:xfrm>
                    <a:off x="0" y="0"/>
                    <a:ext cx="756000" cy="31563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80F3B"/>
    <w:multiLevelType w:val="hybridMultilevel"/>
    <w:tmpl w:val="EFDEB5E6"/>
    <w:lvl w:ilvl="0" w:tplc="E3302B1C">
      <w:start w:val="1"/>
      <w:numFmt w:val="decimal"/>
      <w:lvlText w:val="%1."/>
      <w:lvlJc w:val="left"/>
      <w:pPr>
        <w:ind w:left="1584" w:hanging="367"/>
        <w:jc w:val="left"/>
      </w:pPr>
      <w:rPr>
        <w:rFonts w:ascii="Arial" w:eastAsia="Arial" w:hAnsi="Arial" w:cs="Arial" w:hint="default"/>
        <w:b w:val="0"/>
        <w:bCs w:val="0"/>
        <w:i w:val="0"/>
        <w:iCs w:val="0"/>
        <w:spacing w:val="0"/>
        <w:w w:val="100"/>
        <w:sz w:val="20"/>
        <w:szCs w:val="20"/>
        <w:lang w:val="es-ES" w:eastAsia="en-US" w:bidi="ar-SA"/>
      </w:rPr>
    </w:lvl>
    <w:lvl w:ilvl="1" w:tplc="3C887B42">
      <w:numFmt w:val="bullet"/>
      <w:lvlText w:val="•"/>
      <w:lvlJc w:val="left"/>
      <w:pPr>
        <w:ind w:left="2532" w:hanging="367"/>
      </w:pPr>
      <w:rPr>
        <w:rFonts w:hint="default"/>
        <w:lang w:val="es-ES" w:eastAsia="en-US" w:bidi="ar-SA"/>
      </w:rPr>
    </w:lvl>
    <w:lvl w:ilvl="2" w:tplc="39BA250A">
      <w:numFmt w:val="bullet"/>
      <w:lvlText w:val="•"/>
      <w:lvlJc w:val="left"/>
      <w:pPr>
        <w:ind w:left="3485" w:hanging="367"/>
      </w:pPr>
      <w:rPr>
        <w:rFonts w:hint="default"/>
        <w:lang w:val="es-ES" w:eastAsia="en-US" w:bidi="ar-SA"/>
      </w:rPr>
    </w:lvl>
    <w:lvl w:ilvl="3" w:tplc="5CB4D01C">
      <w:numFmt w:val="bullet"/>
      <w:lvlText w:val="•"/>
      <w:lvlJc w:val="left"/>
      <w:pPr>
        <w:ind w:left="4437" w:hanging="367"/>
      </w:pPr>
      <w:rPr>
        <w:rFonts w:hint="default"/>
        <w:lang w:val="es-ES" w:eastAsia="en-US" w:bidi="ar-SA"/>
      </w:rPr>
    </w:lvl>
    <w:lvl w:ilvl="4" w:tplc="58701CDA">
      <w:numFmt w:val="bullet"/>
      <w:lvlText w:val="•"/>
      <w:lvlJc w:val="left"/>
      <w:pPr>
        <w:ind w:left="5390" w:hanging="367"/>
      </w:pPr>
      <w:rPr>
        <w:rFonts w:hint="default"/>
        <w:lang w:val="es-ES" w:eastAsia="en-US" w:bidi="ar-SA"/>
      </w:rPr>
    </w:lvl>
    <w:lvl w:ilvl="5" w:tplc="1EF622FE">
      <w:numFmt w:val="bullet"/>
      <w:lvlText w:val="•"/>
      <w:lvlJc w:val="left"/>
      <w:pPr>
        <w:ind w:left="6342" w:hanging="367"/>
      </w:pPr>
      <w:rPr>
        <w:rFonts w:hint="default"/>
        <w:lang w:val="es-ES" w:eastAsia="en-US" w:bidi="ar-SA"/>
      </w:rPr>
    </w:lvl>
    <w:lvl w:ilvl="6" w:tplc="D654CC82">
      <w:numFmt w:val="bullet"/>
      <w:lvlText w:val="•"/>
      <w:lvlJc w:val="left"/>
      <w:pPr>
        <w:ind w:left="7295" w:hanging="367"/>
      </w:pPr>
      <w:rPr>
        <w:rFonts w:hint="default"/>
        <w:lang w:val="es-ES" w:eastAsia="en-US" w:bidi="ar-SA"/>
      </w:rPr>
    </w:lvl>
    <w:lvl w:ilvl="7" w:tplc="4C70C794">
      <w:numFmt w:val="bullet"/>
      <w:lvlText w:val="•"/>
      <w:lvlJc w:val="left"/>
      <w:pPr>
        <w:ind w:left="8247" w:hanging="367"/>
      </w:pPr>
      <w:rPr>
        <w:rFonts w:hint="default"/>
        <w:lang w:val="es-ES" w:eastAsia="en-US" w:bidi="ar-SA"/>
      </w:rPr>
    </w:lvl>
    <w:lvl w:ilvl="8" w:tplc="2E5494FA">
      <w:numFmt w:val="bullet"/>
      <w:lvlText w:val="•"/>
      <w:lvlJc w:val="left"/>
      <w:pPr>
        <w:ind w:left="9200" w:hanging="367"/>
      </w:pPr>
      <w:rPr>
        <w:rFonts w:hint="default"/>
        <w:lang w:val="es-ES" w:eastAsia="en-US" w:bidi="ar-SA"/>
      </w:rPr>
    </w:lvl>
  </w:abstractNum>
  <w:abstractNum w:abstractNumId="1" w15:restartNumberingAfterBreak="0">
    <w:nsid w:val="1D9F1A03"/>
    <w:multiLevelType w:val="hybridMultilevel"/>
    <w:tmpl w:val="3E56EC46"/>
    <w:lvl w:ilvl="0" w:tplc="D35E48DE">
      <w:start w:val="1"/>
      <w:numFmt w:val="decimal"/>
      <w:lvlText w:val="%1."/>
      <w:lvlJc w:val="left"/>
      <w:pPr>
        <w:ind w:left="1584" w:hanging="367"/>
        <w:jc w:val="left"/>
      </w:pPr>
      <w:rPr>
        <w:rFonts w:ascii="Arial" w:eastAsia="Arial" w:hAnsi="Arial" w:cs="Arial" w:hint="default"/>
        <w:b w:val="0"/>
        <w:bCs w:val="0"/>
        <w:i w:val="0"/>
        <w:iCs w:val="0"/>
        <w:spacing w:val="0"/>
        <w:w w:val="100"/>
        <w:sz w:val="20"/>
        <w:szCs w:val="20"/>
        <w:lang w:val="es-ES" w:eastAsia="en-US" w:bidi="ar-SA"/>
      </w:rPr>
    </w:lvl>
    <w:lvl w:ilvl="1" w:tplc="EB1631DE">
      <w:start w:val="1"/>
      <w:numFmt w:val="lowerLetter"/>
      <w:lvlText w:val="%2)"/>
      <w:lvlJc w:val="left"/>
      <w:pPr>
        <w:ind w:left="1584" w:hanging="378"/>
        <w:jc w:val="left"/>
      </w:pPr>
      <w:rPr>
        <w:rFonts w:ascii="Arial" w:eastAsia="Arial" w:hAnsi="Arial" w:cs="Arial" w:hint="default"/>
        <w:b w:val="0"/>
        <w:bCs w:val="0"/>
        <w:i w:val="0"/>
        <w:iCs w:val="0"/>
        <w:spacing w:val="0"/>
        <w:w w:val="100"/>
        <w:sz w:val="20"/>
        <w:szCs w:val="20"/>
        <w:lang w:val="es-ES" w:eastAsia="en-US" w:bidi="ar-SA"/>
      </w:rPr>
    </w:lvl>
    <w:lvl w:ilvl="2" w:tplc="7BECAC3A">
      <w:numFmt w:val="bullet"/>
      <w:lvlText w:val="•"/>
      <w:lvlJc w:val="left"/>
      <w:pPr>
        <w:ind w:left="3485" w:hanging="378"/>
      </w:pPr>
      <w:rPr>
        <w:rFonts w:hint="default"/>
        <w:lang w:val="es-ES" w:eastAsia="en-US" w:bidi="ar-SA"/>
      </w:rPr>
    </w:lvl>
    <w:lvl w:ilvl="3" w:tplc="D9B6BC30">
      <w:numFmt w:val="bullet"/>
      <w:lvlText w:val="•"/>
      <w:lvlJc w:val="left"/>
      <w:pPr>
        <w:ind w:left="4437" w:hanging="378"/>
      </w:pPr>
      <w:rPr>
        <w:rFonts w:hint="default"/>
        <w:lang w:val="es-ES" w:eastAsia="en-US" w:bidi="ar-SA"/>
      </w:rPr>
    </w:lvl>
    <w:lvl w:ilvl="4" w:tplc="FAD8DDEC">
      <w:numFmt w:val="bullet"/>
      <w:lvlText w:val="•"/>
      <w:lvlJc w:val="left"/>
      <w:pPr>
        <w:ind w:left="5390" w:hanging="378"/>
      </w:pPr>
      <w:rPr>
        <w:rFonts w:hint="default"/>
        <w:lang w:val="es-ES" w:eastAsia="en-US" w:bidi="ar-SA"/>
      </w:rPr>
    </w:lvl>
    <w:lvl w:ilvl="5" w:tplc="6484AAB8">
      <w:numFmt w:val="bullet"/>
      <w:lvlText w:val="•"/>
      <w:lvlJc w:val="left"/>
      <w:pPr>
        <w:ind w:left="6342" w:hanging="378"/>
      </w:pPr>
      <w:rPr>
        <w:rFonts w:hint="default"/>
        <w:lang w:val="es-ES" w:eastAsia="en-US" w:bidi="ar-SA"/>
      </w:rPr>
    </w:lvl>
    <w:lvl w:ilvl="6" w:tplc="C5165E96">
      <w:numFmt w:val="bullet"/>
      <w:lvlText w:val="•"/>
      <w:lvlJc w:val="left"/>
      <w:pPr>
        <w:ind w:left="7295" w:hanging="378"/>
      </w:pPr>
      <w:rPr>
        <w:rFonts w:hint="default"/>
        <w:lang w:val="es-ES" w:eastAsia="en-US" w:bidi="ar-SA"/>
      </w:rPr>
    </w:lvl>
    <w:lvl w:ilvl="7" w:tplc="0AF2607A">
      <w:numFmt w:val="bullet"/>
      <w:lvlText w:val="•"/>
      <w:lvlJc w:val="left"/>
      <w:pPr>
        <w:ind w:left="8247" w:hanging="378"/>
      </w:pPr>
      <w:rPr>
        <w:rFonts w:hint="default"/>
        <w:lang w:val="es-ES" w:eastAsia="en-US" w:bidi="ar-SA"/>
      </w:rPr>
    </w:lvl>
    <w:lvl w:ilvl="8" w:tplc="88DAAA10">
      <w:numFmt w:val="bullet"/>
      <w:lvlText w:val="•"/>
      <w:lvlJc w:val="left"/>
      <w:pPr>
        <w:ind w:left="9200" w:hanging="378"/>
      </w:pPr>
      <w:rPr>
        <w:rFonts w:hint="default"/>
        <w:lang w:val="es-ES" w:eastAsia="en-US" w:bidi="ar-SA"/>
      </w:rPr>
    </w:lvl>
  </w:abstractNum>
  <w:abstractNum w:abstractNumId="2" w15:restartNumberingAfterBreak="0">
    <w:nsid w:val="2471420E"/>
    <w:multiLevelType w:val="hybridMultilevel"/>
    <w:tmpl w:val="99C0074C"/>
    <w:lvl w:ilvl="0" w:tplc="5210AB28">
      <w:start w:val="1"/>
      <w:numFmt w:val="decimal"/>
      <w:lvlText w:val="%1."/>
      <w:lvlJc w:val="left"/>
      <w:pPr>
        <w:ind w:left="1584" w:hanging="367"/>
        <w:jc w:val="left"/>
      </w:pPr>
      <w:rPr>
        <w:rFonts w:ascii="Arial" w:eastAsia="Arial" w:hAnsi="Arial" w:cs="Arial" w:hint="default"/>
        <w:b w:val="0"/>
        <w:bCs w:val="0"/>
        <w:i w:val="0"/>
        <w:iCs w:val="0"/>
        <w:spacing w:val="0"/>
        <w:w w:val="100"/>
        <w:sz w:val="20"/>
        <w:szCs w:val="20"/>
        <w:lang w:val="es-ES" w:eastAsia="en-US" w:bidi="ar-SA"/>
      </w:rPr>
    </w:lvl>
    <w:lvl w:ilvl="1" w:tplc="98DA8752">
      <w:start w:val="1"/>
      <w:numFmt w:val="lowerLetter"/>
      <w:lvlText w:val="%2)"/>
      <w:lvlJc w:val="left"/>
      <w:pPr>
        <w:ind w:left="1584" w:hanging="378"/>
        <w:jc w:val="left"/>
      </w:pPr>
      <w:rPr>
        <w:rFonts w:ascii="Arial" w:eastAsia="Arial" w:hAnsi="Arial" w:cs="Arial" w:hint="default"/>
        <w:b w:val="0"/>
        <w:bCs w:val="0"/>
        <w:i w:val="0"/>
        <w:iCs w:val="0"/>
        <w:spacing w:val="0"/>
        <w:w w:val="100"/>
        <w:sz w:val="20"/>
        <w:szCs w:val="20"/>
        <w:lang w:val="es-ES" w:eastAsia="en-US" w:bidi="ar-SA"/>
      </w:rPr>
    </w:lvl>
    <w:lvl w:ilvl="2" w:tplc="C9BCE498">
      <w:numFmt w:val="bullet"/>
      <w:lvlText w:val="•"/>
      <w:lvlJc w:val="left"/>
      <w:pPr>
        <w:ind w:left="3485" w:hanging="378"/>
      </w:pPr>
      <w:rPr>
        <w:rFonts w:hint="default"/>
        <w:lang w:val="es-ES" w:eastAsia="en-US" w:bidi="ar-SA"/>
      </w:rPr>
    </w:lvl>
    <w:lvl w:ilvl="3" w:tplc="4F24A138">
      <w:numFmt w:val="bullet"/>
      <w:lvlText w:val="•"/>
      <w:lvlJc w:val="left"/>
      <w:pPr>
        <w:ind w:left="4437" w:hanging="378"/>
      </w:pPr>
      <w:rPr>
        <w:rFonts w:hint="default"/>
        <w:lang w:val="es-ES" w:eastAsia="en-US" w:bidi="ar-SA"/>
      </w:rPr>
    </w:lvl>
    <w:lvl w:ilvl="4" w:tplc="6B1A50FC">
      <w:numFmt w:val="bullet"/>
      <w:lvlText w:val="•"/>
      <w:lvlJc w:val="left"/>
      <w:pPr>
        <w:ind w:left="5390" w:hanging="378"/>
      </w:pPr>
      <w:rPr>
        <w:rFonts w:hint="default"/>
        <w:lang w:val="es-ES" w:eastAsia="en-US" w:bidi="ar-SA"/>
      </w:rPr>
    </w:lvl>
    <w:lvl w:ilvl="5" w:tplc="236405F0">
      <w:numFmt w:val="bullet"/>
      <w:lvlText w:val="•"/>
      <w:lvlJc w:val="left"/>
      <w:pPr>
        <w:ind w:left="6342" w:hanging="378"/>
      </w:pPr>
      <w:rPr>
        <w:rFonts w:hint="default"/>
        <w:lang w:val="es-ES" w:eastAsia="en-US" w:bidi="ar-SA"/>
      </w:rPr>
    </w:lvl>
    <w:lvl w:ilvl="6" w:tplc="0D04B878">
      <w:numFmt w:val="bullet"/>
      <w:lvlText w:val="•"/>
      <w:lvlJc w:val="left"/>
      <w:pPr>
        <w:ind w:left="7295" w:hanging="378"/>
      </w:pPr>
      <w:rPr>
        <w:rFonts w:hint="default"/>
        <w:lang w:val="es-ES" w:eastAsia="en-US" w:bidi="ar-SA"/>
      </w:rPr>
    </w:lvl>
    <w:lvl w:ilvl="7" w:tplc="6298B7D0">
      <w:numFmt w:val="bullet"/>
      <w:lvlText w:val="•"/>
      <w:lvlJc w:val="left"/>
      <w:pPr>
        <w:ind w:left="8247" w:hanging="378"/>
      </w:pPr>
      <w:rPr>
        <w:rFonts w:hint="default"/>
        <w:lang w:val="es-ES" w:eastAsia="en-US" w:bidi="ar-SA"/>
      </w:rPr>
    </w:lvl>
    <w:lvl w:ilvl="8" w:tplc="236061D2">
      <w:numFmt w:val="bullet"/>
      <w:lvlText w:val="•"/>
      <w:lvlJc w:val="left"/>
      <w:pPr>
        <w:ind w:left="9200" w:hanging="378"/>
      </w:pPr>
      <w:rPr>
        <w:rFonts w:hint="default"/>
        <w:lang w:val="es-E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F68"/>
    <w:rsid w:val="00014532"/>
    <w:rsid w:val="000516BB"/>
    <w:rsid w:val="00287046"/>
    <w:rsid w:val="00370940"/>
    <w:rsid w:val="00555CF7"/>
    <w:rsid w:val="00681F68"/>
    <w:rsid w:val="00A404F4"/>
    <w:rsid w:val="00E326FE"/>
    <w:rsid w:val="00EA44ED"/>
    <w:rsid w:val="00F73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4FD538"/>
  <w15:docId w15:val="{5F51CB53-CBB1-4528-AD22-1933F0CA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3"/>
      <w:ind w:left="20"/>
      <w:outlineLvl w:val="0"/>
    </w:pPr>
    <w:rPr>
      <w:b/>
      <w:bCs/>
      <w:sz w:val="20"/>
      <w:szCs w:val="20"/>
    </w:rPr>
  </w:style>
  <w:style w:type="paragraph" w:styleId="Heading2">
    <w:name w:val="heading 2"/>
    <w:basedOn w:val="Normal"/>
    <w:uiPriority w:val="9"/>
    <w:unhideWhenUsed/>
    <w:qFormat/>
    <w:pPr>
      <w:ind w:left="2563" w:right="2563"/>
      <w:jc w:val="center"/>
      <w:outlineLvl w:val="1"/>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4"/>
      <w:ind w:left="1584" w:right="1581" w:firstLine="340"/>
      <w:jc w:val="both"/>
    </w:p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287046"/>
    <w:pPr>
      <w:tabs>
        <w:tab w:val="center" w:pos="4680"/>
        <w:tab w:val="right" w:pos="9360"/>
      </w:tabs>
    </w:pPr>
  </w:style>
  <w:style w:type="character" w:customStyle="1" w:styleId="FooterChar">
    <w:name w:val="Footer Char"/>
    <w:basedOn w:val="DefaultParagraphFont"/>
    <w:link w:val="Footer"/>
    <w:uiPriority w:val="99"/>
    <w:rsid w:val="00287046"/>
    <w:rPr>
      <w:rFonts w:ascii="Arial" w:eastAsia="Arial" w:hAnsi="Arial" w:cs="Arial"/>
      <w:lang w:val="el-GR"/>
    </w:rPr>
  </w:style>
  <w:style w:type="paragraph" w:styleId="Header">
    <w:name w:val="header"/>
    <w:basedOn w:val="Normal"/>
    <w:link w:val="HeaderChar"/>
    <w:uiPriority w:val="99"/>
    <w:unhideWhenUsed/>
    <w:rsid w:val="00287046"/>
    <w:pPr>
      <w:tabs>
        <w:tab w:val="center" w:pos="4680"/>
        <w:tab w:val="right" w:pos="9360"/>
      </w:tabs>
    </w:pPr>
  </w:style>
  <w:style w:type="character" w:customStyle="1" w:styleId="HeaderChar">
    <w:name w:val="Header Char"/>
    <w:basedOn w:val="DefaultParagraphFont"/>
    <w:link w:val="Header"/>
    <w:uiPriority w:val="99"/>
    <w:rsid w:val="00287046"/>
    <w:rPr>
      <w:rFonts w:ascii="Arial" w:eastAsia="Arial" w:hAnsi="Arial" w:cs="Arial"/>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oe.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3126</Words>
  <Characters>18823</Characters>
  <Application>Microsoft Office Word</Application>
  <DocSecurity>0</DocSecurity>
  <Lines>369</Lines>
  <Paragraphs>87</Paragraphs>
  <ScaleCrop>false</ScaleCrop>
  <Company/>
  <LinksUpToDate>false</LinksUpToDate>
  <CharactersWithSpaces>21862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Disposición 8716 del BOE núm. 106 de 2024</dc:title>
  <dc:subject>BOE-A-2024-8716</dc:subject>
  <dc:creator>MINISTERIO PARA LA TRANSFORMACIÓN DIGITAL Y DE LA FUNCIÓN PÚBLICA</dc:creator>
  <cp:keywords>DECRETO 444/2024 de 30/04/2024;MINISTERIO PARA LA TRANSFORMACIÓN DIGITAL Y DE LA FUNCIÓN PÚBLICA;BOE-A-2024-8716;BOE 106 de 2024;8716;01/05/2024;Class='Internal'</cp:keywords>
  <cp:lastModifiedBy>Ragnhild Efraimsson</cp:lastModifiedBy>
  <cp:revision>2</cp:revision>
  <dcterms:created xsi:type="dcterms:W3CDTF">2024-06-11T06:40:00Z</dcterms:created>
  <dcterms:modified xsi:type="dcterms:W3CDTF">2024-06-11T06:40:00Z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2024-04-30T00:00:00Z</vt:filetime>
  </property>
  <property fmtid="{D5CDD505-2E9C-101B-9397-08002B2CF9AE}" pid="3" name="Creator">
    <vt:lpwstr>eBOE</vt:lpwstr>
  </property>
  <property fmtid="{D5CDD505-2E9C-101B-9397-08002B2CF9AE}" pid="4" name="LastSaved">
    <vt:filetime>2024-05-13T00:00:00Z</vt:filetime>
  </property>
  <property fmtid="{D5CDD505-2E9C-101B-9397-08002B2CF9AE}" pid="5" name="Producer">
    <vt:lpwstr>Antenna House PDF Output Library 6.6.1477 (Linux64)</vt:lpwstr>
  </property>
</Properties>
</file>