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ÜLDSÄTTED</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DIGIÜLEMINEKU JA AVALIKU TEENISTUSE MINISTEERIUM</w:t>
      </w:r>
    </w:p>
    <w:p w14:paraId="33746D61" w14:textId="5A66A1B2" w:rsidR="00681F68" w:rsidRDefault="00555CF7">
      <w:pPr>
        <w:spacing w:before="296" w:line="240" w:lineRule="exact"/>
        <w:ind w:left="2604" w:right="1582" w:hanging="1021"/>
        <w:jc w:val="both"/>
        <w:rPr>
          <w:i/>
          <w:sz w:val="20"/>
        </w:rPr>
      </w:pPr>
      <w:r>
        <w:rPr>
          <w:b/>
          <w:sz w:val="24"/>
        </w:rPr>
        <w:t xml:space="preserve">8716  </w:t>
      </w:r>
      <w:r>
        <w:rPr>
          <w:b/>
          <w:sz w:val="24"/>
        </w:rPr>
        <w:tab/>
      </w:r>
      <w:r>
        <w:rPr>
          <w:i/>
          <w:sz w:val="20"/>
        </w:rPr>
        <w:t>30. aprilli kuninglik dekreet 444/2024, millega reguleeritakse 7. juuli 2022. aasta üldseaduse 13/2022 (audiovisuaalkommunikatsiooni kohta) artikli 94 kohaseid nõudeid, mis käsitlevad videojagamisplatvormi teenuste erilise tähtsusega kasutajaks pidamist.</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7. juuli 2022. aasta üldseaduse 13/2022 (audiovisuaalkommunikatsiooni kohta) vastuvõtmisega võeti Hispaania õigusesse üle Euroopa Parlamendi ja nõukogu 14. novembri 2018. aasta direktiiv (EL) 2018/1808, millega muudetakse direktiivi 2010/13/EL audiovisuaalmeedia teenuste osutamist käsitlevate liikmesriikide teatavate õigus- ja haldusnormide koordineerimise kohta.</w:t>
      </w:r>
    </w:p>
    <w:p w14:paraId="1FB0E45D" w14:textId="77777777" w:rsidR="00681F68" w:rsidRDefault="00555CF7">
      <w:pPr>
        <w:pStyle w:val="BodyText"/>
        <w:spacing w:before="5" w:line="249" w:lineRule="auto"/>
        <w:ind w:left="1584" w:right="1581" w:firstLine="340"/>
        <w:jc w:val="both"/>
      </w:pPr>
      <w:r>
        <w:t>Eespool nimetatud direktiivi alusel koostati 7. juuli 2022. aasta seadus 13/2022 eesmärgiga võtta vastu ajakohastatud õigusraamistik, mis on kooskõlas audiovisuaalturu viimaste aastate arenguga ja mis võimaldab leida tasakaalu sisule juurdepääsu, kasutajate kaitse ja turul tegutsevate eri teenuseosutajate konkurentsi vahel, kaasates võrdsetel tingimustel kõik sama vaatajaskonna nimel konkureerivad osalejad.</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Selle eesmärgi saavutamise tulemusena lisati videote jagamise platvormi teenuse osutajad direktiivi kohaldamisalasse, võttes arvesse nende kasvavat tähtsust audiovisuaalse sisu ja audiovisuaalsete äriliste teadaannete tootmisel ja levitamisel. Nende teenustega on seotud meedia- või sotsiaalmeediateenused, mille põhifunktsioon võimaldab videote jagamist, sest neist on saanud oluline teabe jagamise, meelelahutuse ja harimise vahend, eelkõige juurdepääsu kaudu kasutaja loodud programmidele ja videotele.</w:t>
      </w:r>
    </w:p>
    <w:p w14:paraId="24AF3B82" w14:textId="77777777" w:rsidR="00681F68" w:rsidRDefault="00555CF7">
      <w:pPr>
        <w:pStyle w:val="BodyText"/>
        <w:spacing w:before="6" w:line="249" w:lineRule="auto"/>
        <w:ind w:left="1584" w:right="1582" w:firstLine="340"/>
        <w:jc w:val="both"/>
      </w:pPr>
      <w:r>
        <w:t>Sellega seoses sisaldab 7. juuli 2022. aasta seadus 13/2022 kooskõlas Euroopa Parlamendi ja nõukogu 14. novembri 2018. aasta direktiivi (EL) 2018/1808 sätetega artikli 2 punktides 13 ja 17 vastavalt videojagamisplatvormi teenuse ja selle osutaja määratlust. Samuti on sellega ette nähtud videojagamisplatvormi teenuse osutajate reguleerimise V jaotis, kehtestades kohustused, mille eesmärk on tagada nende kasutajate ja eelkõige alaealiste kaitse teatava audiovisuaalse sisu ja audiovisuaalsete äriliste teadaannete eest.</w:t>
      </w:r>
    </w:p>
    <w:p w14:paraId="718AAE7C" w14:textId="1B46A6C6" w:rsidR="00681F68" w:rsidRDefault="00555CF7">
      <w:pPr>
        <w:pStyle w:val="BodyText"/>
        <w:spacing w:before="8" w:line="249" w:lineRule="auto"/>
        <w:ind w:left="1584" w:right="1581" w:firstLine="340"/>
        <w:jc w:val="both"/>
      </w:pPr>
      <w:r>
        <w:t>Eelkõige on 7. juuli 2022. aasta seaduse 13/2022 artikliga 88 kehtestatud videojagamisplatvormi teenuse osutajatele kohustus võtta meetmeid alaealiste kaitsmiseks saadete, kasutaja loodud videote ja audiovisuaalsete äriliste teadaannete eest, mis võivad kahjustada nende füüsilist, vaimset või kõlbelist arengut. Teisest küljest peavad need teenuseosutajad võtma meetmeid, mille eesmärk on kaitsta üldsust saadete, kasutajate loodud videote ja audiovisuaalsete äriliste teadaannete eest, mis ei vasta 7. juuli 2022. aasta seaduse 13/2022 artikli 4 lõigetele 2 ja 4. Eespool nimetatud kaitsemeetmed on sätestatud artiklites 89, 90 ja 91.</w:t>
      </w:r>
    </w:p>
    <w:p w14:paraId="793499DA" w14:textId="77777777" w:rsidR="00681F68" w:rsidRDefault="00555CF7">
      <w:pPr>
        <w:pStyle w:val="BodyText"/>
        <w:spacing w:before="1" w:line="249" w:lineRule="auto"/>
        <w:ind w:left="1584" w:right="1581" w:firstLine="340"/>
        <w:jc w:val="both"/>
      </w:pPr>
      <w:r>
        <w:t xml:space="preserve">Eespool nimetatud kohustusi kohaldatakse ka meedia- või sotsiaalmeediateenuste suhtes niivõrd, kuivõrd need võivad olla hõlmatud „videote jagamise platvormi teenuse“ määratlusega. Üks peamine audiovisuaalne sisu, mida need teenused pakuvad, on kasutajate loodud videod, mille on platvormile üles laadinud nimetatud kasutajad või mis tahes teised. Nende teenuste kasutajate hulgas eristub peamiselt teatud kategooria, mida tavaliselt nimetatakse vlogijateks, mõjuisikuteks või sisuloojateks, kes on </w:t>
      </w:r>
      <w:r>
        <w:lastRenderedPageBreak/>
        <w:t>audiovisuaalturul tarbimise ja reklaamiinvesteeringute seisukohast eriti olulised, eriti noorema publiku hulgas.</w:t>
      </w:r>
    </w:p>
    <w:p w14:paraId="71FF3A40" w14:textId="77777777" w:rsidR="00681F68" w:rsidRDefault="00555CF7">
      <w:pPr>
        <w:pStyle w:val="BodyText"/>
        <w:spacing w:before="8" w:line="249" w:lineRule="auto"/>
        <w:ind w:left="1584" w:right="1582" w:firstLine="340"/>
        <w:jc w:val="both"/>
      </w:pPr>
      <w:r>
        <w:t>Nende uute osalejate esilekerkimine ja konsolideerimine nõuab seega turu arengut kajastavat õigusraamistikku, mis võimaldab saavutada tasakaalu audiovisuaalses ökosüsteemis, kus kõigi selle mõjurite suhtes kohaldatakse sarnaseid eeskirju. Kuna mõjuisikud konkureerivad teiste audiovisuaal- ja reklaamituru osalistega ning neil on teatavad omadused, mis on sarnased audiovisuaalmeedia teenuste osutajatega, on seega asjakohane kohaldada nende suhtes kohustusi, mis on võrreldavad nende audiovisuaalmeedia teenuste osutajate kohustustega.</w:t>
      </w:r>
    </w:p>
    <w:p w14:paraId="676AA567" w14:textId="77777777" w:rsidR="00681F68" w:rsidRDefault="00555CF7">
      <w:pPr>
        <w:pStyle w:val="BodyText"/>
        <w:spacing w:before="6" w:line="249" w:lineRule="auto"/>
        <w:ind w:left="1584" w:right="1582" w:firstLine="340"/>
        <w:jc w:val="both"/>
      </w:pPr>
      <w:r>
        <w:t>Mõjuisikute ja teiste audiovisuaalmeedia teenuste osutajate võrdsustamisel tehtud edusammud vastavad vajadusele tagada nende vastavus audiovisuaalse kommunikatsiooni aluspõhimõtetele ning tagada üldsuse ja eelkõige alaealiste kaitse kahjuliku audiovisuaalse sisu ja äriliste teadaannete eest.</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 xml:space="preserve">Mis puudutab mõjuisikuid, siis ei hõlmanud Euroopa Parlamendi ja nõukogu 14. novembri 2018. aasta direktiiv (EL) 2018/1808 neid sõnaselgelt selle kohaldamisalasse, jättes liikmesriikidele vabaduse nendega seonduvat reguleerida. Sellega seoses viitab see põhjenduses 3 üksnes sellele, et „kanalid või mis tahes muud audiovisuaalteenused, mis kuuluvad teenuseosutaja toimetusvastutuse alla, võivad iseenesest kujutada endast audiovisuaalmeedia teenuseid, isegi kui neid pakutakse videote jagamise platvormil, mida iseloomustab toimetusvastutuse puudumine.“ Omalt poolt on Euroopa audiovisuaalmeedia teenuseid reguleerivate asutuste töörühm (ERGA) avaldanud mitu aruannet võimaluse kohta omistada vlogijatele audiovisuaalmeedia teenuste osutajate staatus ja kriteeriumid, mida tuleb järgida nende tegevuse reguleerimisel. </w:t>
      </w:r>
    </w:p>
    <w:p w14:paraId="5E754024" w14:textId="77777777" w:rsidR="00681F68" w:rsidRDefault="00555CF7">
      <w:pPr>
        <w:pStyle w:val="BodyText"/>
        <w:spacing w:before="10" w:line="249" w:lineRule="auto"/>
        <w:ind w:left="1584" w:right="1581" w:firstLine="340"/>
        <w:jc w:val="both"/>
      </w:pPr>
      <w:r>
        <w:t>Sellega seoses on mõned liikmesriigid kehtestanud oma siseriiklikus õigussüsteemis mõjuisikutele õigusliku korra. Kuigi erinevad määrused on enamikul juhtudel kaldunud kõrvale põhimõttest, et mõjuisikuid käsitatakse audiovisuaalmeedia teenuste osutaja liigina, ei ole need oma tasu konkreetsete kriteeriumide ja nende suhtes kohaldatavate kohustuste osas homogeensed.</w:t>
      </w:r>
    </w:p>
    <w:p w14:paraId="532A8C07" w14:textId="495612EE" w:rsidR="00681F68" w:rsidRDefault="00555CF7">
      <w:pPr>
        <w:pStyle w:val="BodyText"/>
        <w:spacing w:before="5" w:line="249" w:lineRule="auto"/>
        <w:ind w:left="1584" w:right="1581" w:firstLine="340"/>
        <w:jc w:val="both"/>
      </w:pPr>
      <w:r>
        <w:t>Olles teadlik nende teemade kasvavast mõjust Hispaania, Euroopa ja rahvusvahelisel audiovisuaal- ja reklaamiturul üldiselt, otsustas Hispaania seadusandja lisaks Euroopa Parlamendi ja nõukogu 14. novembri 2018. aasta direktiivi (EL) 2018/1808 kohustuslikele sätetele reguleerida mõjuisikute rolli 7. juuli 2022. aasta seaduse 13/2022 artikliga 94, millele see viitab kui „eriti olulistele kasutajatele, kes kasutavad videojagamisplatvormi teenuseid“.</w:t>
      </w:r>
    </w:p>
    <w:p w14:paraId="2C5D1541" w14:textId="1531EBA9" w:rsidR="00681F68" w:rsidRDefault="00555CF7" w:rsidP="00380395">
      <w:pPr>
        <w:pStyle w:val="BodyText"/>
        <w:spacing w:before="6" w:line="249" w:lineRule="auto"/>
        <w:ind w:left="1584" w:right="1471"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Hispaania mudel põhineb eriti oluliste kasutajate võrdsustamisel teatavat liiki audiovisuaalmeedia teenuste osutajatega. Võttes aga arvesse teenuse olemust ning selle uusi ja uuenduslikke omadusi, ei ole need täielikult samastatavad teiste audiovisuaalmeedia teenuste osutajatega, samuti ei ole nende suhtes kohaldatavad kõik nende</w:t>
      </w:r>
      <w:r w:rsidR="00380395">
        <w:t xml:space="preserve"> </w:t>
      </w:r>
      <w:r>
        <w:t>kohustused.</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Nii leiab 7. juuli 2022. aasta seaduse 13/2022 artikli 94 lõige 1, et eriti olulised kasutajad on audiovisuaalmeedia teenuste osutajad, et järgida eespool nimetatud seaduse artiklis 86 sätestatud videojagamisplatvormi teenuse osutamise üldpõhimõtteid ning täita alaealiste kaitsega seotud kohustusi ja audiovisuaalseid ärilisi teadaandeid, mis on sätestatud vastavalt nimetatud seaduse artikli 99 lõigetes 1 ja 4 ning VI jaotise IV peatüki 1. ja 2. jaos.</w:t>
      </w:r>
    </w:p>
    <w:p w14:paraId="6BFCC0BF" w14:textId="77777777" w:rsidR="00681F68" w:rsidRDefault="00555CF7">
      <w:pPr>
        <w:pStyle w:val="BodyText"/>
        <w:spacing w:before="6" w:line="249" w:lineRule="auto"/>
        <w:ind w:left="1584" w:right="1582" w:firstLine="340"/>
        <w:jc w:val="both"/>
      </w:pPr>
      <w:r>
        <w:t>Omalt poolt sisaldab 7. juuli 2022. aasta seaduse 13/2022 artikli 94 lõige 3 loetelu teemadest, mis on välja jäetud artikli 94 lõikes 1 sätestatud kohustuste täitmisest, samas kui artikli 94 lõikes 4 on sätestatud eriti oluliste kasutajate kohustus end registreerida eespool nimetatud seaduse artiklis 39 sätestatud riiklikus registris.</w:t>
      </w:r>
    </w:p>
    <w:p w14:paraId="5A7B607D" w14:textId="77777777" w:rsidR="00681F68" w:rsidRDefault="00555CF7">
      <w:pPr>
        <w:pStyle w:val="BodyText"/>
        <w:spacing w:before="3" w:line="249" w:lineRule="auto"/>
        <w:ind w:left="1584" w:right="1582" w:firstLine="340"/>
        <w:jc w:val="both"/>
      </w:pPr>
      <w:r>
        <w:t>Teiselt poolt on 7. juuli 2022. aasta seaduse 13/2022 artikli 94 lõikes 2 kehtestatud nõuded, mida kohaldatakse juhul, kui videojagamisplatvormi teenuste kasutajaid peetakse „eriti olulisteks kasutajateks“. Nende nõuete kehtestamisel võeti arvesse ERGA aruannetes esitatud soovitusi, kuna need vastavad kriteeriumidele, mis võimaldavad neid võrdsustada audiovisuaalmeedia teenuste osutajatega.</w:t>
      </w:r>
    </w:p>
    <w:p w14:paraId="4A31740D" w14:textId="77777777" w:rsidR="00681F68" w:rsidRDefault="00555CF7">
      <w:pPr>
        <w:pStyle w:val="BodyText"/>
        <w:spacing w:before="5" w:line="249" w:lineRule="auto"/>
        <w:ind w:left="1584" w:right="1582" w:firstLine="340"/>
        <w:jc w:val="both"/>
      </w:pPr>
      <w:r>
        <w:t>Nendest nõuetest viitab punkt a „olulisele sissetulekule“, mida eriti olulised kasutajad peavad videojagamisplatvormi teenuste osutamisel teenima. Punktis c käsitletakse omakorda eriti olulisi vaatajaskonna kasutajaid, kelleni nad peavad oma tegevuse tõttu kõnealustes teenustes jõudma.</w:t>
      </w:r>
    </w:p>
    <w:p w14:paraId="663DEBFD" w14:textId="77777777" w:rsidR="00681F68" w:rsidRDefault="00555CF7">
      <w:pPr>
        <w:pStyle w:val="BodyText"/>
        <w:spacing w:before="4" w:line="249" w:lineRule="auto"/>
        <w:ind w:left="1584" w:right="1582" w:firstLine="340"/>
        <w:jc w:val="both"/>
      </w:pPr>
      <w:r>
        <w:t>Selles sättes ei ole sätestatud artikli 94 lõike 2 punktides a ja c sätestatud nõudeid. Sellega seoses viidatakse 7. juuli 2022. aasta seaduse 13/2022 seitsmendas lõppsättes artikli 94 väljatöötamiseks ja kohaldamiseks vajalikele sätetele. Õigupoolest on käesoleva artikli jõustumise tingimuseks neid nõudeid täpsustavate määruste vastuvõtmine vastavalt 7. juuli 2022. aasta seaduse 13/2022 üheksanda lõppsätte neljandale lõigule.</w:t>
      </w:r>
    </w:p>
    <w:p w14:paraId="70933DDF" w14:textId="77777777" w:rsidR="00681F68" w:rsidRDefault="00555CF7">
      <w:pPr>
        <w:pStyle w:val="BodyText"/>
        <w:spacing w:before="5" w:line="249" w:lineRule="auto"/>
        <w:ind w:left="1584" w:right="1582" w:firstLine="340"/>
        <w:jc w:val="both"/>
      </w:pPr>
      <w:r>
        <w:t>Seega on 7. juuli 2022. aasta seaduse 13/2022 seitsmenda viimase sätte kohaselt käesolev kuninglik dekreet koostatud eesmärgiga täpsustada artikli 94 lõike 2 punktides a ja c sätestatud nõudeid, mille vastuvõtmine toob kaasa artikli 94 jõustumise.</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Mis puudutab struktuuri, siis koosneb kuninglik dekreet neljast artiklist, mis on jaotatud kaheks peatükiks, lisasätteks ja kolmeks lõppsätteks.</w:t>
      </w:r>
    </w:p>
    <w:p w14:paraId="52DF792C" w14:textId="77777777" w:rsidR="00681F68" w:rsidRDefault="00555CF7">
      <w:pPr>
        <w:pStyle w:val="BodyText"/>
        <w:spacing w:before="2" w:line="249" w:lineRule="auto"/>
        <w:ind w:left="1584" w:right="1582" w:firstLine="340"/>
        <w:jc w:val="both"/>
      </w:pPr>
      <w:r>
        <w:t>I peatükk sisaldab kuningliku dekreedi sisu ja kohaldamisala. II peatükis täpsustatakse 7. juuli 2022. aasta seaduse 13/2022 artikli 94 lõike 2 punktides a ja c sätestatud märkimisväärseid sissetuleku- ja ärakuulamisega seotud nõudeid.</w:t>
      </w:r>
    </w:p>
    <w:p w14:paraId="62387CA0" w14:textId="77777777" w:rsidR="00681F68" w:rsidRDefault="00555CF7">
      <w:pPr>
        <w:pStyle w:val="BodyText"/>
        <w:spacing w:before="2" w:line="249" w:lineRule="auto"/>
        <w:ind w:left="1584" w:right="1581" w:firstLine="340"/>
        <w:jc w:val="both"/>
      </w:pPr>
      <w:r>
        <w:t>Lisaks ja vastavalt 1. oktoobri 2015. aasta seaduse nr 39/2015 artiklile 129 on käesolev kuninglik dekreet koostatud vastavalt vajalikkuse, tõhususe, proportsionaalsuse, õiguskindluse, läbipaistvuse ja tõhususe põhimõtetele.</w:t>
      </w:r>
    </w:p>
    <w:p w14:paraId="2C11F8B1" w14:textId="3DCF6A67" w:rsidR="00681F68" w:rsidRDefault="00555CF7">
      <w:pPr>
        <w:pStyle w:val="BodyText"/>
        <w:spacing w:before="3" w:line="249" w:lineRule="auto"/>
        <w:ind w:left="1584" w:right="1580" w:firstLine="340"/>
        <w:jc w:val="both"/>
      </w:pPr>
      <w:r>
        <w:t>Esiteks on järgitud vajalikkuse ja tõhususe põhimõtteid, kuna regulatiivse algatuse eesmärk on tagada audiovisuaalturu tasakaal, määrates kindlaks konkreetse kategooria videojagamisteenuste kasutajaid platvormi kaudu, mis peab täitma olulisi kohustusi, et kaitsta üldsust ja eelkõige alaealisi audiovisuaalse sisu ja audiovisuaalsete äriliste teadaannete eest, mis on kahjulikud või keelatud 7. juuli 2022. aasta seadusega 13/2022. Samuti on määrus kuningliku dekreedi kaudu asjakohane vahend, et tagada nõuete terviklik ja järjepidev reguleerimine.</w:t>
      </w:r>
    </w:p>
    <w:p w14:paraId="2E46D771" w14:textId="77777777" w:rsidR="00681F68" w:rsidRPr="00380395"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Mis puudutab õiguskindluse põhimõtet, siis on kuninglik dekreet kooskõlas ülejäänud liikmesriigi õiguskorraga, kuna see kujutab koos 7. juuli 2022. aasta seadusega 13/2022 endast stabiilset, prognoositavat, integreeritud ja selget reguleerivat raamistikku, mida peetakse eriti oluliseks kasutajaks, ning kohustusi, mis selle tingimusega kaasnevad määruse kohaldamisalasse kuulumiseks.</w:t>
      </w:r>
    </w:p>
    <w:p w14:paraId="67E0400C" w14:textId="77777777" w:rsidR="00681F68" w:rsidRDefault="00555CF7">
      <w:pPr>
        <w:pStyle w:val="BodyText"/>
        <w:spacing w:before="4" w:line="249" w:lineRule="auto"/>
        <w:ind w:left="1584" w:right="1581" w:firstLine="340"/>
        <w:jc w:val="both"/>
      </w:pPr>
      <w:r>
        <w:t xml:space="preserve">Mis puudutab proportsionaalsuse põhimõtet, siis määrused sisaldavad eeskirju, mis on vajalikud nende vastuvõtmist õigustavate eesmärkide saavutamiseks, kuna need piirduvad rangelt nende nõuete reguleerimisega, mis õigusliku nõudena nõuavad regulatiivset arengut. Nimetatud nõuete täitmisel on alati lähtutud spetsialiseerunud veebisaitidel avaldatud andmete põhjalikust uurimisest Hispaanias nii audiovisuaal- kui ka </w:t>
      </w:r>
      <w:r>
        <w:lastRenderedPageBreak/>
        <w:t>reklaamiturul tegutsevate tuntuimate „mõjuisikute“ tulude ja vaatajaskonna näitajate kohta, mida saab võrrelda teiste audiovisuaalmeedia teenusepakkujate omadega.</w:t>
      </w:r>
    </w:p>
    <w:p w14:paraId="2105ED2B" w14:textId="77777777" w:rsidR="00681F68" w:rsidRDefault="00555CF7">
      <w:pPr>
        <w:pStyle w:val="BodyText"/>
        <w:spacing w:before="7" w:line="249" w:lineRule="auto"/>
        <w:ind w:left="1584" w:right="1581" w:firstLine="340"/>
        <w:jc w:val="both"/>
      </w:pPr>
      <w:r>
        <w:t>Läbipaistvuse põhimõtte osas on seletuskirjas selgelt ja täpselt määratletud käesoleva seadusandliku algatuse eesmärgid ja põhjendused. Ministrite nõukogu 5. detsembri 2023. aasta otsusega lepiti kokku, et kuningliku dekreedi eelnõu menetletakse kiiresti erakorralise asjaolu tõttu, nagu on sätestatud 27. novembri 1997. aasta seaduse 50/1997 (valitsuse kohta) artikli 27 lõike 1 punktis b. Järelikult ei ole rikutud 27. novembri 1997. aasta seaduse 50/1997 artikli 26 lõikes 2 ja artikli 27 lõike 2 punktis b ette nähtud avalikku konsultatsioonimenetlust.</w:t>
      </w:r>
    </w:p>
    <w:p w14:paraId="7B68582B" w14:textId="77777777" w:rsidR="00681F68" w:rsidRDefault="00555CF7">
      <w:pPr>
        <w:pStyle w:val="BodyText"/>
        <w:spacing w:before="7" w:line="249" w:lineRule="auto"/>
        <w:ind w:left="1584" w:right="1581" w:firstLine="340"/>
        <w:jc w:val="both"/>
      </w:pPr>
      <w:r>
        <w:t>Vastavalt 27. novembri 1997. aasta seaduse 50/1997 artikli 26 lõikele 6 ja artikli 27 lõike 2 punktile b on audiovisuaalsektori ja autonoomsete piirkondade jaoks korraldatud avalik ärakuulamine, et võimaldada neil teada saada määruse eelnõu sisu, anda oma panus ja lõpuks parandada käesolevat kuninglikku dekreeti. Lisaks on aruande esitanud riiklik turgude ja konkurentsi komisjon, Hispaania andmekaitseamet ning tarbijate ja kasutajate nõukogu.</w:t>
      </w:r>
    </w:p>
    <w:p w14:paraId="6D0B69BF" w14:textId="77777777" w:rsidR="00681F68" w:rsidRDefault="00555CF7">
      <w:pPr>
        <w:pStyle w:val="BodyText"/>
        <w:spacing w:before="5" w:line="249" w:lineRule="auto"/>
        <w:ind w:left="1584" w:right="1582" w:firstLine="340"/>
        <w:jc w:val="both"/>
      </w:pPr>
      <w:r>
        <w:t>Kuigi kiire menetlemine on tähendanud avaliku konsultatsiooni menetluse väljajätmist, on määruse adressaatidel võimalik osaleda selle koostamises avaliku ärakuulamise menetluse kaudu.</w:t>
      </w:r>
    </w:p>
    <w:p w14:paraId="69E4B59A" w14:textId="77777777" w:rsidR="00681F68" w:rsidRDefault="00555CF7">
      <w:pPr>
        <w:pStyle w:val="BodyText"/>
        <w:spacing w:before="3" w:line="249" w:lineRule="auto"/>
        <w:ind w:left="1584" w:right="1581" w:firstLine="340"/>
        <w:jc w:val="both"/>
      </w:pPr>
      <w:r>
        <w:t>Mis puudutab tõhususe põhimõtet, siis ei tekita käesolev kuninglik dekreet uut halduskoormust neile, keda määrus puudutab. Kuigi märkimisväärse tulu ja ärakuulamisega seotud nõuete täitmine toob kaasa 7. juuli 2022. aasta seaduse 13/2022 artikli 39 lõike 2 punktis g sätestatud kohustuse registreerida end riiklikus registris, on seda halduskoormust juba kaalutud ja seda on nõuetekohaselt hinnatud 19. detsembri 2023. aasta kuninglikule dekreedile 1138/2023 vastavas regulatiivse mõju analüüsi aruandes, millega reguleeritakse audiovisuaalmeedia teenuste osutajate, videojagamisplatvormiteenuste osutajate ja audiovisuaalmeedia teenuste koondamise teenuste osutajaid, ning tegevuse algatamise eelneva teavitamise menetluses.</w:t>
      </w:r>
    </w:p>
    <w:p w14:paraId="0617C079" w14:textId="06211280" w:rsidR="00681F68" w:rsidRDefault="00555CF7">
      <w:pPr>
        <w:pStyle w:val="BodyText"/>
        <w:spacing w:before="9" w:line="249" w:lineRule="auto"/>
        <w:ind w:left="1584" w:right="1581" w:firstLine="340"/>
        <w:jc w:val="both"/>
      </w:pPr>
      <w:r>
        <w:t>Selle kuningliku dekreedi koostamise menetluse käigus küsiti aruannet ministeeriumidelt, kelle pädevust määrus mõjutas, samuti riiginõukogult kohustuslikku arvamust vastavalt 27. novembri 1997. aasta seaduse 50/1997 artikli 26 lõikele 5, artikli 26 lõikele 7 ja artikli 26 lõikele 9.</w:t>
      </w:r>
    </w:p>
    <w:p w14:paraId="583F882B" w14:textId="77777777" w:rsidR="00681F68" w:rsidRDefault="00555CF7">
      <w:pPr>
        <w:pStyle w:val="BodyText"/>
        <w:spacing w:before="4" w:line="249" w:lineRule="auto"/>
        <w:ind w:left="1584" w:right="1582" w:firstLine="340"/>
        <w:jc w:val="both"/>
      </w:pPr>
      <w:r>
        <w:t>Selle kuningliku dekreedi suhtes on kohaldatud menetlust, mis on sätestatud Euroopa Parlamendi ja nõukogu 9. septembri 2015. aasta direktiivis (EL) 2015/1535, millega nähakse ette tehnilistest eeskirjadest ning infoühiskonna teenuste eeskirjadest teatamise kord, ning 31. juuli 1999. aasta kuninglikus dekreedis 1337/1999, millega reguleeritakse tehnilistest standarditest ja eeskirjadest ning infoühiskonna teenuste eeskirjadest teavitamist.</w:t>
      </w:r>
    </w:p>
    <w:p w14:paraId="7B359D60" w14:textId="17210F4A" w:rsidR="00681F68" w:rsidRPr="00380395" w:rsidRDefault="00681F68">
      <w:pPr>
        <w:pStyle w:val="BodyText"/>
        <w:spacing w:line="20" w:lineRule="exact"/>
        <w:ind w:left="166"/>
        <w:rPr>
          <w:sz w:val="2"/>
        </w:rPr>
      </w:pPr>
    </w:p>
    <w:p w14:paraId="73B76E32" w14:textId="77777777" w:rsidR="00681F68" w:rsidRDefault="00555CF7">
      <w:pPr>
        <w:pStyle w:val="BodyText"/>
        <w:spacing w:before="1" w:line="249" w:lineRule="auto"/>
        <w:ind w:left="1584" w:right="1582" w:firstLine="340"/>
        <w:jc w:val="both"/>
      </w:pPr>
      <w:r>
        <w:t>Käesolev kuninglik dekreet on välja antud artikli 149 lõike 1 punkti 21 alusel, mis annab riigile telekommunikatsiooniküsimustes ainujurisdiktsiooni, ja volitused 7. juuli 2022. aasta seaduse 13/2022 õiguslikuks arendamiseks.</w:t>
      </w:r>
    </w:p>
    <w:p w14:paraId="5F0B5EC9" w14:textId="77777777" w:rsidR="00681F68" w:rsidRDefault="00555CF7">
      <w:pPr>
        <w:pStyle w:val="BodyText"/>
        <w:spacing w:before="3" w:line="249" w:lineRule="auto"/>
        <w:ind w:left="1584" w:right="1582" w:firstLine="340"/>
        <w:jc w:val="both"/>
      </w:pPr>
      <w:r>
        <w:t>Sellest tulenevalt, digiülemineku ja avaliku teenistuse ministri ettepanekul, kokkuleppel riiginõukoguga ja olles ära kuulanud ministrite nõukogu arutelu 30. aprilli 2024. aasta istungil,</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ANTAKSE VÄLJA JÄRGMINE DEKREET:</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I PEATÜKK</w:t>
      </w:r>
    </w:p>
    <w:p w14:paraId="4DE54A57" w14:textId="77777777" w:rsidR="00681F68" w:rsidRDefault="00555CF7" w:rsidP="00287046">
      <w:pPr>
        <w:pStyle w:val="Heading1"/>
        <w:spacing w:before="180"/>
        <w:ind w:left="1560" w:right="1612"/>
        <w:jc w:val="center"/>
      </w:pPr>
      <w:r>
        <w:t>Üldsätted</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Artikkel 1.</w:t>
      </w:r>
      <w:r>
        <w:rPr>
          <w:sz w:val="20"/>
        </w:rPr>
        <w:tab/>
      </w:r>
      <w:r>
        <w:rPr>
          <w:i/>
          <w:sz w:val="20"/>
        </w:rPr>
        <w:t>Eesmärk.</w:t>
      </w:r>
    </w:p>
    <w:p w14:paraId="05EFD4BC" w14:textId="77777777" w:rsidR="00681F68" w:rsidRDefault="00555CF7">
      <w:pPr>
        <w:pStyle w:val="BodyText"/>
        <w:spacing w:before="180" w:line="249" w:lineRule="auto"/>
        <w:ind w:left="1584" w:right="1582" w:firstLine="340"/>
        <w:jc w:val="both"/>
      </w:pPr>
      <w:r>
        <w:t>Kuningliku dekreedi eesmärk on täpsustada 7. juuli 2022. aasta üldseaduse 13/2022 (audiovisuaalkommunikatsiooni kohta) artikli 94 lõike 2 punktides a ja c sätestatud nõudeid seoses sellega, keda peetakse eriti oluliseks kasutajaks, kes kasutab videojagamisplatvormide teenuseid.</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Artikkel 2.</w:t>
      </w:r>
      <w:r>
        <w:rPr>
          <w:sz w:val="20"/>
        </w:rPr>
        <w:tab/>
      </w:r>
      <w:r>
        <w:rPr>
          <w:i/>
          <w:sz w:val="20"/>
        </w:rPr>
        <w:t>Kohaldamisala</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lastRenderedPageBreak/>
        <w:t>Käesolevat kuninglikku dekreeti kohaldatakse videojagamisplatvormi teenuste kasutajate suhtes, olenemata sellest, kas nad on füüsilised või juriidilised isikud, kes samal ajal vastavad 7. juuli 2022. aasta seaduse 13/2022 artikli 94 lõikes 2 sätestatud nõuetele. Selle sätte punktides a ja c sätestatud nõuded on sätestatud vastavalt II peatüki artiklites 3 ja 4.</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Vastavalt 7. juuli 2022. aasta seaduse 13/2022 artikli 94 lõikele 3 ei kohaldata käesolevat kuninglikku dekreeti kõnealuses sättes sätestatud tingimustel loetletud teemade suhtes.</w:t>
      </w:r>
    </w:p>
    <w:p w14:paraId="46B26FBE" w14:textId="77777777" w:rsidR="00681F68" w:rsidRDefault="00555CF7">
      <w:pPr>
        <w:pStyle w:val="BodyText"/>
        <w:spacing w:before="2" w:line="249" w:lineRule="auto"/>
        <w:ind w:left="1584" w:right="1581" w:firstLine="340"/>
        <w:jc w:val="both"/>
      </w:pPr>
      <w:r>
        <w:t>Samuti ei kohaldata seda audiovisuaalmeedia teenuste osutajate suhtes, kes on registreeritud riikliku audiovisuaalmeedia teenuste osutajate registri esimeses osas, videojagamisplatvormi teenuste osutajatele ja audiovisuaalmeedia teenuste koondamise teenuste osutajatele; vastavalt 19. detsembri 2023. aasta kuningliku dekreedi 1138/2023 artikli 9 lõikele 1 seoses videote jagamise platvormi teenuste kaudu üldsusele kättesaadavaks tehtud saadete, audiovisuaalse sisu ja/või nende väljavõtetega.</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II PEATÜKK</w:t>
      </w:r>
    </w:p>
    <w:p w14:paraId="6F6F1A52" w14:textId="77777777" w:rsidR="00681F68" w:rsidRDefault="00555CF7" w:rsidP="00287046">
      <w:pPr>
        <w:pStyle w:val="Heading1"/>
        <w:spacing w:before="180"/>
        <w:ind w:left="1560" w:right="1471"/>
        <w:jc w:val="center"/>
      </w:pPr>
      <w:r>
        <w:t>Märkimisväärsed tulud ja vaatajaskonna nõuded</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Artikkel 3.</w:t>
      </w:r>
      <w:r>
        <w:rPr>
          <w:sz w:val="20"/>
        </w:rPr>
        <w:tab/>
      </w:r>
      <w:r>
        <w:rPr>
          <w:i/>
          <w:sz w:val="20"/>
        </w:rPr>
        <w:t>Märkimisväärsed tulud.</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7. juuli 2022. aasta seaduse 13/2022 artikli 94 lõike 2 punkti a kohaselt käsitatakse märkimisväärset tulu eelmisel kalendriaastal saadud brutotuluna, mis on võrdne 300 000 euroga või sellest suurem ja mis on eranditult saadud kasutajate tegevusest kõigi nende poolt tööle võetud videojagamisplatvormi teenuste puhul.</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Märkimisväärse tulu kindlaksmääramiseks kõlblikud tulud on järgmised.</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Tulu, mis saadakse nii rahalisest kui ka mitterahalisest tasust videojagamisplatvormi teenuste kasutajate vastutusalasse kuuluva audiovisuaalse sisuga kaasnevate või sellesse lisatud audiovisuaalsete äriliste teadaannete turustamise, müügi või korraldamise eest.</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Tulu, mida kasutajad saavad videojagamisplatvormi teenuste osutajatelt nende teenuste osutamise eest.</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Kasutajate tegevusest saadud tulu vaatajaskonna poolt videojagamisplatvormi teenuste eest makstavatest tasudest ja maksetest.</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Tulu, mis saadakse avalike haldusasutuste ja üksuste antud rahalistest soodustustest, olenemata nende nimest ja laadist, mis on seotud kasutajate tegevusega videote jagamise platvormi teenustes.</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Muud tulud, mis on saadud kasutajate tegevusest videote jagamise platvormi teenustes, mida ei ole käesoleva lõike eelmistes punktides ette nähtud.</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Artikkel 4.  </w:t>
      </w:r>
      <w:r>
        <w:rPr>
          <w:i/>
          <w:sz w:val="20"/>
        </w:rPr>
        <w:t>Märkimisväärne publik.</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7. juuli 2022. aasta seaduse 13/2022 artikli 94 lõike 2 punkti c kohaselt loetakse teenus, mille eest vastutab kasutaja, olevaks mõeldud märkimisväärsele osale üldsusest ja sellel võib olla selge mõju, kui see vastab kumulatiivselt järgmistele nõuetele.</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Teenus jõuab ühel ajal eelmisel kalendriaastal ühel videojagamisplatvormi teenusel 1 000 000 või rohkem jälgijani; või on jälgijate arv kokku 2 000 000 või rohkem, võttes arvesse kõiki videojagamisplatvormi teenuseid, mille kaudu kasutaja tegutseb.</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Et kõigis videote jagamise platvormi teenustes, kus kasutaja tegutseb, on eelmisel kalendriaastal avaldatud või jagatud 24 või enam videot, olenemata nende kestusest.</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Ainus lisasäte. </w:t>
      </w:r>
      <w:r>
        <w:rPr>
          <w:i/>
          <w:sz w:val="20"/>
        </w:rPr>
        <w:t>Eriti oluliste kasutajate registreerimine audiovisuaalmeedia teenuste osutajate, videojagamisplatvormi teenuste osutajate ja audiovisuaalmeedia teenuste koondteenuste osutajate riiklikus registris.</w:t>
      </w:r>
    </w:p>
    <w:p w14:paraId="4A179741" w14:textId="77777777" w:rsidR="00681F68" w:rsidRDefault="00555CF7">
      <w:pPr>
        <w:pStyle w:val="BodyText"/>
        <w:spacing w:before="174" w:line="249" w:lineRule="auto"/>
        <w:ind w:left="1584" w:right="1581" w:firstLine="340"/>
        <w:jc w:val="both"/>
      </w:pPr>
      <w:r>
        <w:t xml:space="preserve">Vastavalt 19. detsembri 2023. aasta kuningliku dekreedi 1138/2023 esimese üleminekusätte lõikele 2 on videojagamisplatvormi teenuste kasutajatel, kes vastavad </w:t>
      </w:r>
      <w:r>
        <w:lastRenderedPageBreak/>
        <w:t>artiklites 3 ja 4 sätestatud nõuetele, aega kaks kuud alates käesoleva kuningliku dekreedi jõustumisest, et esitada 7. juuli 2022. aasta seaduse 13/2022 artiklis 39 ette nähtud taotlus riiklikku registrisse kandmiseks.</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Esimene lõppsäte.</w:t>
      </w:r>
      <w:r>
        <w:rPr>
          <w:sz w:val="20"/>
        </w:rPr>
        <w:tab/>
      </w:r>
      <w:r>
        <w:rPr>
          <w:i/>
          <w:sz w:val="20"/>
        </w:rPr>
        <w:t>Volituste andmine</w:t>
      </w:r>
    </w:p>
    <w:p w14:paraId="16E6279A" w14:textId="66273675" w:rsidR="00681F68" w:rsidRDefault="00555CF7">
      <w:pPr>
        <w:pStyle w:val="BodyText"/>
        <w:spacing w:before="181" w:line="249" w:lineRule="auto"/>
        <w:ind w:left="1584" w:right="1582" w:firstLine="340"/>
        <w:jc w:val="both"/>
      </w:pPr>
      <w:r>
        <w:t>Käesolev kuninglik dekreet on välja antud riigi ainupädevuse alusel telekommunikatsiooni valdkonnas, mis on talle antud Hispaania põhiseaduse artikli 149 lõike 1 punktiga 21.</w:t>
      </w:r>
    </w:p>
    <w:p w14:paraId="168A0FB9" w14:textId="77777777" w:rsidR="00681F68" w:rsidRDefault="00555CF7">
      <w:pPr>
        <w:tabs>
          <w:tab w:val="left" w:pos="4107"/>
        </w:tabs>
        <w:spacing w:before="229"/>
        <w:ind w:left="1584"/>
        <w:rPr>
          <w:i/>
          <w:sz w:val="20"/>
        </w:rPr>
      </w:pPr>
      <w:r>
        <w:rPr>
          <w:sz w:val="20"/>
        </w:rPr>
        <w:t>Teine lõppsäte.</w:t>
      </w:r>
      <w:r>
        <w:rPr>
          <w:sz w:val="20"/>
        </w:rPr>
        <w:tab/>
      </w:r>
      <w:r>
        <w:rPr>
          <w:i/>
          <w:sz w:val="20"/>
        </w:rPr>
        <w:t>Täiendamisvolitused</w:t>
      </w:r>
    </w:p>
    <w:p w14:paraId="4989D857" w14:textId="77777777" w:rsidR="00681F68" w:rsidRDefault="00555CF7">
      <w:pPr>
        <w:pStyle w:val="BodyText"/>
        <w:spacing w:before="180" w:line="249" w:lineRule="auto"/>
        <w:ind w:left="1584" w:right="1582" w:firstLine="340"/>
        <w:jc w:val="both"/>
      </w:pPr>
      <w:r>
        <w:t>Digiülemineku ja avaliku teenistuse ministeeriumi eest vastutav isik võib anda välja sätted käesoleva kuningliku dekreedi väljatöötamiseks, kohaldamiseks ja täitmiseks.</w:t>
      </w:r>
    </w:p>
    <w:p w14:paraId="6E421BBE" w14:textId="77777777" w:rsidR="00681F68" w:rsidRPr="00380395"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Kolmas lõppsäte.</w:t>
      </w:r>
      <w:r>
        <w:rPr>
          <w:sz w:val="20"/>
        </w:rPr>
        <w:tab/>
      </w:r>
      <w:r>
        <w:rPr>
          <w:i/>
          <w:sz w:val="20"/>
        </w:rPr>
        <w:t>Jõustumine</w:t>
      </w:r>
    </w:p>
    <w:p w14:paraId="488E54FB" w14:textId="77777777" w:rsidR="00681F68" w:rsidRDefault="00555CF7">
      <w:pPr>
        <w:pStyle w:val="BodyText"/>
        <w:spacing w:before="180"/>
        <w:ind w:left="1924"/>
      </w:pPr>
      <w:r>
        <w:t>See kuninglik dekreet jõustub järgmisel päeval pärast selle avaldamist riigi ametlikus väljaandes.</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Madridis 30. aprillil 2024. a.</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Digiülemineku ja avaliku teenistuse minister,</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372A69FE" w:rsidR="00681F68" w:rsidRDefault="00681F68">
      <w:pPr>
        <w:pStyle w:val="BodyText"/>
      </w:pPr>
    </w:p>
    <w:p w14:paraId="71310691" w14:textId="00D5EBF4" w:rsidR="00380395" w:rsidRDefault="00380395">
      <w:pPr>
        <w:pStyle w:val="BodyText"/>
      </w:pPr>
    </w:p>
    <w:p w14:paraId="29C9AC1C" w14:textId="38DC780E" w:rsidR="00380395" w:rsidRDefault="00380395">
      <w:pPr>
        <w:pStyle w:val="BodyText"/>
      </w:pPr>
    </w:p>
    <w:p w14:paraId="7CF673CE" w14:textId="15C5AFB5" w:rsidR="00380395" w:rsidRDefault="00380395">
      <w:pPr>
        <w:pStyle w:val="BodyText"/>
      </w:pPr>
    </w:p>
    <w:p w14:paraId="5BF26E9F" w14:textId="7E8AA89E" w:rsidR="00380395" w:rsidRDefault="00380395">
      <w:pPr>
        <w:pStyle w:val="BodyText"/>
      </w:pPr>
    </w:p>
    <w:p w14:paraId="2873B3F4" w14:textId="79CB6989" w:rsidR="00380395" w:rsidRDefault="00380395">
      <w:pPr>
        <w:pStyle w:val="BodyText"/>
      </w:pPr>
    </w:p>
    <w:p w14:paraId="0B9C9B11" w14:textId="11F59D0A" w:rsidR="00380395" w:rsidRDefault="00380395">
      <w:pPr>
        <w:pStyle w:val="BodyText"/>
      </w:pPr>
    </w:p>
    <w:p w14:paraId="16965583" w14:textId="205B4401" w:rsidR="00380395" w:rsidRDefault="00380395">
      <w:pPr>
        <w:pStyle w:val="BodyText"/>
      </w:pPr>
    </w:p>
    <w:p w14:paraId="684CA3CA" w14:textId="77777777" w:rsidR="00380395" w:rsidRPr="00555CF7" w:rsidRDefault="00380395">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946047"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b/>
          <w:color w:val="FFFFFF"/>
          <w:sz w:val="16"/>
        </w:rPr>
        <w:tab/>
      </w:r>
      <w:r w:rsidR="00555CF7">
        <w:rPr>
          <w:b/>
          <w:color w:val="FFFFFF"/>
          <w:sz w:val="20"/>
        </w:rPr>
        <w:t xml:space="preserve">HISPAANIA AMETLIK VÄLJAANNE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C965" w14:textId="77777777" w:rsidR="00946047" w:rsidRDefault="00946047">
      <w:r>
        <w:separator/>
      </w:r>
    </w:p>
  </w:endnote>
  <w:endnote w:type="continuationSeparator" w:id="0">
    <w:p w14:paraId="4D9E9E81" w14:textId="77777777" w:rsidR="00946047" w:rsidRDefault="0094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Kontrollitav aadressil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Kontrollitav aadressil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Kontrollitav aadressil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Kontrollitav aadressil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AD7A" w14:textId="77777777" w:rsidR="00946047" w:rsidRDefault="00946047">
      <w:r>
        <w:separator/>
      </w:r>
    </w:p>
  </w:footnote>
  <w:footnote w:type="continuationSeparator" w:id="0">
    <w:p w14:paraId="46D07CA5" w14:textId="77777777" w:rsidR="00946047" w:rsidRDefault="0094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HISPAANIA AMETLIK VÄLJAANNE</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Kolmapäev, 1. mai 2024</w:t>
    </w:r>
    <w:r>
      <w:rPr>
        <w:b/>
        <w:color w:val="004479"/>
        <w:sz w:val="20"/>
      </w:rPr>
      <w:tab/>
      <w:t xml:space="preserve">I jagu. Lk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3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3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HISPAANIA AMETLIK VÄLJAANNE</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Kolmapäev, 1. mai 2024</w:t>
    </w:r>
    <w:r>
      <w:rPr>
        <w:b/>
        <w:color w:val="004479"/>
        <w:sz w:val="20"/>
      </w:rPr>
      <w:tab/>
      <w:t xml:space="preserve">I jagu. Lk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32"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33"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HISPAANIA AMETLIK VÄLJAANNE</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Kolmapäev, 1. mai 2024</w:t>
    </w:r>
    <w:r>
      <w:rPr>
        <w:b/>
        <w:color w:val="004479"/>
        <w:sz w:val="20"/>
      </w:rPr>
      <w:tab/>
      <w:t xml:space="preserve">I jagu. Lk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HISPAANIA AMETLIK VÄLJAANNE</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Kolmapäev, 1. mai 2024</w:t>
    </w:r>
    <w:r>
      <w:rPr>
        <w:b/>
        <w:color w:val="004479"/>
        <w:sz w:val="20"/>
      </w:rPr>
      <w:tab/>
      <w:t xml:space="preserve">I jagu. Lk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380395"/>
    <w:rsid w:val="00555CF7"/>
    <w:rsid w:val="00681F68"/>
    <w:rsid w:val="00946047"/>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et-EE"/>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2234</Words>
  <Characters>16152</Characters>
  <Application>Microsoft Office Word</Application>
  <DocSecurity>0</DocSecurity>
  <Lines>310</Lines>
  <Paragraphs>85</Paragraphs>
  <ScaleCrop>false</ScaleCrop>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2024-06-11T06:41:00Z</dcterms:created>
  <dcterms:modified xsi:type="dcterms:W3CDTF">2024-06-11T06:41:00Z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