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3B1E" w14:textId="77777777" w:rsidR="00F14052" w:rsidRDefault="0023224A">
      <w:pPr>
        <w:pStyle w:val="zamik"/>
        <w:pBdr>
          <w:top w:val="none" w:sz="0" w:space="24" w:color="auto"/>
        </w:pBdr>
        <w:spacing w:after="210"/>
        <w:jc w:val="both"/>
        <w:rPr>
          <w:rFonts w:ascii="Arial" w:eastAsia="Arial" w:hAnsi="Arial" w:cs="Arial"/>
          <w:sz w:val="21"/>
          <w:szCs w:val="21"/>
        </w:rPr>
      </w:pPr>
      <w:r>
        <w:rPr>
          <w:rFonts w:ascii="Arial" w:hAnsi="Arial"/>
          <w:sz w:val="21"/>
        </w:rPr>
        <w:t>På grundval av artiklarna 8.2, 21.2, 31.5, 32.8, 38.2, 39.7, 40.3, 43.5 och 43.6, 44.3 och 77.6 i luftfartslagen (Republiken Sloveniens officiella tidning nr 81/10 – officiell konsoliderad text, 46/16), 47/19 och 18/23 – ZDU-1O) utfärdar infrastrukturministern följande</w:t>
      </w:r>
    </w:p>
    <w:p w14:paraId="1061B77B" w14:textId="77777777" w:rsidR="00F14052" w:rsidRDefault="0023224A">
      <w:pPr>
        <w:pStyle w:val="center"/>
        <w:spacing w:before="210" w:after="210"/>
        <w:rPr>
          <w:rFonts w:ascii="Arial" w:eastAsia="Arial" w:hAnsi="Arial" w:cs="Arial"/>
          <w:b/>
          <w:bCs/>
          <w:caps/>
          <w:sz w:val="21"/>
          <w:szCs w:val="21"/>
        </w:rPr>
      </w:pPr>
      <w:r>
        <w:rPr>
          <w:rFonts w:ascii="Arial" w:hAnsi="Arial"/>
          <w:b/>
          <w:caps/>
          <w:sz w:val="21"/>
        </w:rPr>
        <w:t>R E G L E R</w:t>
      </w:r>
    </w:p>
    <w:p w14:paraId="0FC8AB66" w14:textId="77777777" w:rsidR="00F14052" w:rsidRDefault="0023224A">
      <w:pPr>
        <w:pStyle w:val="center"/>
        <w:spacing w:before="210" w:after="210"/>
        <w:rPr>
          <w:rFonts w:ascii="Arial" w:eastAsia="Arial" w:hAnsi="Arial" w:cs="Arial"/>
          <w:b/>
          <w:bCs/>
          <w:caps/>
          <w:sz w:val="21"/>
          <w:szCs w:val="21"/>
        </w:rPr>
      </w:pPr>
      <w:r>
        <w:rPr>
          <w:rFonts w:ascii="Arial" w:hAnsi="Arial"/>
          <w:b/>
          <w:caps/>
          <w:sz w:val="21"/>
        </w:rPr>
        <w:t>om ändring av reglerna för ultralätta luftfartyg</w:t>
      </w:r>
    </w:p>
    <w:p w14:paraId="206426FF"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3D38CE4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reglerna om ultralätta luftfartyg (Republiken Sloveniens officiella tidning, nr 49/16, 52/16, 32/18, 10/19 och 75/19) ska en ny punkt 3 läggas till i artikel 1 efter punkt 2, som har följande lydelse:</w:t>
      </w:r>
    </w:p>
    <w:p w14:paraId="474EDBE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Dessa regler utfärdas med beaktande av informationsförfarandet i enlighet med Europaparlamentets och rådets </w:t>
      </w:r>
      <w:hyperlink r:id="rId4" w:tgtFrame="_blank" w:tooltip="to EUR-Lex" w:history="1">
        <w:r>
          <w:rPr>
            <w:rFonts w:ascii="Arial" w:hAnsi="Arial"/>
            <w:color w:val="0000EE"/>
            <w:sz w:val="21"/>
            <w:u w:val="single" w:color="0000EE"/>
          </w:rPr>
          <w:t>direktiv (EU) 2015/1535</w:t>
        </w:r>
      </w:hyperlink>
      <w:r>
        <w:rPr>
          <w:rFonts w:ascii="Arial" w:hAnsi="Arial"/>
          <w:sz w:val="21"/>
        </w:rPr>
        <w:t xml:space="preserve"> av den 9 september 2015 om ett informationsförfarande beträffande tekniska föreskrifter och beträffande föreskrifter för informationssamhällets tjänster (kodifiering) (EUT L 241, 17. 9. 2015, s. 1).”.</w:t>
      </w:r>
    </w:p>
    <w:p w14:paraId="3757F448"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4443382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 ska en ny punkt 4 läggas till efter punkt 3, som har följande lydelse:</w:t>
      </w:r>
    </w:p>
    <w:p w14:paraId="61CF4E9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En enhet som väger upp till och med 120 kg är en enhet vars grundvikt för den tomma enheten inte överstiger 120 kg. Den tomma enhetens grundvikt anses vara den anordning med alla komponenter som tillverkaren eller tillverkaren installerade i enheten vid tidpunkten för tillverkningen eller senare, med tekniska ändringar av enheten, med alla vätskor som krävs för att enheten ska fungera, samt eventuell tillvalsutrustning som specificeras vid tidpunkten för tillverkningen av enheten eller senare med tekniska ändringar av enheten.  Tillvalsutrustning är utrustning som är avsedd att installeras i enheten före flygning för ett specifikt flygändamål (uppdrag). Grundvikten för den tomma enheten omfattar inte personer ombord, bränsle, last i bagageutrymmet, inbyggd räddningsfallskärm upp till en högsta vikt på 15 kg, pilotens utrustning, till exempel bärbara elektroniska anordningar och andra bärbara tillbehör (nedan kallade enhet som väger upp till och med 120 kg).”.</w:t>
      </w:r>
    </w:p>
    <w:p w14:paraId="69071028"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4F03C0C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5 ska punkt 1 ändras och få följande lydelse:</w:t>
      </w:r>
    </w:p>
    <w:p w14:paraId="5E082C0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 Enheten får användas för personligt bruk, utbildning av piloter, flyg- och introduktionsflygningar, med undantag för amatörbyggda enheter och enheter som väger upp till 120 kg och som endast får användas för eget bruk.”.</w:t>
      </w:r>
    </w:p>
    <w:p w14:paraId="7A8DBAD1"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2A44DF8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I artiklarna 5 a, 5 b, 8, 9.2, 37, 42 och 48 ska orden ”flyga en enhet” ersättas med orden ”flyga med enheten”.</w:t>
      </w:r>
    </w:p>
    <w:p w14:paraId="2F413FB3"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5</w:t>
      </w:r>
    </w:p>
    <w:p w14:paraId="75358C3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7 ska nya punkter 3 och 4 läggas till efter punkt 2, och ska ha följande lydelse:</w:t>
      </w:r>
    </w:p>
    <w:p w14:paraId="22502FA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Enhetens pilot ska endast påbörja flygningen om enheten innehåller:</w:t>
      </w:r>
    </w:p>
    <w:p w14:paraId="7941239C" w14:textId="77777777" w:rsidR="00F14052" w:rsidRDefault="0023224A">
      <w:pPr>
        <w:pStyle w:val="crkovnatockazaodstavkom"/>
        <w:spacing w:before="210" w:after="210"/>
        <w:ind w:left="425"/>
        <w:rPr>
          <w:rFonts w:ascii="Arial" w:eastAsia="Arial" w:hAnsi="Arial" w:cs="Arial"/>
          <w:sz w:val="21"/>
          <w:szCs w:val="21"/>
        </w:rPr>
      </w:pPr>
      <w:r>
        <w:rPr>
          <w:rFonts w:ascii="Arial" w:hAnsi="Arial"/>
          <w:sz w:val="21"/>
        </w:rPr>
        <w:t xml:space="preserve">A) en tillräcklig mängd bränsle eller energi och olja för flygning på en säker flyghöjd, med beaktande av meteorologiska förhållanden, varje element som påverkar anordningens prestanda, eventuella förseningar som förväntas under flygningen och eventuella nödsituationer som rimligen kan förväntas påverka flygningen och </w:t>
      </w:r>
    </w:p>
    <w:p w14:paraId="530000DF" w14:textId="77777777" w:rsidR="00F14052" w:rsidRDefault="0023224A">
      <w:pPr>
        <w:pStyle w:val="crkovnatockazaodstavkom"/>
        <w:spacing w:before="210" w:after="210"/>
        <w:ind w:left="425"/>
        <w:rPr>
          <w:rFonts w:ascii="Arial" w:eastAsia="Arial" w:hAnsi="Arial" w:cs="Arial"/>
          <w:sz w:val="21"/>
          <w:szCs w:val="21"/>
        </w:rPr>
      </w:pPr>
      <w:r>
        <w:rPr>
          <w:rFonts w:ascii="Arial" w:hAnsi="Arial"/>
          <w:sz w:val="21"/>
        </w:rPr>
        <w:t>b) full bränsle- eller energireserv för:</w:t>
      </w:r>
    </w:p>
    <w:p w14:paraId="422E45C0" w14:textId="77777777" w:rsidR="00F14052" w:rsidRDefault="0023224A">
      <w:pPr>
        <w:pStyle w:val="alineazacrkovnotocko"/>
        <w:spacing w:before="210" w:after="210"/>
        <w:ind w:left="567"/>
        <w:rPr>
          <w:rFonts w:ascii="Arial" w:eastAsia="Arial" w:hAnsi="Arial" w:cs="Arial"/>
          <w:sz w:val="21"/>
          <w:szCs w:val="21"/>
        </w:rPr>
      </w:pPr>
      <w:r>
        <w:rPr>
          <w:rFonts w:ascii="Arial" w:hAnsi="Arial"/>
          <w:sz w:val="21"/>
        </w:rPr>
        <w:t>flygningen till flygplatsen eller startpunkten för den avsedda landningen och därefter under minst 30 minuters flygning på en säker marschhöjd,</w:t>
      </w:r>
    </w:p>
    <w:p w14:paraId="0436AF52" w14:textId="77777777" w:rsidR="00F14052" w:rsidRDefault="0023224A">
      <w:pPr>
        <w:pStyle w:val="alineazacrkovnotocko"/>
        <w:spacing w:before="210" w:after="210"/>
        <w:ind w:left="567"/>
        <w:rPr>
          <w:rFonts w:ascii="Arial" w:eastAsia="Arial" w:hAnsi="Arial" w:cs="Arial"/>
          <w:sz w:val="21"/>
          <w:szCs w:val="21"/>
        </w:rPr>
      </w:pPr>
      <w:r>
        <w:rPr>
          <w:rFonts w:ascii="Arial" w:hAnsi="Arial"/>
          <w:sz w:val="21"/>
        </w:rPr>
        <w:t xml:space="preserve">flyga runt </w:t>
      </w:r>
      <w:proofErr w:type="spellStart"/>
      <w:r>
        <w:rPr>
          <w:rFonts w:ascii="Arial" w:hAnsi="Arial"/>
          <w:sz w:val="21"/>
        </w:rPr>
        <w:t>skolbanan</w:t>
      </w:r>
      <w:proofErr w:type="spellEnd"/>
      <w:r>
        <w:rPr>
          <w:rFonts w:ascii="Arial" w:hAnsi="Arial"/>
          <w:sz w:val="21"/>
        </w:rPr>
        <w:t xml:space="preserve"> med konstant uppsyn över flygplatsen eller startpunkten under minst ytterligare 10 minuters flygtid.</w:t>
      </w:r>
    </w:p>
    <w:p w14:paraId="40F084B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Enhetens pilot ska regelbundet kontrollera de planerade bränsle- eller energireserverna och huruvida den mängd användbart bränsle eller energi som återstår under flygningen inte är mindre än den mängd bränsle eller energi som krävs för att fortsätta flygningen till en väderacceptabel flygplats eller startpunkt eller verksamhetsområde.”.</w:t>
      </w:r>
    </w:p>
    <w:p w14:paraId="6620A64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De föregående punkterna 3, 4, 5 och 6 blir punkterna 5, 6, 7 och 8.</w:t>
      </w:r>
    </w:p>
    <w:p w14:paraId="0D98531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27B8EDB4"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14 ska en ny punkt 3 läggas till efter punkt 2, och ska ha följande lydelse:</w:t>
      </w:r>
    </w:p>
    <w:p w14:paraId="7C83E36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Bestämmelserna i denna artikel ska inte tillämpas på enheter som väger upp till och med 120 kg.”.</w:t>
      </w:r>
    </w:p>
    <w:p w14:paraId="6AB7345D"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1160C71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15, efter punkt 5, ska följande nya punkter läggas till som punkterna 6, 7, 8, 9 och 10 och ska ha följande lydelse:</w:t>
      </w:r>
    </w:p>
    <w:p w14:paraId="48C2F8D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Enhetstypcertifikatet ska innehålla åtminstone följande information: enhetstypcertifikatets namn och nummer, företagsnamn eller firmanamn och efternamn och adress till innehavaren av enhetstypcertifikatet, typ, modell, sort, kategori och användningssyfte för luftfartyget, </w:t>
      </w:r>
      <w:r>
        <w:rPr>
          <w:rFonts w:ascii="Arial" w:hAnsi="Arial"/>
          <w:sz w:val="21"/>
        </w:rPr>
        <w:lastRenderedPageBreak/>
        <w:t>förteckning över tekniska data för enhetstypcertifikatet, behörig utfärdande myndighet, underskrift av en tjänsteman, byråns sigill eller stämpel, giltighet, datum för det ursprungliga utfärdandet och utfärdandedatum.</w:t>
      </w:r>
    </w:p>
    <w:p w14:paraId="7AD0A25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När myndigheten har mottagit en begäran om ändring av ett enhetstypcertifikat ska den kontrollera att certifikatet överensstämmer med de tillämpliga kraven innan ändringen utfärdas. När den behöriga myndigheten är övertygad om att de tillämpliga kraven är uppfyllda ska den utfärda en ändring av enhetstypcertifikatet.</w:t>
      </w:r>
    </w:p>
    <w:p w14:paraId="30F024A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8) Vid ändring av innehavaren av enhetstypcertifikatet ska myndigheten överföra enhetstypcertifikatet till den nya innehavaren efter uppvisande av bevis på överföring av äganderätten till det enhetstypcertifikat och den dokumentation som avses i punkt 5 i denna artikel.</w:t>
      </w:r>
    </w:p>
    <w:p w14:paraId="07BB77C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För enheter som väger upp till och med 120 kg krävs inget enhetstypcertifikat. Före leverans till kunden ska tillverkaren eller tillverkaren vid den organisation för bedömning av överensstämmelse som ackrediterats i enlighet med Europaparlamentets och rådets </w:t>
      </w:r>
      <w:hyperlink r:id="rId5" w:tgtFrame="_blank" w:tooltip="to EUR-Lex" w:history="1">
        <w:r>
          <w:rPr>
            <w:rFonts w:ascii="Arial" w:hAnsi="Arial"/>
            <w:color w:val="0000EE"/>
            <w:sz w:val="21"/>
            <w:u w:val="single" w:color="0000EE"/>
          </w:rPr>
          <w:t>förordning (EG) nr 765/2008</w:t>
        </w:r>
      </w:hyperlink>
      <w:r>
        <w:rPr>
          <w:rFonts w:ascii="Arial" w:hAnsi="Arial"/>
          <w:sz w:val="21"/>
        </w:rPr>
        <w:t xml:space="preserve"> av den 9 juli 2008 om krav för ackreditering och marknadskontroll i samband med saluföring av produkter och upphävande av </w:t>
      </w:r>
      <w:hyperlink r:id="rId6" w:tgtFrame="_blank" w:tooltip="to EUR-Lex" w:history="1">
        <w:r>
          <w:rPr>
            <w:rFonts w:ascii="Arial" w:hAnsi="Arial"/>
            <w:color w:val="0000EE"/>
            <w:sz w:val="21"/>
            <w:u w:val="single" w:color="0000EE"/>
          </w:rPr>
          <w:t>förordning (EEG) nr 339/93</w:t>
        </w:r>
      </w:hyperlink>
      <w:r>
        <w:rPr>
          <w:rFonts w:ascii="Arial" w:hAnsi="Arial"/>
          <w:sz w:val="21"/>
        </w:rPr>
        <w:t xml:space="preserve"> (EUT L 218, 13. 8. 2008, s. 30), senast ändrad genom Europaparlamentets och rådets </w:t>
      </w:r>
      <w:hyperlink r:id="rId7" w:tgtFrame="_blank" w:tooltip="to EUR-Lex" w:history="1">
        <w:r>
          <w:rPr>
            <w:rFonts w:ascii="Arial" w:hAnsi="Arial"/>
            <w:color w:val="0000EE"/>
            <w:sz w:val="21"/>
            <w:u w:val="single" w:color="0000EE"/>
          </w:rPr>
          <w:t>förordning (EU) 2019/1020</w:t>
        </w:r>
      </w:hyperlink>
      <w:r>
        <w:rPr>
          <w:rFonts w:ascii="Arial" w:hAnsi="Arial"/>
          <w:sz w:val="21"/>
        </w:rPr>
        <w:t xml:space="preserve"> av den 20 juni 2019 om marknadskontroll och överensstämmelse för produkter och om ändring av </w:t>
      </w:r>
      <w:hyperlink r:id="rId8" w:tgtFrame="_blank" w:tooltip="to EUR-Lex" w:history="1">
        <w:r>
          <w:rPr>
            <w:rFonts w:ascii="Arial" w:hAnsi="Arial"/>
            <w:color w:val="0000EE"/>
            <w:sz w:val="21"/>
            <w:u w:val="single" w:color="0000EE"/>
          </w:rPr>
          <w:t>direktiv 2004/42/EG</w:t>
        </w:r>
      </w:hyperlink>
      <w:r>
        <w:rPr>
          <w:rFonts w:ascii="Arial" w:hAnsi="Arial"/>
          <w:sz w:val="21"/>
        </w:rPr>
        <w:t xml:space="preserve"> och </w:t>
      </w:r>
      <w:hyperlink r:id="rId9" w:tgtFrame="_blank" w:tooltip="to EUR-Lex" w:history="1">
        <w:r>
          <w:rPr>
            <w:rFonts w:ascii="Arial" w:hAnsi="Arial"/>
            <w:color w:val="0000EE"/>
            <w:sz w:val="21"/>
            <w:u w:val="single" w:color="0000EE"/>
          </w:rPr>
          <w:t>förordningarna (EG) nr 765/2008</w:t>
        </w:r>
      </w:hyperlink>
      <w:r>
        <w:rPr>
          <w:rFonts w:ascii="Arial" w:hAnsi="Arial"/>
          <w:sz w:val="21"/>
        </w:rPr>
        <w:t xml:space="preserve"> och </w:t>
      </w:r>
      <w:hyperlink r:id="rId10" w:tgtFrame="_blank" w:tooltip="to EUR-Lex" w:history="1">
        <w:r>
          <w:rPr>
            <w:rFonts w:ascii="Arial" w:hAnsi="Arial"/>
            <w:color w:val="0000EE"/>
            <w:sz w:val="21"/>
            <w:u w:val="single" w:color="0000EE"/>
          </w:rPr>
          <w:t>(EU) nr 305/2011</w:t>
        </w:r>
      </w:hyperlink>
      <w:r>
        <w:rPr>
          <w:rFonts w:ascii="Arial" w:hAnsi="Arial"/>
          <w:sz w:val="21"/>
        </w:rPr>
        <w:t xml:space="preserve"> (EUT L 169, 25. 6. 2019, s. 1) kontrollera om enhetstypen uppfyller de tillämpliga nationella tekniska kraven (certifieringsspecifikationer) avseende luftvärdighet och buller.</w:t>
      </w:r>
    </w:p>
    <w:p w14:paraId="3DEF0E5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10) Det nationella typgodkännandecertifikatet för en enhet som väger upp till och med 120 kg, utfärdat av en medlemsstat i Europeiska unionen eller en stat som är part i avtalet om </w:t>
      </w:r>
      <w:proofErr w:type="gramStart"/>
      <w:r>
        <w:rPr>
          <w:rFonts w:ascii="Arial" w:hAnsi="Arial"/>
          <w:sz w:val="21"/>
        </w:rPr>
        <w:t>Europeiska</w:t>
      </w:r>
      <w:proofErr w:type="gramEnd"/>
      <w:r>
        <w:rPr>
          <w:rFonts w:ascii="Arial" w:hAnsi="Arial"/>
          <w:sz w:val="21"/>
        </w:rPr>
        <w:t xml:space="preserve"> ekonomiska samarbetsområdet, är direkt giltigt och ersätter kontrollen av enhetens överensstämmelse hos den organisation för bedömning av överensstämmelse som avses i föregående punkt.”.</w:t>
      </w:r>
    </w:p>
    <w:p w14:paraId="17053164"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8</w:t>
      </w:r>
    </w:p>
    <w:p w14:paraId="3D44756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16, efter orden i artikeln, som betecknas som punkt 1, ska en ny punkt 2 läggas till, med följande lydelse:</w:t>
      </w:r>
    </w:p>
    <w:p w14:paraId="0658295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Bestämmelserna i föregående punkt ska inte tillämpas på enheter som väger upp till och med 120 kg.”.</w:t>
      </w:r>
    </w:p>
    <w:p w14:paraId="7F35AD70"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9</w:t>
      </w:r>
    </w:p>
    <w:p w14:paraId="494B978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17 ska en ny punkt 7 läggas till efter punkt 6 och få följande lydelse:</w:t>
      </w:r>
    </w:p>
    <w:p w14:paraId="7401CB6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Bestämmelserna i denna artikel ska inte tillämpas på enheter som väger upp till och med 120 kg och för vilka flyg- och underhållshandbokens lämplighet bekräftas som en del av kontrollen av huruvida typen av enhet uppfyller de tillämpliga luftvärdighetskraven, enligt definitionen i artikel 15.9 i dessa regler.”.</w:t>
      </w:r>
    </w:p>
    <w:p w14:paraId="03E5C7DA"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10</w:t>
      </w:r>
    </w:p>
    <w:p w14:paraId="2130B2F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18 a ska punkt 14 ändras så att den får följande lydelse:</w:t>
      </w:r>
    </w:p>
    <w:p w14:paraId="644E6D1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”14) Oberoende av punkt 2 och första strecksatsen i punkt 3 i denna artikel får underhåll av den enhet som används för utbildning, flygarbete och inledande flygningar endast utföras av en person som avses i punkt 3 andra, tredje, fjärde eller femte strecksatserna i denna artikel.”.</w:t>
      </w:r>
    </w:p>
    <w:p w14:paraId="2FBD0B5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15 ska läggas till efter punkt 14, och ska ha följande lydelse:</w:t>
      </w:r>
    </w:p>
    <w:p w14:paraId="0269C51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”15) Bestämmelserna i punkterna 8, 11, 12, 13 och 14 i denna artikel ska inte tillämpas på enheter som väger upp till och med 120 kg.”.</w:t>
      </w:r>
    </w:p>
    <w:p w14:paraId="2EBB59E0"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11</w:t>
      </w:r>
    </w:p>
    <w:p w14:paraId="6473C1A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19 ska en ny punkt 5 läggas till efter punkt 4 och få följande lydelse:</w:t>
      </w:r>
    </w:p>
    <w:p w14:paraId="47D8843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Bestämmelserna i denna artikel ska inte tillämpas på enheter som väger upp till och med 120 kg.”.</w:t>
      </w:r>
    </w:p>
    <w:p w14:paraId="58546747"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12</w:t>
      </w:r>
    </w:p>
    <w:p w14:paraId="390AE4F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20 ska en ny punkt 4 läggas till efter punkt 3, och ska ha följande lydelse:</w:t>
      </w:r>
    </w:p>
    <w:p w14:paraId="71FE86D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Bestämmelserna i denna artikel ska inte tillämpas på enheter som väger upp till och med 120 kg.”.</w:t>
      </w:r>
    </w:p>
    <w:p w14:paraId="4C88896D"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13</w:t>
      </w:r>
    </w:p>
    <w:p w14:paraId="2D0CFCD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21 ska en ny punkt 4 läggas till efter punkt 3, och ska ha följande lydelse:</w:t>
      </w:r>
    </w:p>
    <w:p w14:paraId="664C2FDF" w14:textId="77777777" w:rsidR="00F14052" w:rsidRDefault="0023224A">
      <w:pPr>
        <w:pStyle w:val="zamik"/>
        <w:pBdr>
          <w:top w:val="none" w:sz="0" w:space="12" w:color="auto"/>
        </w:pBdr>
        <w:spacing w:before="210" w:after="210"/>
        <w:jc w:val="both"/>
        <w:rPr>
          <w:rFonts w:ascii="Arial" w:hAnsi="Arial"/>
          <w:sz w:val="21"/>
        </w:rPr>
      </w:pPr>
      <w:r>
        <w:rPr>
          <w:rFonts w:ascii="Arial" w:hAnsi="Arial"/>
          <w:sz w:val="21"/>
        </w:rPr>
        <w:t xml:space="preserve">”4) Bestämmelserna i denna artikel ska inte tillämpas på enheter som väger upp till och med 120 kg och för vilka producenten eller tillverkaren är skyldig att utfärda en deklaration om säkerhet för användning som tillverkaren lämnar in på grundval av den erhållna deklarationen om överensstämmelse som avses i artikel 15.9 i dessa regler. För enheter som väger upp till och med 120 kg och för vilka ett nationellt enhetstypgodkännandecertifikat har utfärdats av en medlemsstat i Europeiska unionen eller en stat som är part i avtalet om </w:t>
      </w:r>
      <w:proofErr w:type="gramStart"/>
      <w:r>
        <w:rPr>
          <w:rFonts w:ascii="Arial" w:hAnsi="Arial"/>
          <w:sz w:val="21"/>
        </w:rPr>
        <w:t>Europeiska</w:t>
      </w:r>
      <w:proofErr w:type="gramEnd"/>
      <w:r>
        <w:rPr>
          <w:rFonts w:ascii="Arial" w:hAnsi="Arial"/>
          <w:sz w:val="21"/>
        </w:rPr>
        <w:t xml:space="preserve"> ekonomiska samarbetsområdet, eller om det rör sig om en amatörtillverkad enhet, ska bestämmelserna i punkterna 1 och 3 i denna artikel tillämpas.”.</w:t>
      </w:r>
    </w:p>
    <w:p w14:paraId="3C6E2CE5" w14:textId="77777777" w:rsidR="009C4A40" w:rsidRDefault="009C4A40">
      <w:pPr>
        <w:pStyle w:val="zamik"/>
        <w:pBdr>
          <w:top w:val="none" w:sz="0" w:space="12" w:color="auto"/>
        </w:pBdr>
        <w:spacing w:before="210" w:after="210"/>
        <w:jc w:val="both"/>
        <w:rPr>
          <w:rFonts w:ascii="Arial" w:hAnsi="Arial"/>
          <w:sz w:val="21"/>
        </w:rPr>
      </w:pPr>
    </w:p>
    <w:p w14:paraId="1705614C" w14:textId="77777777" w:rsidR="009C4A40" w:rsidRDefault="009C4A40">
      <w:pPr>
        <w:pStyle w:val="zamik"/>
        <w:pBdr>
          <w:top w:val="none" w:sz="0" w:space="12" w:color="auto"/>
        </w:pBdr>
        <w:spacing w:before="210" w:after="210"/>
        <w:jc w:val="both"/>
        <w:rPr>
          <w:rFonts w:ascii="Arial" w:eastAsia="Arial" w:hAnsi="Arial" w:cs="Arial"/>
          <w:sz w:val="21"/>
          <w:szCs w:val="21"/>
        </w:rPr>
      </w:pPr>
    </w:p>
    <w:p w14:paraId="13D57C9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14</w:t>
      </w:r>
    </w:p>
    <w:p w14:paraId="0018988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23.2 fjärde strecksatsen ska ordet ”och” utgå. En ny strecksats ska läggas till efter fjärde strecksatsen, och ska ha följande lydelse:</w:t>
      </w:r>
    </w:p>
    <w:p w14:paraId="4A9F277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”tillverkarens certifikat om produktens lämplighet eller ett dokument som motsvarar det certifikat som avses i artikel 21.2 i dessa regler, och”.</w:t>
      </w:r>
    </w:p>
    <w:p w14:paraId="56B9C63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Punkt 4 ska ändras så att den får följande lydelse:</w:t>
      </w:r>
    </w:p>
    <w:p w14:paraId="2FF6061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Om de tekniska kraven (certifieringsspecifikationer) ännu inte har fastställts i Slovenien för tillverkning av den enhet eller utrustningen för den enhet för vilken sökanden begär att införande i enhetsregistret, ska sökanden också bifoga de tekniska kraven (certifieringsspecifikationer) för tillverkningen av enheten till ansökan om att enheten ska föras in i enhetsregistret och förteckningen över enhetens utrustning.”.</w:t>
      </w:r>
    </w:p>
    <w:p w14:paraId="0C559A7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Punkt 5 ska ändras så att den får följande lydelse:</w:t>
      </w:r>
    </w:p>
    <w:p w14:paraId="4B12D05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Ett intyg för en typ av enhet eller ett annat lämpligt dokument för en viss typ av enhet som utfärdats av ett annat land eller ett behörigt organ i detta land ska erkännas på grundval av lämplig teknisk dokumentation (certifieringsspecifikationer) och en rapport om luftprovningar, om enheten uppfyller åtminstone kraven i slovenska föreskrifter eller krav i utländska föreskrifter som är likvärdiga med slovenska föreskrifter. Ansökan om att enheten ska föras in i enhetsregistret ska åtföljas av bevis på överensstämmelse med motsvarande krav i ett annat främmande land, som, på grundval av en jämförelse av enskilda tekniska krav (certifieringsspecifikationer) i en form som fastställts av myndigheten har bekräftats av en utsedd luftfartsexpert i enlighet med föreskrifter om uppförande av experimentella luftfartyg. Det är inte nödvändigt att göra en jämförelse om myndigheten redan har en sådan.”.</w:t>
      </w:r>
    </w:p>
    <w:p w14:paraId="2BCEA984"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8 ska läggas till efter punkt 7, och ska ha följande lydelse:</w:t>
      </w:r>
    </w:p>
    <w:p w14:paraId="3249EA9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”8) Med undantag för första strecksatsen i punkt 2 i denna artikel ska bestämmelserna i denna artikel inte tillämpas på enheter som väger upp till och med 120 kg.”.</w:t>
      </w:r>
    </w:p>
    <w:p w14:paraId="58BA9C0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15</w:t>
      </w:r>
    </w:p>
    <w:p w14:paraId="0A013A6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24 ska nya punkter 8 och 9 läggas till efter punkt 7, och ska ha följande lydelse:</w:t>
      </w:r>
    </w:p>
    <w:p w14:paraId="6C29295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”8) Trots vad som sägs i punkterna 1 och 3.5 i denna artikel ska, när det gäller serietillverkade enheter som väger upp till och med 120 kg, som inte omfattar enheter för vilka en medlemsstat i Europeiska unionen eller en stat som är part i avtalet om </w:t>
      </w:r>
      <w:proofErr w:type="gramStart"/>
      <w:r>
        <w:rPr>
          <w:rFonts w:ascii="Arial" w:hAnsi="Arial"/>
          <w:sz w:val="21"/>
        </w:rPr>
        <w:t>Europeiska</w:t>
      </w:r>
      <w:proofErr w:type="gramEnd"/>
      <w:r>
        <w:rPr>
          <w:rFonts w:ascii="Arial" w:hAnsi="Arial"/>
          <w:sz w:val="21"/>
        </w:rPr>
        <w:t xml:space="preserve"> ekonomiska samarbetsområdet har utfärdat ett nationellt enhetstypgodkännandecertifikat, eller för en amatörtillverkad enhet, tillstånd att flyga enheten utfärdas på grundval av en ansökan från ägaren eller användaren, som bifogar:</w:t>
      </w:r>
    </w:p>
    <w:p w14:paraId="022334B1"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 xml:space="preserve">1. en kopia av producentens eller </w:t>
      </w:r>
      <w:proofErr w:type="gramStart"/>
      <w:r>
        <w:rPr>
          <w:rFonts w:ascii="Arial" w:hAnsi="Arial"/>
          <w:sz w:val="21"/>
        </w:rPr>
        <w:t>tillverkarens deklarationen</w:t>
      </w:r>
      <w:proofErr w:type="gramEnd"/>
      <w:r>
        <w:rPr>
          <w:rFonts w:ascii="Arial" w:hAnsi="Arial"/>
          <w:sz w:val="21"/>
        </w:rPr>
        <w:t xml:space="preserve"> om säkerhet för användning, som producenten lämnar på grundval av den erhållna deklarationen om överensstämmelse som avses i artikel 15.9 i dessa regler, och när det gäller en begagnad enhet, ägarens eller användarens deklaration om att enheten är felfri,</w:t>
      </w:r>
    </w:p>
    <w:p w14:paraId="1BA90E32"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lastRenderedPageBreak/>
        <w:t>2. ett foto av enheten, som inte är äldre än 15 dagar från och med dagen för ansökan, från vilket anbringandet av det nationella tillhörighetsmärket och registreringsmärket ska vara synliga,</w:t>
      </w:r>
    </w:p>
    <w:p w14:paraId="3F9247DE"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3. en kopia av den flyg- och underhållshandbok som utfärdats av producenten eller tillverkaren,</w:t>
      </w:r>
    </w:p>
    <w:p w14:paraId="69DBE6DD"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4. ett certifikat om att enhetens buller inte överskrider de gränsvärden som anges i dessa regler (inte tillämpligt på enheter utan motor),</w:t>
      </w:r>
    </w:p>
    <w:p w14:paraId="3434969C"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5. en licens för radiostationen, om den är inbyggd i enheten.</w:t>
      </w:r>
    </w:p>
    <w:p w14:paraId="6082AED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9) För enheter som väger upp till och med 120 kg och för vilka en medlemsstat i Europeiska unionen eller ett land som är part i avtalet om </w:t>
      </w:r>
      <w:proofErr w:type="gramStart"/>
      <w:r>
        <w:rPr>
          <w:rFonts w:ascii="Arial" w:hAnsi="Arial"/>
          <w:sz w:val="21"/>
        </w:rPr>
        <w:t>Europeiska</w:t>
      </w:r>
      <w:proofErr w:type="gramEnd"/>
      <w:r>
        <w:rPr>
          <w:rFonts w:ascii="Arial" w:hAnsi="Arial"/>
          <w:sz w:val="21"/>
        </w:rPr>
        <w:t xml:space="preserve"> ekonomiska samarbetsområdet har utfärdat ett nationellt enhetstypgodkännandecertifikat, eller för amatörtillverkade enheter, ska punkterna 1–7 i denna artikel tillämpas.”.</w:t>
      </w:r>
    </w:p>
    <w:p w14:paraId="107A7BF3"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16</w:t>
      </w:r>
    </w:p>
    <w:p w14:paraId="45F1C6D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25 ska en ny punkt 6 läggas till efter punkt 5 och få följande lydelse:</w:t>
      </w:r>
    </w:p>
    <w:p w14:paraId="6765C40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”6) Bestämmelserna i denna artikel ska inte tillämpas på enheter som väger upp till och med 120 kg.”.</w:t>
      </w:r>
    </w:p>
    <w:p w14:paraId="461D200C"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17</w:t>
      </w:r>
    </w:p>
    <w:p w14:paraId="6663435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26, efter orden i artikeln, som betecknas som punkt 1, ska en ny punkt 2 läggas till, med följande lydelse:</w:t>
      </w:r>
    </w:p>
    <w:p w14:paraId="091BA91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Trots vad som sägs i bestämmelserna i föregående punkt ska, när det gäller enheter som väger upp till och med 120 kg, tillståndet att flyga enheten förlängas efter 24 månader på grundval av ägarens eller användarens ansökan, efter inlämnande av en egen deklaration om att enheten är felfri, utan att enhetens luftvärdighet fastställs i enlighet med föregående artikel.”.</w:t>
      </w:r>
    </w:p>
    <w:p w14:paraId="05339A13"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18</w:t>
      </w:r>
    </w:p>
    <w:p w14:paraId="27AA8AE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27 ska en ny punkt 7 läggas till efter punkt 6 och få följande lydelse:</w:t>
      </w:r>
    </w:p>
    <w:p w14:paraId="549F2B5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Bestämmelserna i denna artikel ska inte tillämpas på enheter som väger upp till och med 120 kg.”.</w:t>
      </w:r>
    </w:p>
    <w:p w14:paraId="794D77C6"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19</w:t>
      </w:r>
    </w:p>
    <w:p w14:paraId="2BF8CD5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28.2 ska följande nya paragraf 3 med följande lydelse läggas till:</w:t>
      </w:r>
    </w:p>
    <w:p w14:paraId="02EB019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Bestämmelserna i denna artikel ska inte tillämpas på enheter som väger upp till och med 120 kg.”.</w:t>
      </w:r>
    </w:p>
    <w:p w14:paraId="0CA8B60E"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20</w:t>
      </w:r>
    </w:p>
    <w:p w14:paraId="3F5CF36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29 ska en ny punkt 5 läggas till efter punkt 4 och få följande lydelse:</w:t>
      </w:r>
    </w:p>
    <w:p w14:paraId="6BF2AFB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Bestämmelserna i denna artikel ska inte tillämpas på enheter som väger upp till och med 120 kg.”.</w:t>
      </w:r>
    </w:p>
    <w:p w14:paraId="584BF35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21</w:t>
      </w:r>
    </w:p>
    <w:p w14:paraId="74C263B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30, efter orden i artikeln, som betecknas som punkt 1, ska en ny punkt 2 läggas till, med följande lydelse:</w:t>
      </w:r>
    </w:p>
    <w:p w14:paraId="6079000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Bestämmelserna i föregående punkt ska inte tillämpas på enheter som väger upp till och med 120 kg.”.</w:t>
      </w:r>
    </w:p>
    <w:p w14:paraId="1D04147F"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22</w:t>
      </w:r>
    </w:p>
    <w:p w14:paraId="409305D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32 ska en ny punkt 3 läggas till efter punkt 2, och ska ha följande lydelse:</w:t>
      </w:r>
    </w:p>
    <w:p w14:paraId="635390F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Bestämmelserna i föregående punkt ska inte tillämpas på enheter som väger upp till och med 120 kg.”.</w:t>
      </w:r>
    </w:p>
    <w:p w14:paraId="17ED7D1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23</w:t>
      </w:r>
    </w:p>
    <w:p w14:paraId="0CE3E28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33, i punkt 1, ska orden ”minst 8 millimeter i storlek” utgå.</w:t>
      </w:r>
    </w:p>
    <w:p w14:paraId="1D74FC81"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24</w:t>
      </w:r>
    </w:p>
    <w:p w14:paraId="2C07969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34.1.2 ska ordet ”mätare” ersättas med ordet ”mätanordning”.</w:t>
      </w:r>
    </w:p>
    <w:p w14:paraId="3A28DB6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Punkt 5 ska ändras så att den får följande lydelse:</w:t>
      </w:r>
    </w:p>
    <w:p w14:paraId="4C75A8E7" w14:textId="77777777" w:rsidR="00F14052" w:rsidRDefault="0023224A">
      <w:pPr>
        <w:pStyle w:val="zamik"/>
        <w:pBdr>
          <w:top w:val="none" w:sz="0" w:space="12" w:color="auto"/>
        </w:pBdr>
        <w:spacing w:before="210" w:after="210"/>
        <w:jc w:val="both"/>
        <w:rPr>
          <w:rFonts w:ascii="Arial" w:hAnsi="Arial"/>
          <w:sz w:val="21"/>
        </w:rPr>
      </w:pPr>
      <w:r>
        <w:rPr>
          <w:rFonts w:ascii="Arial" w:hAnsi="Arial"/>
          <w:sz w:val="21"/>
        </w:rPr>
        <w:t>”5) Den enhet med vilken utbildning för enhetens piloten av utförs ska också ha ett räddningssystem, med undantag för gyroplan, helikoptrar och enheter som väger upp till och med 120 kg, för vilka ett räddningssystem inte krävs.”.</w:t>
      </w:r>
    </w:p>
    <w:p w14:paraId="751E52F9" w14:textId="77777777" w:rsidR="009C4A40" w:rsidRDefault="009C4A40">
      <w:pPr>
        <w:pStyle w:val="zamik"/>
        <w:pBdr>
          <w:top w:val="none" w:sz="0" w:space="12" w:color="auto"/>
        </w:pBdr>
        <w:spacing w:before="210" w:after="210"/>
        <w:jc w:val="both"/>
        <w:rPr>
          <w:rFonts w:ascii="Arial" w:hAnsi="Arial"/>
          <w:sz w:val="21"/>
        </w:rPr>
      </w:pPr>
    </w:p>
    <w:p w14:paraId="7AD92960" w14:textId="77777777" w:rsidR="009C4A40" w:rsidRDefault="009C4A40">
      <w:pPr>
        <w:pStyle w:val="zamik"/>
        <w:pBdr>
          <w:top w:val="none" w:sz="0" w:space="12" w:color="auto"/>
        </w:pBdr>
        <w:spacing w:before="210" w:after="210"/>
        <w:jc w:val="both"/>
        <w:rPr>
          <w:rFonts w:ascii="Arial" w:eastAsia="Arial" w:hAnsi="Arial" w:cs="Arial"/>
          <w:sz w:val="21"/>
          <w:szCs w:val="21"/>
        </w:rPr>
      </w:pPr>
    </w:p>
    <w:p w14:paraId="58DD7F6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25</w:t>
      </w:r>
    </w:p>
    <w:p w14:paraId="446CA7CC"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38 ska punkt 7 utgå.</w:t>
      </w:r>
    </w:p>
    <w:p w14:paraId="176E04BE"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26</w:t>
      </w:r>
    </w:p>
    <w:p w14:paraId="72B8B95F"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39.2 och 39.3 ska orden ”flyga en enhet” ersättas med orden ”flyga med en enhet”.</w:t>
      </w:r>
    </w:p>
    <w:p w14:paraId="33AC753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Efter punkt 4 ska en ny punkt 5 läggas till som ska ha följande lydelse:</w:t>
      </w:r>
    </w:p>
    <w:p w14:paraId="7A1A653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Bestämmelserna i denna artikel ska inte tillämpas på enheter som väger upp till och med 120 kg.”.</w:t>
      </w:r>
    </w:p>
    <w:p w14:paraId="61AA2129"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27</w:t>
      </w:r>
    </w:p>
    <w:p w14:paraId="56C6F9A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39 ska följande artikel 39 a införas:</w:t>
      </w:r>
    </w:p>
    <w:p w14:paraId="2A63B097"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39 a</w:t>
      </w:r>
    </w:p>
    <w:p w14:paraId="4D7A6A8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(Deklarationen om flygning med enheter som väger upp till och med 120 kg)</w:t>
      </w:r>
    </w:p>
    <w:p w14:paraId="6C564098"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 Enheten som väger upp till och med 120 kg, som är ett motorflygplan, ska användas av en person som har eller har haft:</w:t>
      </w:r>
    </w:p>
    <w:p w14:paraId="43F8E8DA"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xml:space="preserve">– en licens som utfärdats i enlighet med </w:t>
      </w:r>
      <w:hyperlink r:id="rId11" w:tgtFrame="_blank" w:tooltip="to EUR-Lex" w:history="1">
        <w:r>
          <w:rPr>
            <w:rFonts w:ascii="Arial" w:hAnsi="Arial"/>
            <w:color w:val="0000EE"/>
            <w:sz w:val="21"/>
            <w:u w:val="single" w:color="0000EE"/>
          </w:rPr>
          <w:t>förordning (EU) nr 1178/2011</w:t>
        </w:r>
      </w:hyperlink>
      <w:r>
        <w:rPr>
          <w:rFonts w:ascii="Arial" w:hAnsi="Arial"/>
          <w:sz w:val="21"/>
        </w:rPr>
        <w:t xml:space="preserve"> för ett luftfartyg eller ett enhetspilotcertifikat för ett motordrivet luftfartyg, och</w:t>
      </w:r>
    </w:p>
    <w:p w14:paraId="3F09C0BF"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minst 100 timmars ensamflygtid som erhållits på grundval av ett sådant certifikat eller tillstånd som avses i föregående strecksats.</w:t>
      </w:r>
    </w:p>
    <w:p w14:paraId="74343926"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(2) Den pilot som avser att använda enheten enligt föregående punkt ska, innan flygningen inleds, förse myndigheten med en deklaration som innehåller pilotens personuppgifter, information om uppfyllandet av villkoren i föregående punkt, information om medicinsk lämplighet och flygning på egen risk.</w:t>
      </w:r>
    </w:p>
    <w:p w14:paraId="128157E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Efter att ha mottagit deklarationen från föregående punkt ska myndigheten utfärda en bekräftelse på mottagandet av deklarationen inom tio arbetsdagar efter mottagandet av den fullständiga deklarationen. Piloten ska börja använda enheten som väger upp till och med 120 kg när den mottar bekräftelsen på mottagandet av deklarationen.</w:t>
      </w:r>
    </w:p>
    <w:p w14:paraId="0714E39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Piloten ska inneha en deklaration om flygning med enheter som väger upp till och med 120 kg och en bekräftelse som avses i föregående punkt ombord på luftfartyget. Deklarationen och bekräftelsen ska endast gälla för flygning i Republiken Slovenien.</w:t>
      </w:r>
    </w:p>
    <w:p w14:paraId="476C3967"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Formen och det detaljerade innehållet i deklarationen ska fastställas av kemikaliemyndigheten och offentliggöras på dess webbplats.</w:t>
      </w:r>
    </w:p>
    <w:p w14:paraId="1DE2EF93"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(6) Flygtimmar som erhålls på enheter som väger upp till och med 120 kg ska inte anses erhålla, förlänga eller förnya certifikat som utfärdats i enlighet med </w:t>
      </w:r>
      <w:hyperlink r:id="rId12" w:tgtFrame="_blank" w:tooltip="to EUR-Lex" w:history="1">
        <w:r>
          <w:rPr>
            <w:rFonts w:ascii="Arial" w:hAnsi="Arial"/>
            <w:color w:val="0000EE"/>
            <w:sz w:val="21"/>
            <w:u w:val="single" w:color="0000EE"/>
          </w:rPr>
          <w:t>förordning (EU) nr 1178/2011</w:t>
        </w:r>
      </w:hyperlink>
      <w:r>
        <w:rPr>
          <w:rFonts w:ascii="Arial" w:hAnsi="Arial"/>
          <w:sz w:val="21"/>
        </w:rPr>
        <w:t xml:space="preserve"> eller ett enhetspilottillstånd.</w:t>
      </w:r>
    </w:p>
    <w:p w14:paraId="260D950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(7) Piloten på en enhet som väger högst 120 kg ska föra en driftsjournal för luftfartyg.”.</w:t>
      </w:r>
    </w:p>
    <w:p w14:paraId="7219D61F"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28</w:t>
      </w:r>
    </w:p>
    <w:p w14:paraId="64385B2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40 ska orden ”flyga en enhet” ersättas med orden ”flyga med en enhet” på alla platser.</w:t>
      </w:r>
    </w:p>
    <w:p w14:paraId="610D8C4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punkt 5 ska kommatecknet efter orden ”</w:t>
      </w:r>
      <w:hyperlink r:id="rId13" w:tgtFrame="_blank" w:tooltip="to EUR-Lex" w:history="1">
        <w:r>
          <w:rPr>
            <w:rFonts w:ascii="Arial" w:hAnsi="Arial"/>
            <w:color w:val="0000EE"/>
            <w:sz w:val="21"/>
            <w:u w:val="single" w:color="0000EE"/>
          </w:rPr>
          <w:t>förordning (EU) nr 1178/2011</w:t>
        </w:r>
      </w:hyperlink>
      <w:r>
        <w:rPr>
          <w:rFonts w:ascii="Arial" w:hAnsi="Arial"/>
          <w:sz w:val="21"/>
        </w:rPr>
        <w:t xml:space="preserve">” utgå och orden ”eller SFCL.350 i del SFCL i </w:t>
      </w:r>
      <w:hyperlink r:id="rId14" w:tgtFrame="_blank" w:tooltip="to EUR-Lex" w:history="1">
        <w:r>
          <w:rPr>
            <w:rFonts w:ascii="Arial" w:hAnsi="Arial"/>
            <w:color w:val="0000EE"/>
            <w:sz w:val="21"/>
            <w:u w:val="single" w:color="0000EE"/>
          </w:rPr>
          <w:t>bilaga III till kommissionens genomförandeförordning (EU) 2018/1976</w:t>
        </w:r>
      </w:hyperlink>
      <w:r>
        <w:rPr>
          <w:rFonts w:ascii="Arial" w:hAnsi="Arial"/>
          <w:sz w:val="21"/>
        </w:rPr>
        <w:t xml:space="preserve"> av den 14 december 2018 om detaljerade regler för segelflygverksamhet enligt Europaparlamentets och rådets </w:t>
      </w:r>
      <w:hyperlink r:id="rId15" w:tgtFrame="_blank" w:tooltip="to EUR-Lex" w:history="1">
        <w:r>
          <w:rPr>
            <w:rFonts w:ascii="Arial" w:hAnsi="Arial"/>
            <w:color w:val="0000EE"/>
            <w:sz w:val="21"/>
            <w:u w:val="single" w:color="0000EE"/>
          </w:rPr>
          <w:t>förordning (EU) 2018/1139</w:t>
        </w:r>
      </w:hyperlink>
      <w:r>
        <w:rPr>
          <w:rFonts w:ascii="Arial" w:hAnsi="Arial"/>
          <w:sz w:val="21"/>
        </w:rPr>
        <w:t xml:space="preserve"> (EUT L 326, 20. 12. 2018, s. 64), senast ändrad genom </w:t>
      </w:r>
      <w:hyperlink r:id="rId16" w:tgtFrame="_blank" w:tooltip="to EUR-Lex" w:history="1">
        <w:r>
          <w:rPr>
            <w:rFonts w:ascii="Arial" w:hAnsi="Arial"/>
            <w:color w:val="0000EE"/>
            <w:sz w:val="21"/>
            <w:u w:val="single" w:color="0000EE"/>
          </w:rPr>
          <w:t>kommissionens genomförandeförordning (EU) 2020/358</w:t>
        </w:r>
      </w:hyperlink>
      <w:r>
        <w:rPr>
          <w:rFonts w:ascii="Arial" w:hAnsi="Arial"/>
          <w:sz w:val="21"/>
        </w:rPr>
        <w:t xml:space="preserve"> av den 4 mars 2020 om ändring av </w:t>
      </w:r>
      <w:hyperlink r:id="rId17" w:tgtFrame="_blank" w:tooltip="to EUR-Lex" w:history="1">
        <w:r>
          <w:rPr>
            <w:rFonts w:ascii="Arial" w:hAnsi="Arial"/>
            <w:color w:val="0000EE"/>
            <w:sz w:val="21"/>
            <w:u w:val="single" w:color="0000EE"/>
          </w:rPr>
          <w:t>genomförandeförordning (EU) 2018/1976</w:t>
        </w:r>
      </w:hyperlink>
      <w:r>
        <w:rPr>
          <w:rFonts w:ascii="Arial" w:hAnsi="Arial"/>
          <w:sz w:val="21"/>
        </w:rPr>
        <w:t xml:space="preserve"> vad gäller segelflygarcertifikat (EUT L 67, 5. 3. 2020, s. 57), (nedan kallad  </w:t>
      </w:r>
      <w:hyperlink r:id="rId18" w:tgtFrame="_blank" w:tooltip="to EUR-Lex" w:history="1">
        <w:r>
          <w:rPr>
            <w:rFonts w:ascii="Arial" w:hAnsi="Arial"/>
            <w:i/>
            <w:iCs/>
            <w:color w:val="0000EE"/>
            <w:sz w:val="21"/>
            <w:u w:val="single" w:color="0000EE"/>
          </w:rPr>
          <w:t>Förordning (EU) 2018/1976</w:t>
        </w:r>
      </w:hyperlink>
      <w:r>
        <w:rPr>
          <w:rFonts w:ascii="Arial" w:hAnsi="Arial"/>
          <w:sz w:val="21"/>
        </w:rPr>
        <w:t>)” ska läggas till.</w:t>
      </w:r>
    </w:p>
    <w:p w14:paraId="5FCA967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punkt 6 ska kommatecknet utgå efter orden ”</w:t>
      </w:r>
      <w:hyperlink r:id="rId19" w:tgtFrame="_blank" w:tooltip="to EUR-Lex" w:history="1">
        <w:r>
          <w:rPr>
            <w:rFonts w:ascii="Arial" w:hAnsi="Arial"/>
            <w:color w:val="0000EE"/>
            <w:sz w:val="21"/>
            <w:u w:val="single" w:color="0000EE"/>
          </w:rPr>
          <w:t>Förordning (EU) nr 1178/2011</w:t>
        </w:r>
      </w:hyperlink>
      <w:r>
        <w:rPr>
          <w:rFonts w:ascii="Arial" w:hAnsi="Arial"/>
          <w:sz w:val="21"/>
        </w:rPr>
        <w:t xml:space="preserve">” och orden ”eller </w:t>
      </w:r>
      <w:hyperlink r:id="rId20" w:tgtFrame="_blank" w:tooltip="to EUR-Lex" w:history="1">
        <w:r>
          <w:rPr>
            <w:rFonts w:ascii="Arial" w:hAnsi="Arial"/>
            <w:color w:val="0000EE"/>
            <w:sz w:val="21"/>
            <w:u w:val="single" w:color="0000EE"/>
          </w:rPr>
          <w:t>förordning (EU) 2018/1976</w:t>
        </w:r>
      </w:hyperlink>
      <w:r>
        <w:rPr>
          <w:rFonts w:ascii="Arial" w:hAnsi="Arial"/>
          <w:sz w:val="21"/>
        </w:rPr>
        <w:t>” ska läggas till.</w:t>
      </w:r>
    </w:p>
    <w:p w14:paraId="79FA5E6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punkt 7 ska kommatecknet utgå efter orden ”</w:t>
      </w:r>
      <w:hyperlink r:id="rId21" w:tgtFrame="_blank" w:tooltip="to EUR-Lex" w:history="1">
        <w:r>
          <w:rPr>
            <w:rFonts w:ascii="Arial" w:hAnsi="Arial"/>
            <w:color w:val="0000EE"/>
            <w:sz w:val="21"/>
            <w:u w:val="single" w:color="0000EE"/>
          </w:rPr>
          <w:t>Förordning (EU) nr 1178/2011</w:t>
        </w:r>
      </w:hyperlink>
      <w:r>
        <w:rPr>
          <w:rFonts w:ascii="Arial" w:hAnsi="Arial"/>
          <w:sz w:val="21"/>
        </w:rPr>
        <w:t xml:space="preserve">” och orden ”eller </w:t>
      </w:r>
      <w:hyperlink r:id="rId22" w:tgtFrame="_blank" w:tooltip="to EUR-Lex" w:history="1">
        <w:r>
          <w:rPr>
            <w:rFonts w:ascii="Arial" w:hAnsi="Arial"/>
            <w:color w:val="0000EE"/>
            <w:sz w:val="21"/>
            <w:u w:val="single" w:color="0000EE"/>
          </w:rPr>
          <w:t>förordning (EU) 2018/1976</w:t>
        </w:r>
      </w:hyperlink>
      <w:r>
        <w:rPr>
          <w:rFonts w:ascii="Arial" w:hAnsi="Arial"/>
          <w:sz w:val="21"/>
        </w:rPr>
        <w:t>” ska läggas till.</w:t>
      </w:r>
    </w:p>
    <w:p w14:paraId="150501E5"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29</w:t>
      </w:r>
    </w:p>
    <w:p w14:paraId="7C266B8E"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41 ska ändras så att den får följande lydelse:</w:t>
      </w:r>
    </w:p>
    <w:p w14:paraId="68F91DB8"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41</w:t>
      </w:r>
    </w:p>
    <w:p w14:paraId="37F614DB"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(Instruktörsexamen för att flyga med en enhet)</w:t>
      </w:r>
    </w:p>
    <w:p w14:paraId="768AD67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(1) Den som vill avlägga provet för att erhålla tillstånd som instruktör för att flyga med en anordning för en viss typ av anordning ska lämna in bevis på att de relevanta villkoren i föregående artikel är uppfyllda och en deklaration från instruktören för flygning med en anordning om att kandidaten är kvalificerad för provet.</w:t>
      </w:r>
    </w:p>
    <w:p w14:paraId="4751B8C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Utbildningen består av en teoretisk och praktisk del som genomförs på en flygutbildningsorganisation eller annan registrerad flygskola och är utformad för att utbilda den sökande att utföra följande färdigheter:</w:t>
      </w:r>
    </w:p>
    <w:p w14:paraId="252B1472"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1. förberedelser av resurser,</w:t>
      </w:r>
    </w:p>
    <w:p w14:paraId="00BC24F2"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2. skapande av en gynnsam miljö för lärande,</w:t>
      </w:r>
    </w:p>
    <w:p w14:paraId="4CE20EFC"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3. presentation av kunskap,</w:t>
      </w:r>
    </w:p>
    <w:p w14:paraId="1765C6CC"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4. hantering av faror och fel,</w:t>
      </w:r>
    </w:p>
    <w:p w14:paraId="3688389B"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5. tidshantering för att uppnå utbildningsmål,</w:t>
      </w:r>
    </w:p>
    <w:p w14:paraId="22F06A80"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6. underlättande av lärande,</w:t>
      </w:r>
    </w:p>
    <w:p w14:paraId="7C328251"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7. utvärdering av kandidatens prestationer,</w:t>
      </w:r>
    </w:p>
    <w:p w14:paraId="38BE6B1E"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8. övervakande och översyn av kandidatens framsteg,</w:t>
      </w:r>
    </w:p>
    <w:p w14:paraId="7C2023F4"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9. bedömning av utbildning,</w:t>
      </w:r>
    </w:p>
    <w:p w14:paraId="78104179"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10. rapportering av resultat.</w:t>
      </w:r>
    </w:p>
    <w:p w14:paraId="22ACA649"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(3) Den teoretiska delen av utbildningen ska omfatta följande:</w:t>
      </w:r>
    </w:p>
    <w:p w14:paraId="54740494"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25 timmars undervisning och lärande, och</w:t>
      </w:r>
    </w:p>
    <w:p w14:paraId="01E0753D"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30 timmars teoretisk utbildning i de ämnen som föreskrivs för godkännande av den relevanta typen av enhet, inklusive framstegsprov.</w:t>
      </w:r>
    </w:p>
    <w:p w14:paraId="1AFE65F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(4) Instruktörsprovet för en viss typ av enhet ska genomföras inför en kommitté som utses av myndigheten. Examinationen ska bestå av en teoretisk och en praktisk del i enlighet med utbildningsprogrammet för en viss typ av enhet, nämligen:</w:t>
      </w:r>
    </w:p>
    <w:p w14:paraId="2C9ADFDF"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xml:space="preserve">– den teoretiska examinationen ska innehålla en föreläsning som varar minst 45 minuter om ett ämne eller ämne för den relevanta typen av enhet, under vilken kommittén kontrollerar kandidatens teoretiska kunskaper, kommittén ska meddela kandidaten i förväg om ämnet för föreläsningen, </w:t>
      </w:r>
    </w:p>
    <w:p w14:paraId="4C8B3365" w14:textId="77777777" w:rsidR="00F14052" w:rsidRDefault="0023224A">
      <w:pPr>
        <w:pStyle w:val="alineazaodstavkom"/>
        <w:spacing w:before="210" w:after="210"/>
        <w:ind w:left="425"/>
        <w:rPr>
          <w:rFonts w:ascii="Arial" w:eastAsia="Arial" w:hAnsi="Arial" w:cs="Arial"/>
          <w:sz w:val="21"/>
          <w:szCs w:val="21"/>
        </w:rPr>
      </w:pPr>
      <w:r>
        <w:rPr>
          <w:rFonts w:ascii="Arial" w:hAnsi="Arial"/>
          <w:sz w:val="21"/>
        </w:rPr>
        <w:t>– den praktiska delen, med undantag för segelflygplan, ska vara minst 45 minuters flygning med kommittén, under vilken kandidaten visar en flyginstruktörs färdigheter enligt utbildningsprogrammet för typen av enhet.</w:t>
      </w:r>
    </w:p>
    <w:p w14:paraId="133F8B2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(5) En person som har fyllt 18 år får ta instruktörsexamen för att flyga med enheten.”.</w:t>
      </w:r>
    </w:p>
    <w:p w14:paraId="07CAFCE4"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30</w:t>
      </w:r>
    </w:p>
    <w:p w14:paraId="11546B82"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41 a ska orden ”flyga en enhet” ersättas med orden ”flyga med en enhet” på alla platser.</w:t>
      </w:r>
    </w:p>
    <w:p w14:paraId="6EAD01F0"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I punkt 1 stycke 2 ska punkten utgå och orden ”eller ett repetitionsseminarium för innehavare av flyginstruktörscertifikat i enlighet med del FCL i </w:t>
      </w:r>
      <w:hyperlink r:id="rId23" w:tgtFrame="_blank" w:tooltip="to EUR-Lex" w:history="1">
        <w:r>
          <w:rPr>
            <w:rFonts w:ascii="Arial" w:hAnsi="Arial"/>
            <w:color w:val="0000EE"/>
            <w:sz w:val="21"/>
            <w:u w:val="single" w:color="0000EE"/>
          </w:rPr>
          <w:t>bilaga I till förordning (EU) nr 1178/2011</w:t>
        </w:r>
      </w:hyperlink>
      <w:r>
        <w:rPr>
          <w:rFonts w:ascii="Arial" w:hAnsi="Arial"/>
          <w:sz w:val="21"/>
        </w:rPr>
        <w:t xml:space="preserve"> eller del SFCL i </w:t>
      </w:r>
      <w:hyperlink r:id="rId24" w:tgtFrame="_blank" w:tooltip="to EUR-Lex" w:history="1">
        <w:r>
          <w:rPr>
            <w:rFonts w:ascii="Arial" w:hAnsi="Arial"/>
            <w:color w:val="0000EE"/>
            <w:sz w:val="21"/>
            <w:u w:val="single" w:color="0000EE"/>
          </w:rPr>
          <w:t>bilaga III till förordning (EU) 2018/1976</w:t>
        </w:r>
      </w:hyperlink>
      <w:r>
        <w:rPr>
          <w:rFonts w:ascii="Arial" w:hAnsi="Arial"/>
          <w:sz w:val="21"/>
        </w:rPr>
        <w:t>.” ska läggas till.</w:t>
      </w:r>
    </w:p>
    <w:p w14:paraId="7E30385D"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 punkt 4 stycke 1 ska semikolonet utgå och orden ”eller delta i ett repetitionsseminarium för innehavare av flyginstruktörscertifikat i enlighet med del FCL i </w:t>
      </w:r>
      <w:hyperlink r:id="rId25" w:tgtFrame="_blank" w:tooltip="to EUR-Lex" w:history="1">
        <w:r>
          <w:rPr>
            <w:rFonts w:ascii="Arial" w:hAnsi="Arial"/>
            <w:color w:val="0000EE"/>
            <w:sz w:val="21"/>
            <w:u w:val="single" w:color="0000EE"/>
          </w:rPr>
          <w:t>bilaga I till förordning (EU) nr 1178/2011</w:t>
        </w:r>
      </w:hyperlink>
      <w:r>
        <w:rPr>
          <w:rFonts w:ascii="Arial" w:hAnsi="Arial"/>
          <w:sz w:val="21"/>
        </w:rPr>
        <w:t xml:space="preserve"> eller del SFCL i </w:t>
      </w:r>
      <w:hyperlink r:id="rId26" w:tgtFrame="_blank" w:tooltip="to EUR-Lex" w:history="1">
        <w:r>
          <w:rPr>
            <w:rFonts w:ascii="Arial" w:hAnsi="Arial"/>
            <w:color w:val="0000EE"/>
            <w:sz w:val="21"/>
            <w:u w:val="single" w:color="0000EE"/>
          </w:rPr>
          <w:t>bilaga III till förordning (EU) 2018/1976</w:t>
        </w:r>
      </w:hyperlink>
      <w:r>
        <w:rPr>
          <w:rFonts w:ascii="Arial" w:hAnsi="Arial"/>
          <w:sz w:val="21"/>
        </w:rPr>
        <w:t xml:space="preserve"> och” ska läggas till.</w:t>
      </w:r>
    </w:p>
    <w:p w14:paraId="1AEF4272"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31</w:t>
      </w:r>
    </w:p>
    <w:p w14:paraId="67D4D03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47 ska orden ”flyga en enhet” ersättas med orden ”flyga med en enhet” på alla platser.</w:t>
      </w:r>
    </w:p>
    <w:p w14:paraId="6A451F7A"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I punkt 3 ska stycke 1 ändras och få följande lydelse:</w:t>
      </w:r>
    </w:p>
    <w:p w14:paraId="78D5866D" w14:textId="77777777" w:rsidR="00F14052" w:rsidRDefault="0023224A">
      <w:pPr>
        <w:pStyle w:val="zamik"/>
        <w:spacing w:before="210" w:after="210"/>
        <w:ind w:left="425" w:hanging="425"/>
        <w:jc w:val="both"/>
        <w:rPr>
          <w:rFonts w:ascii="Arial" w:eastAsia="Arial" w:hAnsi="Arial" w:cs="Arial"/>
          <w:sz w:val="21"/>
          <w:szCs w:val="21"/>
        </w:rPr>
      </w:pPr>
      <w:r>
        <w:rPr>
          <w:rFonts w:ascii="Arial" w:hAnsi="Arial"/>
          <w:sz w:val="21"/>
        </w:rPr>
        <w:t>”1. Minst 12 timmars flygtid, inklusive 12 starter och landningar som befälhavare eller med en instruktör eller självständigt under övervakning av en instruktörs tillsyn, och”.</w:t>
      </w:r>
    </w:p>
    <w:p w14:paraId="3292EE26"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32</w:t>
      </w:r>
    </w:p>
    <w:p w14:paraId="49C6E6AB"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OJN-04-blankett ska utgå.</w:t>
      </w:r>
    </w:p>
    <w:p w14:paraId="6E8C172B" w14:textId="77777777" w:rsidR="00F14052" w:rsidRDefault="0023224A">
      <w:pPr>
        <w:pStyle w:val="center"/>
        <w:pBdr>
          <w:top w:val="none" w:sz="0" w:space="24" w:color="auto"/>
        </w:pBdr>
        <w:spacing w:before="210" w:after="210"/>
        <w:rPr>
          <w:rFonts w:ascii="Arial" w:eastAsia="Arial" w:hAnsi="Arial" w:cs="Arial"/>
          <w:caps/>
          <w:sz w:val="21"/>
          <w:szCs w:val="21"/>
        </w:rPr>
      </w:pPr>
      <w:r>
        <w:rPr>
          <w:rFonts w:ascii="Arial" w:hAnsi="Arial"/>
          <w:caps/>
          <w:sz w:val="21"/>
        </w:rPr>
        <w:t>ÖVERGÅNGSBESTÄMMELSER OCH SLUTBESTÄMMELSER</w:t>
      </w:r>
    </w:p>
    <w:p w14:paraId="0F61BFCA"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33</w:t>
      </w:r>
    </w:p>
    <w:p w14:paraId="340762E7"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(Slutförande av förfaranden)</w:t>
      </w:r>
    </w:p>
    <w:p w14:paraId="1A6A0C71"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Förfaranden som inletts innan dessa regler träder i kraft ska slutföras i enlighet med gällande förordningar.</w:t>
      </w:r>
    </w:p>
    <w:p w14:paraId="716BFA54"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34</w:t>
      </w:r>
    </w:p>
    <w:p w14:paraId="566F59F5" w14:textId="77777777" w:rsidR="00F14052" w:rsidRDefault="0023224A">
      <w:pPr>
        <w:pStyle w:val="center"/>
        <w:pBdr>
          <w:top w:val="none" w:sz="0" w:space="24" w:color="auto"/>
        </w:pBdr>
        <w:spacing w:before="210" w:after="210"/>
        <w:rPr>
          <w:rFonts w:ascii="Arial" w:eastAsia="Arial" w:hAnsi="Arial" w:cs="Arial"/>
          <w:b/>
          <w:bCs/>
          <w:sz w:val="21"/>
          <w:szCs w:val="21"/>
        </w:rPr>
      </w:pPr>
      <w:r>
        <w:rPr>
          <w:rFonts w:ascii="Arial" w:hAnsi="Arial"/>
          <w:b/>
          <w:sz w:val="21"/>
        </w:rPr>
        <w:t>(Ikraftträdande)</w:t>
      </w:r>
    </w:p>
    <w:p w14:paraId="08DAE625" w14:textId="77777777" w:rsidR="00F14052" w:rsidRDefault="0023224A">
      <w:pPr>
        <w:pStyle w:val="zamik"/>
        <w:pBdr>
          <w:top w:val="none" w:sz="0" w:space="12" w:color="auto"/>
        </w:pBdr>
        <w:spacing w:before="210" w:after="210"/>
        <w:jc w:val="both"/>
        <w:rPr>
          <w:rFonts w:ascii="Arial" w:eastAsia="Arial" w:hAnsi="Arial" w:cs="Arial"/>
          <w:sz w:val="21"/>
          <w:szCs w:val="21"/>
        </w:rPr>
      </w:pPr>
      <w:r>
        <w:rPr>
          <w:rFonts w:ascii="Arial" w:hAnsi="Arial"/>
          <w:sz w:val="21"/>
        </w:rPr>
        <w:t>Dessa föreskrifter träder i kraft femton dagar efter det att de har offentliggjorts i Republiken Sloveniens officiella tidning.</w:t>
      </w:r>
    </w:p>
    <w:p w14:paraId="50BBE09F" w14:textId="77777777" w:rsidR="00F14052" w:rsidRDefault="0023224A">
      <w:pPr>
        <w:pStyle w:val="evidencnastevilka"/>
        <w:spacing w:before="480" w:after="210"/>
        <w:rPr>
          <w:rFonts w:ascii="Arial" w:eastAsia="Arial" w:hAnsi="Arial" w:cs="Arial"/>
          <w:sz w:val="21"/>
          <w:szCs w:val="21"/>
        </w:rPr>
      </w:pPr>
      <w:r>
        <w:rPr>
          <w:rFonts w:ascii="Arial" w:hAnsi="Arial"/>
          <w:sz w:val="21"/>
        </w:rPr>
        <w:t xml:space="preserve">Nr IPP </w:t>
      </w:r>
      <w:proofErr w:type="gramStart"/>
      <w:r>
        <w:rPr>
          <w:rFonts w:ascii="Arial" w:hAnsi="Arial"/>
          <w:sz w:val="21"/>
        </w:rPr>
        <w:t>007-270</w:t>
      </w:r>
      <w:proofErr w:type="gramEnd"/>
      <w:r>
        <w:rPr>
          <w:rFonts w:ascii="Arial" w:hAnsi="Arial"/>
          <w:sz w:val="21"/>
        </w:rPr>
        <w:t>/2023/25</w:t>
      </w:r>
    </w:p>
    <w:p w14:paraId="52A52308" w14:textId="77777777" w:rsidR="00F14052" w:rsidRDefault="0023224A">
      <w:pPr>
        <w:pStyle w:val="krajdatumsprejetja"/>
        <w:spacing w:before="480" w:after="210"/>
        <w:rPr>
          <w:rFonts w:ascii="Arial" w:eastAsia="Arial" w:hAnsi="Arial" w:cs="Arial"/>
          <w:sz w:val="21"/>
          <w:szCs w:val="21"/>
        </w:rPr>
      </w:pPr>
      <w:r>
        <w:rPr>
          <w:rFonts w:ascii="Arial" w:hAnsi="Arial"/>
          <w:sz w:val="21"/>
        </w:rPr>
        <w:t>Ljubljana, den 15 maj 2024</w:t>
      </w:r>
    </w:p>
    <w:p w14:paraId="243DB9A2" w14:textId="77777777" w:rsidR="00F14052" w:rsidRDefault="0023224A">
      <w:pPr>
        <w:pStyle w:val="evidencnastevilka"/>
        <w:spacing w:before="480" w:after="210"/>
        <w:rPr>
          <w:rFonts w:ascii="Arial" w:eastAsia="Arial" w:hAnsi="Arial" w:cs="Arial"/>
          <w:sz w:val="21"/>
          <w:szCs w:val="21"/>
        </w:rPr>
      </w:pPr>
      <w:r>
        <w:rPr>
          <w:rFonts w:ascii="Arial" w:hAnsi="Arial"/>
          <w:sz w:val="21"/>
        </w:rPr>
        <w:lastRenderedPageBreak/>
        <w:t>EVA 2023-2430-0019</w:t>
      </w:r>
    </w:p>
    <w:p w14:paraId="6F073984" w14:textId="77777777" w:rsidR="00F14052" w:rsidRDefault="0023224A">
      <w:pPr>
        <w:pStyle w:val="podpisnik"/>
        <w:spacing w:before="480" w:after="210"/>
        <w:ind w:left="5669"/>
        <w:rPr>
          <w:rFonts w:ascii="Arial" w:eastAsia="Arial" w:hAnsi="Arial" w:cs="Arial"/>
          <w:sz w:val="21"/>
          <w:szCs w:val="21"/>
        </w:rPr>
      </w:pPr>
      <w:proofErr w:type="spellStart"/>
      <w:r>
        <w:rPr>
          <w:rFonts w:ascii="Arial" w:hAnsi="Arial"/>
          <w:sz w:val="21"/>
        </w:rPr>
        <w:t>M.Sc</w:t>
      </w:r>
      <w:proofErr w:type="spellEnd"/>
      <w:r>
        <w:rPr>
          <w:rFonts w:ascii="Arial" w:hAnsi="Arial"/>
          <w:sz w:val="21"/>
        </w:rPr>
        <w:t xml:space="preserve">. </w:t>
      </w:r>
      <w:proofErr w:type="spellStart"/>
      <w:r>
        <w:rPr>
          <w:rFonts w:ascii="Arial" w:hAnsi="Arial"/>
          <w:sz w:val="21"/>
        </w:rPr>
        <w:t>Alenka</w:t>
      </w:r>
      <w:proofErr w:type="spellEnd"/>
      <w:r>
        <w:rPr>
          <w:rFonts w:ascii="Arial" w:hAnsi="Arial"/>
          <w:sz w:val="21"/>
        </w:rPr>
        <w:t xml:space="preserve"> </w:t>
      </w:r>
      <w:proofErr w:type="spellStart"/>
      <w:r>
        <w:rPr>
          <w:rFonts w:ascii="Arial" w:hAnsi="Arial"/>
          <w:sz w:val="21"/>
        </w:rPr>
        <w:t>Bratušek</w:t>
      </w:r>
      <w:proofErr w:type="spellEnd"/>
      <w:r>
        <w:rPr>
          <w:rFonts w:ascii="Arial" w:hAnsi="Arial"/>
          <w:sz w:val="21"/>
        </w:rPr>
        <w:t xml:space="preserve">  </w:t>
      </w:r>
    </w:p>
    <w:p w14:paraId="0336699A" w14:textId="77777777" w:rsidR="00F14052" w:rsidRDefault="0023224A">
      <w:pPr>
        <w:rPr>
          <w:rFonts w:ascii="Arial" w:eastAsia="Arial" w:hAnsi="Arial" w:cs="Arial"/>
        </w:rPr>
      </w:pPr>
      <w:r>
        <w:rPr>
          <w:rFonts w:ascii="Arial" w:hAnsi="Arial"/>
        </w:rPr>
        <w:t xml:space="preserve">Infrastrukturminister </w:t>
      </w:r>
    </w:p>
    <w:p w14:paraId="597DFB1B" w14:textId="77777777" w:rsidR="00F14052" w:rsidRDefault="0023224A">
      <w:pPr>
        <w:rPr>
          <w:rFonts w:ascii="Arial" w:eastAsia="Arial" w:hAnsi="Arial" w:cs="Arial"/>
        </w:rPr>
      </w:pPr>
      <w:r>
        <w:rPr>
          <w:rFonts w:ascii="Arial" w:hAnsi="Arial"/>
        </w:rPr>
        <w:t xml:space="preserve"> </w:t>
      </w:r>
    </w:p>
    <w:p w14:paraId="5117238F"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224A"/>
    <w:rsid w:val="003469CF"/>
    <w:rsid w:val="004A1C6E"/>
    <w:rsid w:val="005B09F2"/>
    <w:rsid w:val="009C4A40"/>
    <w:rsid w:val="00A77B3E"/>
    <w:rsid w:val="00CA2A55"/>
    <w:rsid w:val="00F14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7A7B4"/>
  <w15:docId w15:val="{84B18762-619A-47A8-A823-03B44CF2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crkovnatockazaodstavkom">
    <w:name w:val="crkovna_tocka_za_odstavkom"/>
    <w:basedOn w:val="Normal"/>
    <w:pPr>
      <w:ind w:hanging="425"/>
      <w:jc w:val="both"/>
    </w:pPr>
  </w:style>
  <w:style w:type="paragraph" w:customStyle="1" w:styleId="alineazacrkovnotocko">
    <w:name w:val="alinea_za_crkov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style>
  <w:style w:type="paragraph" w:customStyle="1" w:styleId="podpisnik">
    <w:name w:val="podpisnik"/>
    <w:basedOn w:val="Normal"/>
    <w:pP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04/42/oj" TargetMode="External"/><Relationship Id="rId13" Type="http://schemas.openxmlformats.org/officeDocument/2006/relationships/hyperlink" Target="http://data.europa.eu/eli/reg/2011/1178/oj" TargetMode="External"/><Relationship Id="rId18" Type="http://schemas.openxmlformats.org/officeDocument/2006/relationships/hyperlink" Target="http://data.europa.eu/eli/reg/2018/1976/oj" TargetMode="External"/><Relationship Id="rId26" Type="http://schemas.openxmlformats.org/officeDocument/2006/relationships/hyperlink" Target="http://data.europa.eu/eli/reg/2018/1976/anx_3/oj" TargetMode="External"/><Relationship Id="rId3" Type="http://schemas.openxmlformats.org/officeDocument/2006/relationships/webSettings" Target="webSettings.xml"/><Relationship Id="rId21" Type="http://schemas.openxmlformats.org/officeDocument/2006/relationships/hyperlink" Target="http://data.europa.eu/eli/reg/2011/1178/oj" TargetMode="External"/><Relationship Id="rId7" Type="http://schemas.openxmlformats.org/officeDocument/2006/relationships/hyperlink" Target="http://data.europa.eu/eli/reg/2019/1020/oj" TargetMode="External"/><Relationship Id="rId12" Type="http://schemas.openxmlformats.org/officeDocument/2006/relationships/hyperlink" Target="http://data.europa.eu/eli/reg/2011/1178/oj" TargetMode="External"/><Relationship Id="rId17" Type="http://schemas.openxmlformats.org/officeDocument/2006/relationships/hyperlink" Target="http://data.europa.eu/eli/reg_impl/2018/1976/oj" TargetMode="External"/><Relationship Id="rId25" Type="http://schemas.openxmlformats.org/officeDocument/2006/relationships/hyperlink" Target="http://data.europa.eu/eli/reg/2011/1178/anx_1/oj" TargetMode="External"/><Relationship Id="rId2" Type="http://schemas.openxmlformats.org/officeDocument/2006/relationships/settings" Target="settings.xml"/><Relationship Id="rId16" Type="http://schemas.openxmlformats.org/officeDocument/2006/relationships/hyperlink" Target="http://data.europa.eu/eli/reg_impl/2020/358/oj" TargetMode="External"/><Relationship Id="rId20" Type="http://schemas.openxmlformats.org/officeDocument/2006/relationships/hyperlink" Target="http://data.europa.eu/eli/reg/2018/1976/oj" TargetMode="External"/><Relationship Id="rId1" Type="http://schemas.openxmlformats.org/officeDocument/2006/relationships/styles" Target="styles.xml"/><Relationship Id="rId6" Type="http://schemas.openxmlformats.org/officeDocument/2006/relationships/hyperlink" Target="http://data.europa.eu/eli/reg/1993/339/oj" TargetMode="External"/><Relationship Id="rId11" Type="http://schemas.openxmlformats.org/officeDocument/2006/relationships/hyperlink" Target="http://data.europa.eu/eli/reg/2011/1178/oj" TargetMode="External"/><Relationship Id="rId24" Type="http://schemas.openxmlformats.org/officeDocument/2006/relationships/hyperlink" Target="http://data.europa.eu/eli/reg/2018/1976/anx_3/oj" TargetMode="External"/><Relationship Id="rId5" Type="http://schemas.openxmlformats.org/officeDocument/2006/relationships/hyperlink" Target="http://data.europa.eu/eli/reg/2008/765/oj" TargetMode="External"/><Relationship Id="rId15" Type="http://schemas.openxmlformats.org/officeDocument/2006/relationships/hyperlink" Target="http://data.europa.eu/eli/reg/2018/1139/oj" TargetMode="External"/><Relationship Id="rId23" Type="http://schemas.openxmlformats.org/officeDocument/2006/relationships/hyperlink" Target="http://data.europa.eu/eli/reg/2011/1178/anx_1/oj" TargetMode="External"/><Relationship Id="rId28" Type="http://schemas.openxmlformats.org/officeDocument/2006/relationships/theme" Target="theme/theme1.xml"/><Relationship Id="rId10" Type="http://schemas.openxmlformats.org/officeDocument/2006/relationships/hyperlink" Target="http://data.europa.eu/eli/reg/2011/305/oj" TargetMode="External"/><Relationship Id="rId19" Type="http://schemas.openxmlformats.org/officeDocument/2006/relationships/hyperlink" Target="http://data.europa.eu/eli/reg/2011/1178/oj" TargetMode="External"/><Relationship Id="rId4" Type="http://schemas.openxmlformats.org/officeDocument/2006/relationships/hyperlink" Target="http://data.europa.eu/eli/dir/2015/1535/oj" TargetMode="External"/><Relationship Id="rId9" Type="http://schemas.openxmlformats.org/officeDocument/2006/relationships/hyperlink" Target="http://data.europa.eu/eli/reg/2008/765/oj" TargetMode="External"/><Relationship Id="rId14" Type="http://schemas.openxmlformats.org/officeDocument/2006/relationships/hyperlink" Target="http://data.europa.eu/eli/reg_impl/2018/1976/anx_3/oj" TargetMode="External"/><Relationship Id="rId22" Type="http://schemas.openxmlformats.org/officeDocument/2006/relationships/hyperlink" Target="http://data.europa.eu/eli/reg/2018/1976/o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3665</Words>
  <Characters>19756</Characters>
  <Application>Microsoft Office Word</Application>
  <DocSecurity>0</DocSecurity>
  <Lines>359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PRAV15103 NPB0</dc:title>
  <dc:creator>Jožica Škof Nikolič</dc:creator>
  <cp:keywords>class='Internal'</cp:keywords>
  <cp:lastModifiedBy>Ragnhild Efraimsson</cp:lastModifiedBy>
  <cp:revision>2</cp:revision>
  <dcterms:created xsi:type="dcterms:W3CDTF">2024-08-14T13:41:00Z</dcterms:created>
  <dcterms:modified xsi:type="dcterms:W3CDTF">2024-08-14T13:41:00Z</dcterms:modified>
</cp:coreProperties>
</file>