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AIREACHT AERÁIDE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b/>
                          <w:bCs/>
                          <w:sz w:val="28"/>
                          <w:szCs w:val="28"/>
                          <w:rFonts w:ascii="Arial" w:hAnsi="Arial" w:cs="Arial"/>
                        </w:rPr>
                      </w:pPr>
                      <w:r>
                        <w:rPr>
                          <w:b/>
                          <w:sz w:val="28"/>
                          <w:rFonts w:ascii="Arial" w:hAnsi="Arial"/>
                        </w:rPr>
                        <w:t xml:space="preserve">AIREACHT AERÁIDE</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78"/>
        <w:gridCol w:w="810"/>
        <w:gridCol w:w="4226"/>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RIALACHÁN</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Dáta an tsínithe dhigitigh </w:t>
            </w:r>
          </w:p>
          <w:p w14:paraId="09DBC072" w14:textId="749C644C" w:rsidR="005B0AFA" w:rsidRPr="00683D28" w:rsidRDefault="005E3B39" w:rsidP="00B6572B">
            <w:pPr>
              <w:pStyle w:val="viideteie"/>
              <w:jc w:val="right"/>
            </w:pPr>
            <w:r>
              <w:t xml:space="preserve">Uimh. </w:t>
            </w:r>
            <w:sdt>
              <w:sdtPr>
                <w:alias w:val="Uimhir chlárúcháin:"/>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[Uimhir chlárúcháin]</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Leasú ar Rialachán Uimh. 101 ón Aire Gnóthaí Eacnamaíocha agus Bonneagair an 3 Lúnasa 2015 ‘Ceanglais cháilíochta maidir le tógáil bóithre’</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Déantar an rialachán a achtú ar bhonn alt 96 (3) den Chód Foirgníochta.</w:t>
      </w:r>
    </w:p>
    <w:p w14:paraId="2267CFBB" w14:textId="77777777" w:rsidR="00491D3F" w:rsidRDefault="00491D3F" w:rsidP="00491D3F"/>
    <w:p w14:paraId="27F6E63A" w14:textId="0C0997B4" w:rsidR="00491D3F" w:rsidRPr="00C06447" w:rsidRDefault="00491D3F" w:rsidP="00491D3F">
      <w:pPr>
        <w:rPr>
          <w:b/>
          <w:bCs/>
        </w:rPr>
      </w:pPr>
      <w:r>
        <w:rPr>
          <w:b/>
        </w:rPr>
        <w:t>Leasú ar Rialachán Uimh. 101 ón Aire Gnóthaí Eacnamaíocha agus Bonneagair an 3 Lúnasa 2015 ‘Ceanglais cháilíochta maidir le tógáil bóithre’</w:t>
      </w:r>
    </w:p>
    <w:p w14:paraId="21D9AE75" w14:textId="77777777" w:rsidR="00491D3F" w:rsidRDefault="00491D3F" w:rsidP="00491D3F"/>
    <w:p w14:paraId="65E862AB" w14:textId="42D572BF" w:rsidR="00491D3F" w:rsidRDefault="00491D3F" w:rsidP="00AA5DD3">
      <w:bookmarkStart w:id="0" w:name="_Hlk169183575"/>
      <w:r>
        <w:t>;</w:t>
      </w:r>
      <w:bookmarkEnd w:id="0"/>
      <w:r>
        <w:t>;</w:t>
      </w:r>
      <w:r>
        <w:rPr>
          <w:b/>
        </w:rPr>
        <w:t>(1)</w:t>
      </w:r>
      <w:r>
        <w:t xml:space="preserve"> ar fud an Rialacháin agus i dteideal Iarscríbhinn 14 a ghabhann leis, cuirtear an frása ‘meascán asfailt’ in ionad an fhrása ‘meascán coincréite asfailt’</w:t>
      </w:r>
    </w:p>
    <w:p w14:paraId="113AAEB9" w14:textId="77777777" w:rsidR="00491D3F" w:rsidRDefault="00491D3F" w:rsidP="00491D3F"/>
    <w:p w14:paraId="652EF9A4" w14:textId="1E4DB222" w:rsidR="00491D3F" w:rsidRDefault="00491D3F" w:rsidP="00491D3F">
      <w:r>
        <w:rPr>
          <w:b/>
        </w:rPr>
        <w:t>(2)</w:t>
      </w:r>
      <w:r>
        <w:t xml:space="preserve"> cuirtear an abairt ‘Déanfaidh úinéir an bhóthair comhlíonadh na gceanglas cáilíochta ag ábhair thógála a fhíorú i saotharlann nach mór di, mar riail ghinearálta, a bheith ina tomhaiseoir inniúil’ isteach tar éis na habairte deireanaí d’fho-alt 1 (2)’;</w:t>
      </w:r>
    </w:p>
    <w:p w14:paraId="2743E445" w14:textId="77777777" w:rsidR="00491D3F" w:rsidRDefault="00491D3F" w:rsidP="00491D3F"/>
    <w:p w14:paraId="71541E18" w14:textId="4EC10FBD" w:rsidR="00491D3F" w:rsidRDefault="00491D3F" w:rsidP="00491D3F">
      <w:r>
        <w:rPr>
          <w:b/>
        </w:rPr>
        <w:t>(3)</w:t>
      </w:r>
      <w:r>
        <w:t xml:space="preserve"> fo-alt (2</w:t>
      </w:r>
      <w:r>
        <w:rPr>
          <w:vertAlign w:val="superscript"/>
        </w:rPr>
        <w:t>1</w:t>
      </w:r>
      <w:r>
        <w:t>) a chur le roinn 1, agus an fhoclaíocht seo a leanas inti:</w:t>
      </w:r>
    </w:p>
    <w:p w14:paraId="13A92325" w14:textId="607EE836" w:rsidR="00491D3F" w:rsidRDefault="00491D3F" w:rsidP="00491D3F">
      <w:r>
        <w:t>‘(2</w:t>
      </w:r>
      <w:r>
        <w:rPr>
          <w:vertAlign w:val="superscript"/>
        </w:rPr>
        <w:t>1</w:t>
      </w:r>
      <w:r>
        <w:t>) Is féidir bunábhair mhalartacha a úsáid le haghaidh oibreacha bóthair le toiliú úinéir an bhóthair, ar choinníoll go n-áirithítear na ceanglais maidir le saolré, cobhsaíocht agus sábháilteacht an bhóthair. Comhlíonadh na gceanglas</w:t>
      </w:r>
    </w:p>
    <w:p w14:paraId="5AB60174" w14:textId="77777777" w:rsidR="00491D3F" w:rsidRDefault="00491D3F" w:rsidP="00491D3F">
      <w:r>
        <w:t>chun bunábhair mhalartacha a úsáid, léireofar iad.’;</w:t>
      </w:r>
    </w:p>
    <w:p w14:paraId="2375CC7C" w14:textId="77777777" w:rsidR="00491D3F" w:rsidRDefault="00491D3F" w:rsidP="00491D3F"/>
    <w:p w14:paraId="1362B621" w14:textId="77777777" w:rsidR="00491D3F" w:rsidRDefault="00491D3F" w:rsidP="00491D3F">
      <w:r>
        <w:rPr>
          <w:b/>
        </w:rPr>
        <w:t>(4)</w:t>
      </w:r>
      <w:r>
        <w:t xml:space="preserve"> léitear fo-alt 1 (3) mar a leanas:</w:t>
      </w:r>
    </w:p>
    <w:p w14:paraId="7473E06A" w14:textId="1A4990BB" w:rsidR="00491D3F" w:rsidRDefault="00491D3F" w:rsidP="00491D3F">
      <w:r>
        <w:t>‘(3) De mhaolú air sin, féadfar glacadh le hoibreacha bóthair faoi na coinníollacha arna leagan síos ag an úinéir bóthair mura bhfuil sé indéanta ó thaobh na hinnealtóireachta nó na heacnamaíochta de, nó an dá rud, na hoibreacha a athdhéanamh.’;</w:t>
      </w:r>
    </w:p>
    <w:p w14:paraId="216ECA81" w14:textId="77777777" w:rsidR="00491D3F" w:rsidRDefault="00491D3F" w:rsidP="00491D3F"/>
    <w:p w14:paraId="56A7733B" w14:textId="690DC031" w:rsidR="00491D3F" w:rsidRDefault="00491D3F" w:rsidP="00491D3F">
      <w:r>
        <w:rPr>
          <w:b/>
        </w:rPr>
        <w:t>(5)</w:t>
      </w:r>
      <w:r>
        <w:t xml:space="preserve"> i bhfo-alt 2 (8), cuirtear an frása ‘lasmuigh de thógáil an bhóthair’ in ionad an fhrása ‘isteach san ithir agus sna dobharlaigh’;</w:t>
      </w:r>
    </w:p>
    <w:p w14:paraId="796FCD3D" w14:textId="77777777" w:rsidR="00491D3F" w:rsidRDefault="00491D3F" w:rsidP="00491D3F"/>
    <w:p w14:paraId="70FC73D9" w14:textId="77777777" w:rsidR="00491D3F" w:rsidRDefault="00491D3F" w:rsidP="00491D3F">
      <w:r>
        <w:rPr>
          <w:b/>
        </w:rPr>
        <w:t>(6)</w:t>
      </w:r>
      <w:r>
        <w:t xml:space="preserve"> léitear fo-alt 2 (12) mar a leanas:</w:t>
      </w:r>
    </w:p>
    <w:p w14:paraId="1FF54EBC" w14:textId="77777777" w:rsidR="00491D3F" w:rsidRDefault="00491D3F" w:rsidP="00491D3F">
      <w:r>
        <w:t>‘(12) An chomhéifeacht ghreamaitheachta de dhromchla an bhóthair ar charrbhealach atá oscailte do thrácht agus ar mó ná 50 a luasteorainn</w:t>
      </w:r>
    </w:p>
    <w:p w14:paraId="7030A8DF" w14:textId="56498FD9" w:rsidR="00491D3F" w:rsidRDefault="00491D3F" w:rsidP="00491D3F">
      <w:r>
        <w:t>Ní imeoidh níos mó ná 0,1 aonad ó mheánluach na comhéifeachta greamaitheachta i dtreo trasnach an trasghearrtha bóthair.”;</w:t>
      </w:r>
    </w:p>
    <w:p w14:paraId="0FB62085" w14:textId="77777777" w:rsidR="00491D3F" w:rsidRDefault="00491D3F" w:rsidP="00491D3F"/>
    <w:p w14:paraId="15CB70F8" w14:textId="77777777" w:rsidR="00491D3F" w:rsidRDefault="00491D3F" w:rsidP="00491D3F">
      <w:r>
        <w:rPr>
          <w:b/>
        </w:rPr>
        <w:t>(7)</w:t>
      </w:r>
      <w:r>
        <w:t xml:space="preserve"> léifear fo-ailt (14)–(16) d’roinn 2 mar a leanas:</w:t>
      </w:r>
    </w:p>
    <w:p w14:paraId="436D1535" w14:textId="784B69BC" w:rsidR="00491D3F" w:rsidRDefault="00491D3F" w:rsidP="00491D3F">
      <w:r>
        <w:t>‘(14) Ní mór do sheachbhealaí mar gheall ar oibreacha bóthair coinníoll leibhéal 1 ar a laghad a chomhlíonadh i gcomhréir leis na ceanglais dá bhforáiltear ar bhonn fho-alt 97 (2) den Chód Foirgníochta.</w:t>
      </w:r>
    </w:p>
    <w:p w14:paraId="2DF95987" w14:textId="77777777" w:rsidR="00491D3F" w:rsidRDefault="00491D3F" w:rsidP="00491D3F"/>
    <w:p w14:paraId="25D8B6E4" w14:textId="4BA58816" w:rsidR="00491D3F" w:rsidRDefault="00491D3F" w:rsidP="00491D3F">
      <w:r>
        <w:t>(15) Ní fhéadfar sraitheanna claífoirt agus pábhála a leagan ach amháin ar na sraitheanna íochtaracha a tógadh agus a glacadh de réir an nós imeachta arna cheadú ag úinéir an bhóthair. Má tá ceanglas ann maidir le friotaíocht sioc, ní mór friotaíocht sioc an ábhair a úsáidtear a chinneadh má tá an ionsú uisce níos mó ná 2%.</w:t>
      </w:r>
    </w:p>
    <w:p w14:paraId="0915E20C" w14:textId="77777777" w:rsidR="00491D3F" w:rsidRDefault="00491D3F" w:rsidP="00491D3F"/>
    <w:p w14:paraId="1F162E12" w14:textId="541D5207" w:rsidR="00491D3F" w:rsidRDefault="00491D3F" w:rsidP="00491D3F">
      <w:r>
        <w:t>(16) Agus comhlíonadh na gceanglas cáilíochta á sheiceáil, déanfaidh an beartóir cáilithe, i gcás inar féidir, an fíorú. I gcás nach féidir beartóir cáilithe a úsáid, déanfar an tseiceáil cáilíochta ar bhonn na gceanglas arna leagan síos ag an úinéir bóthair.’;</w:t>
      </w:r>
    </w:p>
    <w:p w14:paraId="7D2E459A" w14:textId="77777777" w:rsidR="00491D3F" w:rsidRDefault="00491D3F" w:rsidP="00491D3F"/>
    <w:p w14:paraId="30F21FC3" w14:textId="77777777" w:rsidR="00491D3F" w:rsidRDefault="00491D3F" w:rsidP="00491D3F">
      <w:r>
        <w:rPr>
          <w:b/>
        </w:rPr>
        <w:t>(8)</w:t>
      </w:r>
      <w:r>
        <w:t xml:space="preserve"> léitear fo-alt 3 (3) agus (4 0mar a leanas:</w:t>
      </w:r>
    </w:p>
    <w:p w14:paraId="53B950A8" w14:textId="77777777" w:rsidR="00491D3F" w:rsidRDefault="00491D3F" w:rsidP="00491D3F">
      <w:r>
        <w:t>‘(3) Baisc amháin den chomhiomlán a sheachadtar le haghaidh meascáin asfailt is ea suas le 3000 tona.</w:t>
      </w:r>
    </w:p>
    <w:p w14:paraId="3F1A782C" w14:textId="77777777" w:rsidR="00491D3F" w:rsidRDefault="00491D3F" w:rsidP="00491D3F"/>
    <w:p w14:paraId="2D2CDA6A" w14:textId="7471609C" w:rsidR="00491D3F" w:rsidRDefault="00491D3F" w:rsidP="00491D3F">
      <w:r>
        <w:t>(4) Áireofar san fhíorú ar chomhréireacht gach baisce leis an doiciméadacht um measúnú comhréireachta measúnú ar dháileadh mhéid na gcáithníní den chomhiomlán fíneála agus ar ábhar na bhfíneálacha. Déantar an comhiomlán garbh a sheiceáil maidir le dáileadh mhéid na gcáithníní, cion na bhfíneálacha, innéacs bladhmanna agus frithsheasmhacht in aghaidh ilroinnte.</w:t>
      </w:r>
    </w:p>
    <w:p w14:paraId="725C8C5B" w14:textId="1D75AF8A" w:rsidR="00491D3F" w:rsidRDefault="00491D3F" w:rsidP="00491D3F">
      <w:r>
        <w:t>Déanfar an fhriotaíocht in aghaidh caithimh a chinneadh, i gcás inarb iomchuí, leis an tástáil Nordach. Seiceálfar friotaíocht sioc na gcomhiomlán garbh uair amháin ar a laghad roimh shuiteáil na n-ábhar. Nuair a bheidh measúnú á dhéanamh ar fhriotaíocht sioc,</w:t>
      </w:r>
    </w:p>
    <w:p w14:paraId="797AA4FA" w14:textId="0209D668" w:rsidR="00491D3F" w:rsidRDefault="00491D3F" w:rsidP="00491D3F">
      <w:r>
        <w:t>tá gá le sonraí saotharlainne agus féadfar ábhair a shuiteáil má tá ionsú uisce an ábhair níos lú ná 2 % de réir sonraí saotharlainne.’;</w:t>
      </w:r>
    </w:p>
    <w:p w14:paraId="736B296C" w14:textId="77777777" w:rsidR="00491D3F" w:rsidRDefault="00491D3F" w:rsidP="00491D3F"/>
    <w:p w14:paraId="437CCAB7" w14:textId="2AC844BC" w:rsidR="00491D3F" w:rsidRDefault="00491D3F" w:rsidP="00491D3F">
      <w:r>
        <w:rPr>
          <w:b/>
        </w:rPr>
        <w:t>(9)</w:t>
      </w:r>
      <w:r>
        <w:t xml:space="preserve"> déantar an ceathrú habairt d’fho-alt 3 (7) agus an tríú habairt d’fho-alt 12 (3) a fhorlíonadh leis an bhfrása ‘nó, i gcomhaontú leis an údarás conarthach, bearta ceartaitheacha a dhéanamh’ i ndiaidh an fhocail ‘bain’;</w:t>
      </w:r>
    </w:p>
    <w:p w14:paraId="1DBAD732" w14:textId="77777777" w:rsidR="00491D3F" w:rsidRDefault="00491D3F" w:rsidP="00491D3F"/>
    <w:p w14:paraId="7FB3AEF2" w14:textId="39C8FF32" w:rsidR="00491D3F" w:rsidRDefault="00491D3F" w:rsidP="00491D3F">
      <w:r>
        <w:rPr>
          <w:b/>
        </w:rPr>
        <w:t>(10)</w:t>
      </w:r>
      <w:r>
        <w:t xml:space="preserve"> sa tríú habairt d’fho-alt 4 (2), scriostar an frása ‘ag fad na báistí nárbh fhéidir a thuar nó, faoi 24 uair an chloig i gcás titim gan choinne ar theocht faoi bhun 5 °C ar dhromchla an bhóthair’;</w:t>
      </w:r>
    </w:p>
    <w:p w14:paraId="2314F6E8" w14:textId="77777777" w:rsidR="00491D3F" w:rsidRDefault="00491D3F" w:rsidP="00491D3F"/>
    <w:p w14:paraId="2B4B649D" w14:textId="77777777" w:rsidR="00491D3F" w:rsidRDefault="00491D3F" w:rsidP="00491D3F">
      <w:r>
        <w:rPr>
          <w:b/>
        </w:rPr>
        <w:t>(11)</w:t>
      </w:r>
      <w:r>
        <w:t xml:space="preserve"> léitear fo-alt 5 (1) mar a leanas:</w:t>
      </w:r>
    </w:p>
    <w:p w14:paraId="065FA7B1" w14:textId="77777777" w:rsidR="00491D3F" w:rsidRDefault="00491D3F" w:rsidP="00491D3F">
      <w:r>
        <w:t>‘(1) Ní mór dáileadh mhéid na gcáithníní a bheith ag an gciseal uachtarach gairbhéil ag a bhfuil tiús 12 cm ar a laghad den chiseal gairbhéil iomlán</w:t>
      </w:r>
    </w:p>
    <w:p w14:paraId="023A23FF" w14:textId="79C25079" w:rsidR="00491D3F" w:rsidRDefault="00491D3F" w:rsidP="00491D3F">
      <w:r>
        <w:t>seasamh 5 nó 6 mar a leagtar amach in Iarscríbhinn 10 a ghabhann leis an Rialachán seo. Tomhaistear an tsraith uachtarach gairbhéil feadh ais an bhóthair agus ag fad 1 m ó imeall an bhóthair. Ní bheidh cáithníní scaoilte sa dromchla séalaithe nach dtéann trí 40 mm</w:t>
      </w:r>
    </w:p>
    <w:p w14:paraId="0B83A04B" w14:textId="77777777" w:rsidR="00491D3F" w:rsidRDefault="00491D3F" w:rsidP="00491D3F">
      <w:r>
        <w:t>criathar méide.’;</w:t>
      </w:r>
    </w:p>
    <w:p w14:paraId="1869EB07" w14:textId="77777777" w:rsidR="00491D3F" w:rsidRDefault="00491D3F" w:rsidP="00491D3F"/>
    <w:p w14:paraId="6BAFB338" w14:textId="0E1E05C2" w:rsidR="00491D3F" w:rsidRDefault="00491D3F" w:rsidP="00491D3F">
      <w:r>
        <w:rPr>
          <w:b/>
        </w:rPr>
        <w:t>(12)</w:t>
      </w:r>
      <w:r>
        <w:t xml:space="preserve"> leasaítear na ceithre abairt dheireanacha d’fho-alt 5 (2) 4), fo-alt 12 (10), an cúigiú habairt de chlásal 13 (12) 7) agus an tríú habairt d’fho-alt 23 (4) tríd an gcuid téacs ‘nó CIGIRE-’ a chur isteach i ndiaidh na coda téacs ‘FEAR LÓID-’ agus tríd an bhfrása seo a leanas a chur in ionad an fhrása ‘arna iolrú faoin bhfachtóir idirthréimhseach’:</w:t>
      </w:r>
    </w:p>
    <w:p w14:paraId="4E7B5C8F" w14:textId="77777777" w:rsidR="00491D3F" w:rsidRDefault="00491D3F" w:rsidP="00491D3F">
      <w:r>
        <w:lastRenderedPageBreak/>
        <w:t>‘a chomhshóitear le bheith inchomparáide’;</w:t>
      </w:r>
    </w:p>
    <w:p w14:paraId="2DDE4159" w14:textId="77777777" w:rsidR="00491D3F" w:rsidRDefault="00491D3F" w:rsidP="00491D3F"/>
    <w:p w14:paraId="6D9AC578" w14:textId="77777777" w:rsidR="00491D3F" w:rsidRDefault="00491D3F" w:rsidP="00491D3F">
      <w:r>
        <w:rPr>
          <w:b/>
        </w:rPr>
        <w:t>(13)</w:t>
      </w:r>
      <w:r>
        <w:t xml:space="preserve"> léifear teideal roinn 6 mar a leanas:</w:t>
      </w:r>
    </w:p>
    <w:p w14:paraId="65967F88" w14:textId="6FB91CB4" w:rsidR="00491D3F" w:rsidRPr="00491D3F" w:rsidRDefault="00491D3F" w:rsidP="00491D3F">
      <w:pPr>
        <w:rPr>
          <w:b/>
          <w:bCs/>
        </w:rPr>
      </w:pPr>
      <w:r>
        <w:rPr>
          <w:b/>
        </w:rPr>
        <w:t>Roinn 6. Asfalt agus bóthar pábháilte’;</w:t>
      </w:r>
    </w:p>
    <w:p w14:paraId="2DE706DD" w14:textId="77777777" w:rsidR="00491D3F" w:rsidRDefault="00491D3F" w:rsidP="00491D3F"/>
    <w:p w14:paraId="59A776D2" w14:textId="77777777" w:rsidR="00491D3F" w:rsidRDefault="00491D3F" w:rsidP="00491D3F">
      <w:r>
        <w:rPr>
          <w:b/>
        </w:rPr>
        <w:t>(14)</w:t>
      </w:r>
      <w:r>
        <w:t xml:space="preserve"> léitear fo-alt 6 (1)(1) mar a leanas:</w:t>
      </w:r>
    </w:p>
    <w:p w14:paraId="210ABB7A" w14:textId="01F86C92" w:rsidR="00491D3F" w:rsidRDefault="00491D3F" w:rsidP="00491D3F">
      <w:r>
        <w:t>‘1) cantaireacht ar bhóthar cantaireachta dhá thaobh; agus</w:t>
      </w:r>
      <w:r>
        <w:rPr>
          <w:color w:val="202020"/>
          <w:shd w:val="clear" w:color="auto" w:fill="FFFFFF"/>
        </w:rPr>
        <w:t xml:space="preserve"> de réir bhrí an Gnímh um Thrácht ar Bhóithre</w:t>
      </w:r>
      <w:r>
        <w:t xml:space="preserve"> ar chosáin chliathánacha, ar chosáin, ar chosáin agus ar chosáin rothaíochta, agus ar chodanna rothaíochta ± 0.5 % agus cantaí aontaobhacha ± 0.3 %;’;</w:t>
      </w:r>
    </w:p>
    <w:p w14:paraId="5F0DA653" w14:textId="77777777" w:rsidR="00491D3F" w:rsidRDefault="00491D3F" w:rsidP="00491D3F"/>
    <w:p w14:paraId="33C70D57" w14:textId="77777777" w:rsidR="00491D3F" w:rsidRDefault="00491D3F" w:rsidP="00491D3F">
      <w:r>
        <w:rPr>
          <w:b/>
        </w:rPr>
        <w:t>(15)</w:t>
      </w:r>
      <w:r>
        <w:t xml:space="preserve"> léifear clásal 6 (1) 3) agus clásal 20 (1) 3) mar a leanas:</w:t>
      </w:r>
    </w:p>
    <w:p w14:paraId="76578A29" w14:textId="77777777" w:rsidR="00491D3F" w:rsidRDefault="00491D3F" w:rsidP="00491D3F">
      <w:r>
        <w:t>‘3) Féadfaidh an fad idir imeall an dromchla agus ais an bhóthair a bheith éagsúil –5 / +15 cm, agus ní bheidh leithead foriomlán an dromchla</w:t>
      </w:r>
    </w:p>
    <w:p w14:paraId="470F9F36" w14:textId="6913F37D" w:rsidR="00491D3F" w:rsidRDefault="00491D3F" w:rsidP="00491D3F">
      <w:r>
        <w:t>níos cúinge ná an dearadh agus an difríocht idir dhá thomhas i ndiaidh a chéile ar chodanna díreacha nach mó ná 5 cm ar leithead aonfhoirmeach.”;</w:t>
      </w:r>
    </w:p>
    <w:p w14:paraId="46047FD9" w14:textId="77777777" w:rsidR="00491D3F" w:rsidRDefault="00491D3F" w:rsidP="00491D3F"/>
    <w:p w14:paraId="3D5BA818" w14:textId="77777777" w:rsidR="00491D3F" w:rsidRDefault="00491D3F" w:rsidP="00491D3F">
      <w:r>
        <w:rPr>
          <w:b/>
        </w:rPr>
        <w:t>(16)</w:t>
      </w:r>
      <w:r>
        <w:t xml:space="preserve"> léitear an cúigiú habairt d'fho-alt 6 (3) mar a leanas:</w:t>
      </w:r>
    </w:p>
    <w:p w14:paraId="004C7385" w14:textId="77777777" w:rsidR="00491D3F" w:rsidRDefault="00491D3F" w:rsidP="00491D3F">
      <w:r>
        <w:t>‘Mura bhfuil an chomhéifeacht ghreamaitheachta i gcomhréir leis na ceanglais, feisteofar na comharthaí bóthair ábhartha.’;</w:t>
      </w:r>
    </w:p>
    <w:p w14:paraId="41D5212F" w14:textId="77777777" w:rsidR="00491D3F" w:rsidRDefault="00491D3F" w:rsidP="00491D3F"/>
    <w:p w14:paraId="0FF85DC8" w14:textId="77777777" w:rsidR="00491D3F" w:rsidRDefault="00491D3F" w:rsidP="00491D3F">
      <w:r>
        <w:rPr>
          <w:b/>
        </w:rPr>
        <w:t>(17)</w:t>
      </w:r>
      <w:r>
        <w:t xml:space="preserve"> léitear fo-alt 6 (6) mar a leanas:</w:t>
      </w:r>
    </w:p>
    <w:p w14:paraId="7093426B" w14:textId="1D2479D8" w:rsidR="00491D3F" w:rsidRDefault="00491D3F" w:rsidP="00491D3F">
      <w:r>
        <w:t>‘(6) Beidh an modal leaisteach le haghaidh leapacha tacaíochta bóthair nua a thógfar leis an struchtúr deartha, arna thomhas le feiste de chineál FEAR LÓID nó CIGIRE, 130 MPa ar a laghad ag lár na leapa tacaíochta. Má úsáidtear feiste tomhais eile de mhodal leaisteach analógach, cuirfear a léamha i gcomparáid leis an bhfeiste de chineál FEAR LÓID nó CIGIRE agus tiontófar na torthaí tomhais le bheith inchomparáide.’;</w:t>
      </w:r>
    </w:p>
    <w:p w14:paraId="084502F2" w14:textId="77777777" w:rsidR="00491D3F" w:rsidRDefault="00491D3F" w:rsidP="00491D3F"/>
    <w:p w14:paraId="1ACF7E4F" w14:textId="4B85E912" w:rsidR="00491D3F" w:rsidRDefault="00491D3F" w:rsidP="00491D3F">
      <w:r>
        <w:rPr>
          <w:b/>
        </w:rPr>
        <w:t>(18)</w:t>
      </w:r>
      <w:r>
        <w:t xml:space="preserve"> fo-alt (6</w:t>
      </w:r>
      <w:r>
        <w:rPr>
          <w:vertAlign w:val="superscript"/>
        </w:rPr>
        <w:t>1</w:t>
      </w:r>
      <w:r>
        <w:t>) a chur le roinn 6, agus an fhoclaíocht seo a leanas inti:</w:t>
      </w:r>
    </w:p>
    <w:p w14:paraId="42CCAE02" w14:textId="4463FD2D" w:rsidR="00491D3F" w:rsidRDefault="00491D3F" w:rsidP="00491D3F">
      <w:r>
        <w:t>‘(6</w:t>
      </w:r>
      <w:r>
        <w:rPr>
          <w:vertAlign w:val="superscript"/>
        </w:rPr>
        <w:t>1</w:t>
      </w:r>
      <w:r>
        <w:t>) I gcás ina líontar na leapacha tacaíochta atá ann cheana, ní mór na leapacha a chomhbhrú, ach ní bheidh feidhm ag an gceanglas maidir leis an modal leaisteach a shonraítear i bhfo-alt 6 den alt seo.’;</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i bhforoinn 6 (7), cuirtear an téacs “± 1.0%” in ionad an téacs “± 0.5%” agus cuirtear an abairt “Ní bheidh fána an leaba bóthair níos lú ná claonadh an bhóthair i gcás ar bith” isteach tar éis na habairte deireanaí.”;</w:t>
      </w:r>
      <w:bookmarkEnd w:id="1"/>
    </w:p>
    <w:p w14:paraId="5B482ABD" w14:textId="77777777" w:rsidR="00491D3F" w:rsidRDefault="00491D3F" w:rsidP="00491D3F"/>
    <w:p w14:paraId="458F6323" w14:textId="77777777" w:rsidR="00491D3F" w:rsidRDefault="00491D3F" w:rsidP="00491D3F">
      <w:r>
        <w:rPr>
          <w:b/>
        </w:rPr>
        <w:t>(20)</w:t>
      </w:r>
      <w:r>
        <w:t xml:space="preserve"> léitear an cúigiú habairt d'fho-alt 8 (5) mar a leanas:</w:t>
      </w:r>
    </w:p>
    <w:p w14:paraId="7912B3AF" w14:textId="21887A8D" w:rsidR="00491D3F" w:rsidRDefault="00491D3F" w:rsidP="00491D3F">
      <w:r>
        <w:t>‘Beidh fachtóir comhbhrú na fo-ithreach ≥ 0,94 mura bhforáiltear do thuaslagán sonrach sa dearadh.’;</w:t>
      </w:r>
    </w:p>
    <w:p w14:paraId="5E75F41A" w14:textId="77777777" w:rsidR="00491D3F" w:rsidRDefault="00491D3F" w:rsidP="00491D3F"/>
    <w:p w14:paraId="5D843097" w14:textId="77777777" w:rsidR="00491D3F" w:rsidRDefault="00491D3F" w:rsidP="00491D3F">
      <w:r>
        <w:rPr>
          <w:b/>
        </w:rPr>
        <w:t>(21)</w:t>
      </w:r>
      <w:r>
        <w:t xml:space="preserve"> léitear fo-alt 9 (3) mar a leanas:</w:t>
      </w:r>
    </w:p>
    <w:p w14:paraId="3348FFFA" w14:textId="77777777" w:rsidR="00491D3F" w:rsidRDefault="00491D3F" w:rsidP="00491D3F">
      <w:r>
        <w:t>‘(3) Féadfar an dromchla a chur ar an gclaífort roimh bhliain amháin tar éis an dáta a ghlacfar leis an gclaífort, ar choinníoll:</w:t>
      </w:r>
    </w:p>
    <w:p w14:paraId="3F53DAAA" w14:textId="78640B6A" w:rsidR="00491D3F" w:rsidRDefault="00491D3F" w:rsidP="00491D3F">
      <w:r>
        <w:t>déantar an claífort a dhlúthú i sraitheanna suas le 0.3 m ar tiús agus comhlíonann comhbhrú gach sraithe na ceanglais nó i sraitheanna suas le 0.6 m ar tiús má léiríonn an déantóir bóthair gur féidir an comhbhrú is gá a bhaint amach le haghaidh thiús iomlán na sraithe comhbhrúite.’;</w:t>
      </w:r>
    </w:p>
    <w:p w14:paraId="39DA2716" w14:textId="77777777" w:rsidR="00491D3F" w:rsidRDefault="00491D3F" w:rsidP="00491D3F"/>
    <w:p w14:paraId="6CA62D38" w14:textId="577EA209" w:rsidR="00491D3F" w:rsidRDefault="00491D3F" w:rsidP="00491D3F">
      <w:r>
        <w:rPr>
          <w:b/>
        </w:rPr>
        <w:t>(22)</w:t>
      </w:r>
      <w:r>
        <w:t xml:space="preserve"> i bhfo-ailt 9 (5) agus (6) agus i bhfo-ailt 11 (3) agus (4), cuirtear an frása ‘arna thiontú chun bheith inchomparáide’ in ionad an fhrása ‘arna iolrú faoin bhfachtóir aistrithe’;</w:t>
      </w:r>
    </w:p>
    <w:p w14:paraId="6956D027" w14:textId="77777777" w:rsidR="00491D3F" w:rsidRDefault="00491D3F" w:rsidP="00491D3F"/>
    <w:p w14:paraId="3E21BF7F" w14:textId="77777777" w:rsidR="00491D3F" w:rsidRDefault="00491D3F" w:rsidP="00491D3F">
      <w:r>
        <w:rPr>
          <w:b/>
        </w:rPr>
        <w:t>(23)</w:t>
      </w:r>
      <w:r>
        <w:t xml:space="preserve"> léitear fo-alt 9 (8) mar a leanas:</w:t>
      </w:r>
    </w:p>
    <w:p w14:paraId="2FBC323F" w14:textId="77777777" w:rsidR="00491D3F" w:rsidRDefault="00491D3F" w:rsidP="00491D3F">
      <w:r>
        <w:t>‘(8) Déanfar plánacht an chlaífoirt a sheiceáil ar stráicí bóthair ar a bhfuil fadfhána aonfhoirmeach feadh ais an bhóthair agus ar a laghad ceann amháin</w:t>
      </w:r>
    </w:p>
    <w:p w14:paraId="61E05CD2" w14:textId="77777777" w:rsidR="00491D3F" w:rsidRDefault="00491D3F" w:rsidP="00491D3F">
      <w:r>
        <w:t>méadar ar gach taobh den chlaífort gach 25 mhéadar, go geodastach nó le barra 3 mhéadar.</w:t>
      </w:r>
    </w:p>
    <w:p w14:paraId="7755DE7E" w14:textId="77777777" w:rsidR="00491D3F" w:rsidRDefault="00491D3F" w:rsidP="00491D3F">
      <w:r>
        <w:t>Is é &lt; 30 mm an fadghairbhe agus an gairbhe thrasnach uasta is incheadaithe.’;</w:t>
      </w:r>
    </w:p>
    <w:p w14:paraId="373EBE5C" w14:textId="77777777" w:rsidR="00491D3F" w:rsidRDefault="00491D3F" w:rsidP="00491D3F"/>
    <w:p w14:paraId="344591CB" w14:textId="0B3E2C70" w:rsidR="00491D3F" w:rsidRDefault="00491D3F" w:rsidP="00491D3F">
      <w:r>
        <w:rPr>
          <w:b/>
        </w:rPr>
        <w:t>(24)</w:t>
      </w:r>
      <w:r>
        <w:t xml:space="preserve"> aisghairtear fo-alt 9 (9);</w:t>
      </w:r>
    </w:p>
    <w:p w14:paraId="5A5A39B6" w14:textId="77777777" w:rsidR="00491D3F" w:rsidRDefault="00491D3F" w:rsidP="00491D3F"/>
    <w:p w14:paraId="7963D194" w14:textId="7D6B2D2C" w:rsidR="00491D3F" w:rsidRDefault="00491D3F" w:rsidP="00491D3F">
      <w:r>
        <w:rPr>
          <w:b/>
        </w:rPr>
        <w:t>(25)</w:t>
      </w:r>
      <w:r>
        <w:t xml:space="preserve"> i bhfo-alt 9 (10), cuirtear an frása ‘nó, i gcomhaontú leis an údarás conarthach, bearta ceartaitheacha a dhéanamh’ isteach i ndiaidh an fhocail ‘bain’;</w:t>
      </w:r>
    </w:p>
    <w:p w14:paraId="0435EB0E" w14:textId="77777777" w:rsidR="00491D3F" w:rsidRDefault="00491D3F" w:rsidP="00491D3F"/>
    <w:p w14:paraId="056C11FB" w14:textId="77777777" w:rsidR="00491D3F" w:rsidRDefault="00491D3F" w:rsidP="00491D3F">
      <w:r>
        <w:rPr>
          <w:b/>
        </w:rPr>
        <w:t>(26)</w:t>
      </w:r>
      <w:r>
        <w:t xml:space="preserve"> léitear fo-alt 9 (12)2) agus 3) mar a leanas:</w:t>
      </w:r>
    </w:p>
    <w:p w14:paraId="13F5411C" w14:textId="42CF79A8" w:rsidR="00491D3F" w:rsidRDefault="00491D3F" w:rsidP="00491D3F">
      <w:r>
        <w:t>‘2) An fad idir imeall an chlaífoirt ó ais an bhóthair –5 cm / +15 cm;</w:t>
      </w:r>
    </w:p>
    <w:p w14:paraId="2DA80E96" w14:textId="77777777" w:rsidR="00491D3F" w:rsidRDefault="00491D3F" w:rsidP="00491D3F">
      <w:r>
        <w:t>(3) cantaí ar an mbóthar le cantaí dhá thaobh ± 0.5 % agus ar an mbóthar le cantaí aontaobhacha ± 0.5 %.’;</w:t>
      </w:r>
    </w:p>
    <w:p w14:paraId="050F0C56" w14:textId="77777777" w:rsidR="00491D3F" w:rsidRDefault="00491D3F" w:rsidP="00491D3F"/>
    <w:p w14:paraId="23445401" w14:textId="77777777" w:rsidR="00491D3F" w:rsidRDefault="00491D3F" w:rsidP="00491D3F">
      <w:r>
        <w:rPr>
          <w:b/>
        </w:rPr>
        <w:t>(27)</w:t>
      </w:r>
      <w:r>
        <w:t xml:space="preserve"> léifear clásail 11 (8) 2) agus 3) mar a leanas:</w:t>
      </w:r>
    </w:p>
    <w:p w14:paraId="11C2017E" w14:textId="0E831462" w:rsidR="002801DB" w:rsidRDefault="00491D3F" w:rsidP="002801DB">
      <w:r>
        <w:t>‘2) fad imeall na sraithe draenála ó ais an bhóthair –5 cm / +15 cm, ní bheidh leithead iomlán na sraithe draenála</w:t>
      </w:r>
    </w:p>
    <w:p w14:paraId="0F577718" w14:textId="0774C0ED" w:rsidR="00491D3F" w:rsidRDefault="002801DB" w:rsidP="002801DB">
      <w:r>
        <w:t>níos cúinge ná an dearadh agus an difríocht idir dhá thomhas i ndiaidh a chéile ar chodanna díreacha nach mó ná 5 cm ar leithead aonfhoirmeach.”;</w:t>
      </w:r>
    </w:p>
    <w:p w14:paraId="29808732" w14:textId="77777777" w:rsidR="00491D3F" w:rsidRDefault="00491D3F" w:rsidP="00491D3F">
      <w:r>
        <w:t>(3) cantaí ar an mbóthar le cantaí dhá thaobh ± 0.5 % agus ar an mbóthar le cantaí aontaobhacha ± 0.5 %.’;</w:t>
      </w:r>
    </w:p>
    <w:p w14:paraId="45A9CDF1" w14:textId="77777777" w:rsidR="00491D3F" w:rsidRDefault="00491D3F" w:rsidP="00491D3F"/>
    <w:p w14:paraId="42CF5AD6" w14:textId="77777777" w:rsidR="00491D3F" w:rsidRDefault="00491D3F" w:rsidP="00491D3F">
      <w:r>
        <w:rPr>
          <w:b/>
        </w:rPr>
        <w:t>(28)</w:t>
      </w:r>
      <w:r>
        <w:t xml:space="preserve"> léitear fo-alt 12 (6) 3) mar a leanas:</w:t>
      </w:r>
    </w:p>
    <w:p w14:paraId="5584EF93" w14:textId="7312D35A" w:rsidR="00491D3F" w:rsidRDefault="00491D3F" w:rsidP="00491D3F">
      <w:r>
        <w:t>‘3) comhfhreagróidh cáithníní brúite den chomhiomlán garbh do chatagóir C50/30 ar a laghad agus beidh catagóir uasluach na friotaíochta in aghaidh ilroinnte ar a laghad</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léitear fo-alt 12 (8) 2) agus 3) mar a leanas:</w:t>
      </w:r>
    </w:p>
    <w:p w14:paraId="3C32DC21" w14:textId="4ABD0F34" w:rsidR="00491D3F" w:rsidRDefault="00491D3F" w:rsidP="002801DB">
      <w:r>
        <w:t>‘2) fad imeall an ardáin ó ais an bhóthair –0 / +15 cm, ní bheidh leithead iomlán an ardáin níos cúinge ná an dearadh agus ní bheidh an difríocht idir dhá thomhas i ndiaidh a chéile ar chodanna díreacha de leithead aonfhoirmeach níos mó ná 5 cm;</w:t>
      </w:r>
    </w:p>
    <w:p w14:paraId="0633B283" w14:textId="77777777" w:rsidR="00491D3F" w:rsidRDefault="00491D3F" w:rsidP="00491D3F">
      <w:r>
        <w:t>(3) cantaireacht ar bhóthar ag a bhfuil cantaireacht dhá thaobh ± 0.5 % agus cantaireacht aontaobhach ± 0.5 %;’;</w:t>
      </w:r>
    </w:p>
    <w:p w14:paraId="22F24716" w14:textId="77777777" w:rsidR="00491D3F" w:rsidRDefault="00491D3F" w:rsidP="00491D3F"/>
    <w:p w14:paraId="18CC0818" w14:textId="1941BA30" w:rsidR="00491D3F" w:rsidRDefault="00491D3F" w:rsidP="00491D3F">
      <w:r>
        <w:rPr>
          <w:b/>
        </w:rPr>
        <w:t>(30)</w:t>
      </w:r>
      <w:r>
        <w:t xml:space="preserve"> léitear fo-alt 12 (8) 6) mar a leanas:</w:t>
      </w:r>
    </w:p>
    <w:p w14:paraId="6D67F393" w14:textId="165B9A13" w:rsidR="00491D3F" w:rsidRDefault="00491D3F" w:rsidP="00491D3F">
      <w:r>
        <w:t>‘6) ní bheidh níos mó ná 7 % de cháithníní atá níos lú ná 0.063 mm sa sampla comhiomlán a thógtar ón mbonn balctha.’;</w:t>
      </w:r>
    </w:p>
    <w:p w14:paraId="08EF0100" w14:textId="77777777" w:rsidR="00491D3F" w:rsidRDefault="00491D3F" w:rsidP="00491D3F"/>
    <w:p w14:paraId="47F845EA" w14:textId="05CD1FDA" w:rsidR="00491D3F" w:rsidRDefault="00491D3F" w:rsidP="00491D3F">
      <w:r>
        <w:rPr>
          <w:b/>
        </w:rPr>
        <w:t>(31)</w:t>
      </w:r>
      <w:r>
        <w:t xml:space="preserve"> fo-alt (8</w:t>
      </w:r>
      <w:r>
        <w:rPr>
          <w:vertAlign w:val="superscript"/>
        </w:rPr>
        <w:t>1</w:t>
      </w:r>
      <w:r>
        <w:t>) a chur le roinn 12, agus an fhoclaíocht seo a leanas inti:</w:t>
      </w:r>
    </w:p>
    <w:p w14:paraId="38E2EEFF" w14:textId="52388BA5" w:rsidR="00491D3F" w:rsidRDefault="00491D3F" w:rsidP="00491D3F">
      <w:r>
        <w:t>‘(8</w:t>
      </w:r>
      <w:r>
        <w:rPr>
          <w:vertAlign w:val="superscript"/>
        </w:rPr>
        <w:t>1</w:t>
      </w:r>
      <w:r>
        <w:t>) Ní mór an sampla comhiomlán a shonraítear i gclásal 8 (6) den roinn seo a thógáil i gcomhréir leis an tuairisc ar chaighdeán EVS-EN 932-1.’;</w:t>
      </w:r>
    </w:p>
    <w:p w14:paraId="547CEA0E" w14:textId="77777777" w:rsidR="00491D3F" w:rsidRDefault="00491D3F" w:rsidP="00491D3F"/>
    <w:p w14:paraId="74F791A3" w14:textId="77777777" w:rsidR="00491D3F" w:rsidRDefault="00491D3F" w:rsidP="00491D3F">
      <w:r>
        <w:rPr>
          <w:b/>
        </w:rPr>
        <w:t>(32)</w:t>
      </w:r>
      <w:r>
        <w:t xml:space="preserve"> déantar an chéad abairt d’fho-alt 12 (9) a fhorlíonadh leis an bhfocal ‘tomhaiste’ i ndiaidh an fhrása ‘ar an dromchla’;</w:t>
      </w:r>
    </w:p>
    <w:p w14:paraId="4ED85D51" w14:textId="77777777" w:rsidR="00491D3F" w:rsidRDefault="00491D3F" w:rsidP="00491D3F"/>
    <w:p w14:paraId="324E18D7" w14:textId="791BB45D" w:rsidR="00491D3F" w:rsidRDefault="00491D3F" w:rsidP="00491D3F">
      <w:r>
        <w:rPr>
          <w:b/>
        </w:rPr>
        <w:t>(33)</w:t>
      </w:r>
      <w:r>
        <w:t xml:space="preserve"> i bhfo-alt 13(2), cuirtear ‘cosán asfailt’ in ionad an fhrása ‘cosán coincréite asfailt’;</w:t>
      </w:r>
    </w:p>
    <w:p w14:paraId="09527D29" w14:textId="77777777" w:rsidR="00F82EBE" w:rsidRDefault="00F82EBE" w:rsidP="00491D3F"/>
    <w:p w14:paraId="7A0DBA10" w14:textId="0D1A7AAB" w:rsidR="00491D3F" w:rsidRDefault="00491D3F" w:rsidP="00491D3F">
      <w:r>
        <w:rPr>
          <w:b/>
        </w:rPr>
        <w:lastRenderedPageBreak/>
        <w:t>(34)</w:t>
      </w:r>
      <w:r>
        <w:t xml:space="preserve"> i gclásal 13 (9) 1), cuirtear isteach an chuid téacs ‘70/100, 100/150 nó’ i ndiaidh an fhrása ‘le marcáil’;</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clásal 13 (12) 8) </w:t>
      </w:r>
      <w:bookmarkEnd w:id="2"/>
      <w:r>
        <w:t>déantar é a aisghairm;</w:t>
      </w:r>
    </w:p>
    <w:p w14:paraId="6C44C313" w14:textId="77777777" w:rsidR="00491D3F" w:rsidRDefault="00491D3F" w:rsidP="00491D3F"/>
    <w:p w14:paraId="75024D49" w14:textId="77777777" w:rsidR="00491D3F" w:rsidRDefault="00491D3F" w:rsidP="00491D3F">
      <w:r>
        <w:rPr>
          <w:b/>
        </w:rPr>
        <w:t>(36)</w:t>
      </w:r>
      <w:r>
        <w:t xml:space="preserve"> i bhforoinn 13 (13), cuirtear ‘le meascán asfailt’ in ionad an fhrása ‘le coincréit asfailt’;</w:t>
      </w:r>
    </w:p>
    <w:p w14:paraId="7D1F14C6" w14:textId="77777777" w:rsidR="00491D3F" w:rsidRDefault="00491D3F" w:rsidP="00491D3F"/>
    <w:p w14:paraId="745BD87C" w14:textId="77777777" w:rsidR="00491D3F" w:rsidRDefault="00491D3F" w:rsidP="00491D3F">
      <w:r>
        <w:rPr>
          <w:b/>
        </w:rPr>
        <w:t>(37)</w:t>
      </w:r>
      <w:r>
        <w:t xml:space="preserve"> léitear fo-alt 14 (1) mar a leanas:</w:t>
      </w:r>
    </w:p>
    <w:p w14:paraId="78536138" w14:textId="05B07F93" w:rsidR="00491D3F" w:rsidRDefault="00491D3F" w:rsidP="00491D3F">
      <w:r>
        <w:t>‘(1) Déanfar dromchla an bhóthair a chothromú chun cóiriú dromchla a dhéanamh. Déanfar poill agus scoilteanna i ndromchla an bhóthair níos doimhne ná 20 mm a líonadh agus a shéalú.’;</w:t>
      </w:r>
    </w:p>
    <w:p w14:paraId="0D44AA40" w14:textId="77777777" w:rsidR="00491D3F" w:rsidRDefault="00491D3F" w:rsidP="00491D3F"/>
    <w:p w14:paraId="31C58F58" w14:textId="77777777" w:rsidR="00491D3F" w:rsidRDefault="00491D3F" w:rsidP="00491D3F">
      <w:r>
        <w:rPr>
          <w:b/>
        </w:rPr>
        <w:t>(38)</w:t>
      </w:r>
      <w:r>
        <w:t xml:space="preserve"> i bhfo-alt 14 (2), scriostar an focal ‘arna chaolú’ tríd síos;</w:t>
      </w:r>
    </w:p>
    <w:p w14:paraId="35669933" w14:textId="77777777" w:rsidR="00491D3F" w:rsidRDefault="00491D3F" w:rsidP="00491D3F"/>
    <w:p w14:paraId="0318E00A" w14:textId="77777777" w:rsidR="00491D3F" w:rsidRDefault="00491D3F" w:rsidP="00491D3F">
      <w:r>
        <w:rPr>
          <w:b/>
        </w:rPr>
        <w:t>(39)</w:t>
      </w:r>
      <w:r>
        <w:t xml:space="preserve"> léifear fo-ailt 14 (10) agus (11) mar a leanas:</w:t>
      </w:r>
    </w:p>
    <w:p w14:paraId="76EA0863" w14:textId="257F69BF" w:rsidR="00491D3F" w:rsidRDefault="00491D3F" w:rsidP="00491D3F">
      <w:r>
        <w:t>‘(10) I gcomhaontú leis an údarás conarthach, ceadaítear úsáid olaí a mhaolaíonn an biotúman agus nach bhfuil pairifíní ná breiseáin eile iontu a ghníomhaíonn ar bhonn comhchosúil le haghaidh cóiriú dromchla bóthair. Ní fhéadfar biotúman scealla ola a úsáid i limistéir a bhfuil daonra iontu.</w:t>
      </w:r>
    </w:p>
    <w:p w14:paraId="4BF55AA9" w14:textId="77777777" w:rsidR="00491D3F" w:rsidRDefault="00491D3F" w:rsidP="00491D3F"/>
    <w:p w14:paraId="0B50ACCA" w14:textId="77777777" w:rsidR="00491D3F" w:rsidRDefault="00491D3F" w:rsidP="00491D3F">
      <w:r>
        <w:t>(11) Ceadaítear oibreacha cóirithe dromchla má tá an teocht aeir ar a laghad +15 </w:t>
      </w:r>
    </w:p>
    <w:p w14:paraId="1F9F15EE" w14:textId="21760BF7" w:rsidR="00491D3F" w:rsidRDefault="00491D3F" w:rsidP="00491D3F">
      <w:r>
        <w:t>°C agus biotúmain bhóthair á n-úsáid agus eibleachtaí biotúmain á n-úsáid + 10 °C ar a laghad agus teocht dromchla bóthair + 10 °C ar a laghad. Má úsáidtear biotúman arna mhodhnú le polaiméir, is é &gt; + 25 chéim an teocht aeir a mholtar agus an teocht dromchla &gt; + 40 céim, agus má úsáidtear eibleacht bhiotúmain le biotúman bunlíne arna mhodhnú le polaiméir, is é &gt; + 20 céim an teocht aeir a mholtar agus an teocht dromchla &gt; + 30 céim. Ceadófar cóiriú dromchla ag teochtaí aeir níos ísle le toiliú ón údarás conarthach, ar choinníoll go bhfuil sé léirithe ag an duine atá i mbun na hoibre go n-úsáideann sé ábhar nó teicneolaíocht nua lena gcuirtear sraith chóirithe ar cháilíocht choibhéiseach ar fáil. I gcás frasaíochta, stopfar cóiriú dromchla.’;</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foranna 14 (12)–(16) </w:t>
      </w:r>
      <w:bookmarkEnd w:id="3"/>
      <w:r>
        <w:t>aisghairfear é;</w:t>
      </w:r>
    </w:p>
    <w:p w14:paraId="6EF051BE" w14:textId="77777777" w:rsidR="00491D3F" w:rsidRDefault="00491D3F" w:rsidP="00491D3F"/>
    <w:p w14:paraId="1DB94F2D" w14:textId="77777777" w:rsidR="00491D3F" w:rsidRDefault="00491D3F" w:rsidP="00491D3F">
      <w:r>
        <w:rPr>
          <w:b/>
        </w:rPr>
        <w:t>(41)</w:t>
      </w:r>
      <w:r>
        <w:t xml:space="preserve"> léitear fo-alt 15 (2) agus (3) mar a leanas:</w:t>
      </w:r>
    </w:p>
    <w:p w14:paraId="6EAE77F6" w14:textId="1E96B375" w:rsidR="00491D3F" w:rsidRDefault="00491D3F" w:rsidP="00491D3F">
      <w:r>
        <w:t>‘(2) Comhlíonfaidh dáileadh mhéid na gcáithníní den chomhiomlán gairbhéil ceanglais shuíomh 5 nó 6 d’Iarscríbhinn 10 a ghabhann leis an Rialachán. Tugtar tuairisc ar na ceanglais maidir le comhiomláin i gcaighdeán EVS-EN 13285.</w:t>
      </w:r>
    </w:p>
    <w:p w14:paraId="27F2D387" w14:textId="60286D15" w:rsidR="00491D3F" w:rsidRDefault="00491D3F" w:rsidP="00491D3F">
      <w:r>
        <w:t>Déanfar comhlíonadh dháileadh mhéid na gcáithníní den chomhiomlán leis na ceanglais a sheiceáil uair amháin ar a laghad in aghaidh gach 1,500 m3 d’ábhar suiteáilte. Bainfear ábhar neamh-chomhréireach den struchtúr nó déanfar bearta ceartaitheacha i gcomhaontú leis an údarás conarthach.</w:t>
      </w:r>
    </w:p>
    <w:p w14:paraId="1479C956" w14:textId="77777777" w:rsidR="00491D3F" w:rsidRDefault="00491D3F" w:rsidP="00491D3F"/>
    <w:p w14:paraId="3A036EA4" w14:textId="79789231" w:rsidR="00491D3F" w:rsidRDefault="00491D3F" w:rsidP="00491D3F">
      <w:r>
        <w:t>(3) Beidh an fhriotaíocht in aghaidh chatagóir ilroinnte an chomhiomláin gharbh a úsáidfear ar a laghad LA35 (fachtóir Los Angeles ≤ 35), catagóir C50/30 le haghaidh cáithníní brúite, cáithníní atá brúite go hiomlán agus cáithníní atá go hiomlán cruinn, agus catagóir friotaíochta sioc F4 ar a laghad. Tugtar tuairisc ar na ceanglais maidir le frithsheasmhacht in aghaidh ilroinnte i gcaighdeán EVS-EN 13242 agus ar na ceanglais maidir le frithsheasmhacht in aghaidh sioc in EVS-EN 1367-1.’;</w:t>
      </w:r>
    </w:p>
    <w:p w14:paraId="30B85961" w14:textId="1F2DB4D2" w:rsidR="00491D3F" w:rsidRDefault="00491D3F" w:rsidP="00491D3F"/>
    <w:p w14:paraId="2B49A2E0" w14:textId="77777777" w:rsidR="00491D3F" w:rsidRDefault="00491D3F" w:rsidP="00491D3F">
      <w:r>
        <w:rPr>
          <w:b/>
        </w:rPr>
        <w:t>(42)</w:t>
      </w:r>
      <w:r>
        <w:t xml:space="preserve"> léitear ranna (16-18) mar a leanas:</w:t>
      </w:r>
    </w:p>
    <w:p w14:paraId="42FA2D89" w14:textId="77777777" w:rsidR="00491D3F" w:rsidRDefault="00491D3F" w:rsidP="00491D3F">
      <w:pPr>
        <w:rPr>
          <w:b/>
          <w:bCs/>
        </w:rPr>
      </w:pPr>
      <w:r>
        <w:rPr>
          <w:b/>
        </w:rPr>
        <w:lastRenderedPageBreak/>
        <w:t>Roinn 16. Ullmhú meascáin asfailt</w:t>
      </w:r>
    </w:p>
    <w:p w14:paraId="110739B8" w14:textId="77777777" w:rsidR="00491D3F" w:rsidRPr="00491D3F" w:rsidRDefault="00491D3F" w:rsidP="00491D3F">
      <w:pPr>
        <w:rPr>
          <w:b/>
          <w:bCs/>
        </w:rPr>
      </w:pPr>
    </w:p>
    <w:p w14:paraId="498CCA9C" w14:textId="45748EE0" w:rsidR="00491D3F" w:rsidRDefault="00491D3F" w:rsidP="00491D3F">
      <w:r>
        <w:t>(1) Ní mór an meascán asfalt a ullmhú agus a shuiteáil ar bhealach a fhágfaidh go mbeidh sé in ann an saolré atá beartaithe dó a sheasamh. Déantar cur síos ar na ceanglais maidir le meascáin asfailt a mhonarú in EVS 901-3.</w:t>
      </w:r>
    </w:p>
    <w:p w14:paraId="2DB14C88" w14:textId="77777777" w:rsidR="00491D3F" w:rsidRDefault="00491D3F" w:rsidP="00491D3F"/>
    <w:p w14:paraId="39458D9A" w14:textId="77777777" w:rsidR="00491D3F" w:rsidRDefault="00491D3F" w:rsidP="00491D3F">
      <w:r>
        <w:t>(2) Ní mór don chonraitheoir oideas an mheascáin asfailt atá le suiteáil a chomhordú leis an maoirseacht ar an úinéir.</w:t>
      </w:r>
    </w:p>
    <w:p w14:paraId="31E1DEAD" w14:textId="77777777" w:rsidR="00E91CBB" w:rsidRDefault="00E91CBB" w:rsidP="00491D3F"/>
    <w:p w14:paraId="3C561900" w14:textId="127BC930" w:rsidR="00491D3F" w:rsidRDefault="00491D3F" w:rsidP="00491D3F">
      <w:r>
        <w:t>(3) Ullmhófar an t-oideas le haghaidh meascán asfailt de réir EVS 901-3.</w:t>
      </w:r>
    </w:p>
    <w:p w14:paraId="5C8C30F5" w14:textId="77777777" w:rsidR="00491D3F" w:rsidRDefault="00491D3F" w:rsidP="00491D3F"/>
    <w:p w14:paraId="6A7649CE" w14:textId="65DA1067" w:rsidR="00491D3F" w:rsidRDefault="00491D3F" w:rsidP="00491D3F">
      <w:r>
        <w:t>(4) Déantar cur síos in EVS 901-1 agus EVS 901-3 ar na ceanglais maidir le comhiomláin a úsáidtear i meascáin asfailt agus maidir lena stóráil.</w:t>
      </w:r>
    </w:p>
    <w:p w14:paraId="51A5A96A" w14:textId="77777777" w:rsidR="00491D3F" w:rsidRDefault="00491D3F" w:rsidP="00491D3F"/>
    <w:p w14:paraId="56FA6037" w14:textId="77777777" w:rsidR="00491D3F" w:rsidRDefault="00491D3F" w:rsidP="00491D3F">
      <w:r>
        <w:t>(5) Sula gcomhordóidh sé comhdhéanamh an mheascáin asfailt sa tsaotharlann agus le linn na hoibre, ní mór don chonraitheoir an méid seo a leanas ar a laghad a dhéanamh:</w:t>
      </w:r>
    </w:p>
    <w:p w14:paraId="3AEB6150" w14:textId="1F401FE6" w:rsidR="00491D3F" w:rsidRDefault="00491D3F" w:rsidP="00491D3F">
      <w:r>
        <w:t>uair amháin ar gach baisc chomhiomláin, seiceáil comhréireacht na frithsheasmhachta in aghaidh ilroinnte, friotaíocht in aghaidh caithimh agus dáileadh mhéid na gcáithníní de gach codán de chomhiomláin sheachadta (ach amháin codáin le D níos lú ná 5 mm) leis an doiciméadacht um measúnú comhréireachta (i gcás ina n-éilítear agus ina ndearbhaítear na saintréithe sin) agus treá agus greamaitheacht biotúmain leis an gcomhiomlán garbh déanta de bhruthcharraig. Déantar cur síos in EVS 901-1 ar cheanglais maidir le frithsheasmhacht in aghaidh ilroinnte, frithsheasmhacht in aghaidh caithimh agus dáileadh mhéid na gcáithníní. Déanfar treá agus greamaitheacht biotúman leis na comhiomláin gharbha a úsáidtear sa mheascán a sheiceáil uair amháin ar a laghad in aghaidh gach 200 tona biotúmain. Féadfar dearbhú feidhmíochta mhonaróir an mheascáin asfailt a úsáid mar bhonn chun ró-ualach a bhaineann le tochailt a athbhunú ag a bhfuil achar dromchla suas le 1,000 m</w:t>
      </w:r>
      <w:r>
        <w:rPr>
          <w:vertAlign w:val="superscript"/>
        </w:rPr>
        <w:t>2</w:t>
      </w:r>
      <w:r>
        <w:t>.</w:t>
      </w:r>
    </w:p>
    <w:p w14:paraId="3A994A5D" w14:textId="77777777" w:rsidR="00491D3F" w:rsidRDefault="00491D3F" w:rsidP="00491D3F"/>
    <w:p w14:paraId="74022BA5" w14:textId="6B782187" w:rsidR="00491D3F" w:rsidRDefault="00491D3F" w:rsidP="00491D3F">
      <w:r>
        <w:t>(6) Is féidir deannach ó bhailitheoirí deannaigh sa phlanda asfailt a úsáid i meascáin asfailt atá déanta as carraig igneous agus meiteamorfach agus comhiomláin shaorga suas le 50 % de mheáchan iomlán an líonaigh agus an deannaigh a chuirtear leis. Níl feidhm ag an gceanglas sin maidir le meascáin asfailt de bhunchineál AC. Tugtar tuairisc ar na ceanglais maidir le húsáid deannaigh ó bhailitheoirí deannaigh an ghléasra asfailt sa mheascán asfailt i gcaighdeán EVS 901-3.</w:t>
      </w:r>
    </w:p>
    <w:p w14:paraId="50E3F41C" w14:textId="77777777" w:rsidR="00491D3F" w:rsidRDefault="00491D3F" w:rsidP="00491D3F"/>
    <w:p w14:paraId="479DA499" w14:textId="4435D1F1" w:rsidR="00491D3F" w:rsidRDefault="00491D3F" w:rsidP="00491D3F">
      <w:r>
        <w:t>(7) Cuirfear saotharlann ar fáil i ngarchomharsanacht gach gléasra asfailt, lena n-áirítear suiteálacha soghluaiste, chun dáileadh mhéid na gcáithníní de chomhiomláin agus meascáin asfailt agus cion ceanglóra na meascán asfailt a chinneadh.</w:t>
      </w:r>
    </w:p>
    <w:p w14:paraId="508D0720" w14:textId="77777777" w:rsidR="00491D3F" w:rsidRDefault="00491D3F" w:rsidP="00491D3F"/>
    <w:p w14:paraId="05C04E63" w14:textId="77777777" w:rsidR="00491D3F" w:rsidRDefault="00491D3F" w:rsidP="00491D3F">
      <w:r>
        <w:t>(8) Ní gá an tsaotharlann dá dtagraítear i bhfo-alt (7) den alt seo a chreidiúnú.</w:t>
      </w:r>
    </w:p>
    <w:p w14:paraId="264F86DE" w14:textId="77777777" w:rsidR="00491D3F" w:rsidRDefault="00491D3F" w:rsidP="00491D3F"/>
    <w:p w14:paraId="4D7A6E45" w14:textId="7CCA245C" w:rsidR="00491D3F" w:rsidRDefault="00491D3F" w:rsidP="00491D3F">
      <w:r>
        <w:t>(9) Roghnófar teocht mheasctha na meascán asfailt i gcomhréir le branda an cheanglóra agus tabharfar na teochtaí ceadaithe in EVS 901-3. Chun meascáin asfailt a mhonarú ag teochtaí níos ísle ná mar a cheadaítear, úsáidtear breiseáin chun feabhas a chur ar inphróiseáilteacht an mheascáin. Ag brath ar bhranda an bhiotúmain, féadfar úsáid a bhaint as teochtaí measctha atá éagsúil ó na teochtaí a thugtar in EVS 901-3 i gcomhaontú le húdarás conarthach na n-oibreacha bóthair.</w:t>
      </w:r>
    </w:p>
    <w:p w14:paraId="15C9FF12" w14:textId="77777777" w:rsidR="00491D3F" w:rsidRDefault="00491D3F" w:rsidP="00491D3F"/>
    <w:p w14:paraId="6CE51AEA" w14:textId="77777777" w:rsidR="00491D3F" w:rsidRPr="00491D3F" w:rsidRDefault="00491D3F" w:rsidP="001F7E6D">
      <w:pPr>
        <w:keepNext/>
        <w:keepLines/>
        <w:rPr>
          <w:b/>
          <w:bCs/>
        </w:rPr>
      </w:pPr>
      <w:r>
        <w:rPr>
          <w:b/>
        </w:rPr>
        <w:lastRenderedPageBreak/>
        <w:t>Roinn 17. Meascán asfailt a iompar</w:t>
      </w:r>
    </w:p>
    <w:p w14:paraId="38159F92" w14:textId="77777777" w:rsidR="00491D3F" w:rsidRDefault="00491D3F" w:rsidP="001F7E6D">
      <w:pPr>
        <w:keepNext/>
        <w:keepLines/>
      </w:pPr>
    </w:p>
    <w:p w14:paraId="5E97DD6E" w14:textId="244DD683" w:rsidR="00491D3F" w:rsidRDefault="00491D3F" w:rsidP="001F7E6D">
      <w:pPr>
        <w:keepNext/>
        <w:keepLines/>
      </w:pPr>
      <w:r>
        <w:t>(1) Beidh cúl an trucaile a iompraíonn an meascán asfailt glan sula lódálfar é. Ní fhéadfaidh an meascán doirteadh ná srathú a dhéanamh le linn iompair. Is féidir an meascán asfalt a iompar le trucail oiriúnaithe. Clúdófar ualach an mheascáin asfailt.</w:t>
      </w:r>
    </w:p>
    <w:p w14:paraId="4023AE19" w14:textId="77777777" w:rsidR="00491D3F" w:rsidRDefault="00491D3F" w:rsidP="00491D3F"/>
    <w:p w14:paraId="1672292A" w14:textId="68D9F30E" w:rsidR="00491D3F" w:rsidRDefault="00491D3F" w:rsidP="00491D3F">
      <w:r>
        <w:t>(2) Má iompraítear an meascán asfailt le trucail neamhoiriúnaithe, is é 15 km an t-achar iompair uasta le haghaidh meascáin SMA agus 40 km le haghaidh meascáin AC.</w:t>
      </w:r>
    </w:p>
    <w:p w14:paraId="6A60FB00" w14:textId="77777777" w:rsidR="00491D3F" w:rsidRDefault="00491D3F" w:rsidP="00491D3F"/>
    <w:p w14:paraId="1C4D48EB" w14:textId="6BBC3EB4" w:rsidR="00491D3F" w:rsidRDefault="00491D3F" w:rsidP="00491D3F">
      <w:r>
        <w:t>(3) Má iompraítear an meascán asfailt i dtrucail oiriúnaithe thar an 15 km a cheadaítear le haghaidh meascáin GMA agus 40 km le haghaidh meascáin AC, beidh an t‐achar iompair uasta ag brath ar am an iompair, ar dhálaí aimsire agus ar chomhdhéanamh an mheascáin, ach ní mór an meascán a bheith inphróiseáilte nuair a shuiteáiltear é. Déanfar teocht an mheascáin asfailt a sheiceáil i leantóir gach trucaile atá ag teacht isteach díreach sula scaoiltear isteach sa phábhálaí í agus déanfar í a thaifeadadh i scríbhinn sa tuarascáil. Áireofar sa tuarascáil am agus suíomh picéadachta an ualaigh agus teocht an mheascáin asfailt. I mbuncar an chosáin, féadfaidh teocht an mheascáin asfailt a bheith suas le 10 °C níos ísle ná an teocht mheasctha is ísle a cheadaítear den chineál sin meascáin a thugtar in EVS 901-3. Le comhaontú ón údarás conarthach, féadfar an meascán a shuiteáil ag teochtaí níos ísle má chruthaíonn taibheoir na hoibre gur féidir an meascán a phróiseáil.</w:t>
      </w:r>
    </w:p>
    <w:p w14:paraId="6495301D" w14:textId="77777777" w:rsidR="00491D3F" w:rsidRDefault="00491D3F" w:rsidP="00491D3F"/>
    <w:p w14:paraId="5BF32760" w14:textId="77777777" w:rsidR="00491D3F" w:rsidRPr="00491D3F" w:rsidRDefault="00491D3F" w:rsidP="00491D3F">
      <w:pPr>
        <w:rPr>
          <w:b/>
          <w:bCs/>
        </w:rPr>
      </w:pPr>
      <w:r>
        <w:rPr>
          <w:b/>
        </w:rPr>
        <w:t>Roinn 18. Meascán asfailt a shuiteáil</w:t>
      </w:r>
    </w:p>
    <w:p w14:paraId="6B842C9B" w14:textId="77777777" w:rsidR="00491D3F" w:rsidRDefault="00491D3F" w:rsidP="00491D3F"/>
    <w:p w14:paraId="50DCE44B" w14:textId="37465D97" w:rsidR="00491D3F" w:rsidRDefault="00491D3F" w:rsidP="00491D3F">
      <w:r>
        <w:t>(1) Suiteálfar an meascán asfailt ar bhonn a thógfar i gceart agus a nglacfaidh maoirseoir an úinéara leis.</w:t>
      </w:r>
    </w:p>
    <w:p w14:paraId="27931A85" w14:textId="77777777" w:rsidR="00491D3F" w:rsidRDefault="00491D3F" w:rsidP="00491D3F"/>
    <w:p w14:paraId="652D6043" w14:textId="4680986B" w:rsidR="00491D3F" w:rsidRDefault="00491D3F" w:rsidP="00491D3F">
      <w:r>
        <w:t>(2) Féadfar dromchlaí caithimh a leagan ag teochtaí os cionn +5 °C agus fo-ithreacha (sraitheanna ceangailteacha agus tacaíochta) os cionn 0 °C. Déanfar an meascán asfailt a leagan ag teochtaí 0 go +5 °C agus úsáid á baint as breiseáin a fheabhsaíonn inphróiseáilteacht an mheascáin (ag ísliú theocht na suiteála). Ní mór an dromchla a shuiteáil</w:t>
      </w:r>
    </w:p>
    <w:p w14:paraId="6BF8C522" w14:textId="7119AD05" w:rsidR="00491D3F" w:rsidRDefault="00491D3F" w:rsidP="00491D3F">
      <w:r>
        <w:t>le linn aimsir thirim agus ar choinníoll nach bhfuil an bonn ná an claífort reoite. Féadfar dromchlaí a chur ar bhonn atá cóireáilte le ceanglóir nuair atá an bonn tirim.</w:t>
      </w:r>
    </w:p>
    <w:p w14:paraId="41AFAB81" w14:textId="77777777" w:rsidR="00491D3F" w:rsidRDefault="00491D3F" w:rsidP="00491D3F">
      <w:r>
        <w:t>(3) Chun feabhas a chur ar an ngreamaitheacht idir na sraitheanna dromchla, déanfar an asfalt agus an pábháil a phrímeáil</w:t>
      </w:r>
    </w:p>
    <w:p w14:paraId="07230A8A" w14:textId="3F5DDA4D" w:rsidR="00491D3F" w:rsidRDefault="00491D3F" w:rsidP="00491D3F">
      <w:r>
        <w:t>ar a bhfuil biotúman nó eibleacht bhiotúmain. Déantar cur síos ar shaintréithe biotúmain agus eibleachta biotúmain in EVS 901-2. Ní mór an t-uisce eibleachta a ghalú sula scaipeann sé an ciseal. Is é an norm le haghaidh tomhaltas príomha ar bhiotúman ná 0.10 go 0.30 l / m2.</w:t>
      </w:r>
    </w:p>
    <w:p w14:paraId="6215B379" w14:textId="77777777" w:rsidR="00491D3F" w:rsidRDefault="00491D3F" w:rsidP="00491D3F"/>
    <w:p w14:paraId="12583836" w14:textId="0774BEA4" w:rsidR="00491D3F" w:rsidRDefault="00491D3F" w:rsidP="00491D3F">
      <w:r>
        <w:t>(4) Ní mór priming a dhéanamh ar na hailt meascán asfalt a suiteáladh roimhe seo, ag baint úsáide as an primer céanna sna sraitheanna níos ísle mar a úsáidtear chun na sraitheanna níos ísle a priming, ach chun na hailt dromchla caitheamh, gliúnna comhpháirteacha speisialta, téipeanna comhpháirteacha a úsáid nó iad seo a thógáil mar joints te ag baint úsáide as trealamh speisialta.</w:t>
      </w:r>
    </w:p>
    <w:p w14:paraId="29234121" w14:textId="77777777" w:rsidR="00491D3F" w:rsidRDefault="00491D3F" w:rsidP="00491D3F"/>
    <w:p w14:paraId="5BDA192B" w14:textId="4DDEFA93" w:rsidR="00491D3F" w:rsidRDefault="00491D3F" w:rsidP="00491D3F">
      <w:r>
        <w:t>(5) Braitheann tiús íosta agus uasta na sraithe atá le cur i bhfeidhm ar mhéid uasta na gcáithníní D de chomhiomlán an chineáil meascáin a úsáidtear. Tiúis íosta agus uasta na sraithe atá le cur i bhfeidhm</w:t>
      </w:r>
    </w:p>
    <w:p w14:paraId="590476B6" w14:textId="77777777" w:rsidR="00491D3F" w:rsidRDefault="00491D3F" w:rsidP="00491D3F">
      <w:r>
        <w:t>Tá sé le fáil in EVS 901-3.</w:t>
      </w:r>
    </w:p>
    <w:p w14:paraId="6531788D" w14:textId="77777777" w:rsidR="00491D3F" w:rsidRDefault="00491D3F" w:rsidP="00491D3F"/>
    <w:p w14:paraId="1B4B1A22" w14:textId="77777777" w:rsidR="00491D3F" w:rsidRDefault="00491D3F" w:rsidP="00491D3F">
      <w:r>
        <w:lastRenderedPageBreak/>
        <w:t>(6) I gcás dromchla asfalt ilsrathach le fána aontaobhach, déanfar alt fadama gach sraithe ina dhiaidh sin a dhíláithriú</w:t>
      </w:r>
    </w:p>
    <w:p w14:paraId="1A1065A1" w14:textId="17B70145" w:rsidR="00491D3F" w:rsidRDefault="00491D3F" w:rsidP="00491D3F">
      <w:r>
        <w:t>faoi 15 cm ar a laghad i ndáil le fad-ailt na sraitheanna asfailt roimhe sin. Déanfar ailt fhada ag pointe briste na sraitheanna íochtaracha agus uachtaracha de dhromchla bóthair le dhá lána nó níos mó a bhfuil claonadh dúbailte acu a dhíláithriú 5 cm ar a laghad i gcoibhneas lena chéile. Ní bheidh an t-alt comhréireach i rian na príomhshreibhe tráchta.’;</w:t>
      </w:r>
    </w:p>
    <w:p w14:paraId="05D03F31" w14:textId="77777777" w:rsidR="00491D3F" w:rsidRDefault="00491D3F" w:rsidP="00491D3F"/>
    <w:p w14:paraId="02178977" w14:textId="77777777" w:rsidR="00491D3F" w:rsidRDefault="00491D3F" w:rsidP="00491D3F">
      <w:r>
        <w:rPr>
          <w:b/>
        </w:rPr>
        <w:t>(43)</w:t>
      </w:r>
      <w:r>
        <w:t xml:space="preserve"> léitear fo-alt 19 (2) mar a leanas:</w:t>
      </w:r>
    </w:p>
    <w:p w14:paraId="5C0141A4" w14:textId="77777777" w:rsidR="00491D3F" w:rsidRDefault="00491D3F" w:rsidP="00491D3F">
      <w:r>
        <w:t>‘(2) Féadfar trácht a cheadú ar an dromchla má thit teocht an dromchla faoi bhun + 40 °C.’;</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clásal 20 (1) 2) </w:t>
      </w:r>
      <w:bookmarkEnd w:id="4"/>
      <w:r>
        <w:t>déantar é a aisghairm;</w:t>
      </w:r>
    </w:p>
    <w:p w14:paraId="01111A2E" w14:textId="77777777" w:rsidR="00491D3F" w:rsidRDefault="00491D3F" w:rsidP="00491D3F"/>
    <w:p w14:paraId="31FBAF98" w14:textId="77777777" w:rsidR="00491D3F" w:rsidRDefault="00491D3F" w:rsidP="00491D3F">
      <w:r>
        <w:rPr>
          <w:b/>
        </w:rPr>
        <w:t>(45)</w:t>
      </w:r>
      <w:r>
        <w:t xml:space="preserve"> léitear fo-alt 24 (1) mar a leanas:</w:t>
      </w:r>
    </w:p>
    <w:p w14:paraId="1F8C2FCA" w14:textId="77777777" w:rsidR="00491D3F" w:rsidRDefault="00491D3F" w:rsidP="00491D3F">
      <w:pPr>
        <w:rPr>
          <w:b/>
          <w:bCs/>
        </w:rPr>
      </w:pPr>
      <w:r>
        <w:rPr>
          <w:b/>
        </w:rPr>
        <w:t>Roinn 24. Déanamh lintéar agus droichead</w:t>
      </w:r>
    </w:p>
    <w:p w14:paraId="3661A51D" w14:textId="77777777" w:rsidR="00491D3F" w:rsidRPr="00491D3F" w:rsidRDefault="00491D3F" w:rsidP="00491D3F">
      <w:pPr>
        <w:rPr>
          <w:b/>
          <w:bCs/>
        </w:rPr>
      </w:pPr>
    </w:p>
    <w:p w14:paraId="31DBEBE2" w14:textId="5B938130" w:rsidR="00491D3F" w:rsidRDefault="00491D3F" w:rsidP="00491D3F">
      <w:r>
        <w:t>(1) Chun críocha an Rialacháin seo, tuigfear gur droichid, tarbhealaí, tolláin, íosbhealaí, róbhealaí iad droichid. Is áis é an ulvert sa chlaífort chun an t-uisce a chur tríd faoin mbóthar.</w:t>
      </w:r>
    </w:p>
    <w:p w14:paraId="6613EF83" w14:textId="77777777" w:rsidR="00491D3F" w:rsidRDefault="00491D3F" w:rsidP="00491D3F"/>
    <w:p w14:paraId="6C839304" w14:textId="3BD28EB4" w:rsidR="00491D3F" w:rsidRDefault="00491D3F" w:rsidP="00491D3F">
      <w:r>
        <w:t>(2) Áireofar na ceanglais cháilíochta maidir le droichid agus lintéir a thógáil i ndoiciméadacht dearaidh a mhéid is féidir an tógáil a thabhairt chun críche agus cigireacht a dhéanamh ar na hoibreacha a dhéantar. Leagtar amach dialltaí ón tionscadal chun lintéir a thógáil in Iarscríbhinn 16 a ghabhann leis an Rialachán agus in Iarscríbhinn 17 maidir le droichid a thógáil.</w:t>
      </w:r>
    </w:p>
    <w:p w14:paraId="023E5DF7" w14:textId="77777777" w:rsidR="00491D3F" w:rsidRDefault="00491D3F" w:rsidP="00491D3F"/>
    <w:p w14:paraId="0EABFF63" w14:textId="77777777" w:rsidR="00491D3F" w:rsidRDefault="00491D3F" w:rsidP="00491D3F">
      <w:r>
        <w:t>(3) Chun lintéir agus droichid a thógáil, déanfar na toisí seo a leanas a sheiceáil in aghaidh an dearaidh:</w:t>
      </w:r>
    </w:p>
    <w:p w14:paraId="7771210C" w14:textId="77777777" w:rsidR="00491D3F" w:rsidRDefault="00491D3F" w:rsidP="00491D3F">
      <w:r>
        <w:t>(1)airde agus suíomh beartaithe na saoráide;</w:t>
      </w:r>
    </w:p>
    <w:p w14:paraId="4A0DD061" w14:textId="77777777" w:rsidR="00491D3F" w:rsidRDefault="00491D3F" w:rsidP="00491D3F">
      <w:r>
        <w:t>(2) toisí teorann os cionn agus faoi bhun na saoráide;</w:t>
      </w:r>
    </w:p>
    <w:p w14:paraId="0EFFFF5E" w14:textId="77777777" w:rsidR="00491D3F" w:rsidRDefault="00491D3F" w:rsidP="00491D3F">
      <w:r>
        <w:t>(3) fadteilteanna agus cantaí an bhóthair ar an lintéar agus ar an droichead;</w:t>
      </w:r>
    </w:p>
    <w:p w14:paraId="0DF482BB" w14:textId="77777777" w:rsidR="00491D3F" w:rsidRDefault="00491D3F" w:rsidP="00491D3F">
      <w:r>
        <w:t>(4) suíomh agus tomhas eilimintí struchtúracha (lena n-áirítear ailt agus bacainní tuairte);</w:t>
      </w:r>
    </w:p>
    <w:p w14:paraId="784801A5" w14:textId="77777777" w:rsidR="00491D3F" w:rsidRDefault="00491D3F" w:rsidP="00491D3F">
      <w:r>
        <w:t>(5) fo-ithir agus comhiomlán a dhlúthú;</w:t>
      </w:r>
    </w:p>
    <w:p w14:paraId="7D73FC3E" w14:textId="77777777" w:rsidR="00491D3F" w:rsidRDefault="00491D3F" w:rsidP="00491D3F">
      <w:r>
        <w:t>(6)dearbhú feidhmíochta nó dearbhú comhréireachta le haghaidh táirgí agus ábhar a bheith ann;</w:t>
      </w:r>
    </w:p>
    <w:p w14:paraId="65A0C68A" w14:textId="77777777" w:rsidR="00491D3F" w:rsidRDefault="00491D3F" w:rsidP="00491D3F">
      <w:r>
        <w:t>(7)tógáil (lena n-áirítear cosaint bainc) agus a ndromchlaí;</w:t>
      </w:r>
    </w:p>
    <w:p w14:paraId="63ED8B40" w14:textId="77777777" w:rsidR="00491D3F" w:rsidRDefault="00491D3F" w:rsidP="00491D3F">
      <w:r>
        <w:t>(8) feidhmíocht na gcóras draenála uisce (e.g. hidrea-insliú agus córais draenála ithreach agus uisce dromchla).</w:t>
      </w:r>
    </w:p>
    <w:p w14:paraId="0F3BB3EE" w14:textId="77777777" w:rsidR="00491D3F" w:rsidRDefault="00491D3F" w:rsidP="00491D3F"/>
    <w:p w14:paraId="2B03FE67" w14:textId="77777777" w:rsidR="00491D3F" w:rsidRDefault="00491D3F" w:rsidP="00491D3F">
      <w:r>
        <w:t>(4) Beidh obair nithiúil ar lintéir agus ar dhroichid bunaithe ar an méid seo a leanas:</w:t>
      </w:r>
    </w:p>
    <w:p w14:paraId="5EDF0B0C" w14:textId="3F1DCD12" w:rsidR="00491D3F" w:rsidRDefault="00491D3F" w:rsidP="00491D3F">
      <w:r>
        <w:t>(1) na ceanglais maidir le táirgí coincréite críochnaithe mar a thuairiscítear sna caighdeáin EVS-EN 12794, EVS-EN 14844, EVS-EN 14991, EVS-EN 15050 agus EVS-EN 15258;</w:t>
      </w:r>
    </w:p>
    <w:p w14:paraId="7C8541F3" w14:textId="11522EFE" w:rsidR="00491D3F" w:rsidRDefault="00491D3F" w:rsidP="00491D3F">
      <w:r>
        <w:t>(2) na ceanglais maidir le tógáil coincréite agus coincréite ar a dtugtar tuairisc in EVS-EN 12350 agus EVS-EN 206; EVS-EN 1536; EVS-EN 12699; EVS-EN 13670 agus EVS 814;</w:t>
      </w:r>
    </w:p>
    <w:p w14:paraId="538EDC7A" w14:textId="4ABCB53A" w:rsidR="00491D3F" w:rsidRDefault="00491D3F" w:rsidP="00491D3F">
      <w:r>
        <w:t>(3) seiceálfar comhlíonadh na gceanglas sonraithe maidir le cion aeir meascáin choincréite a chomhlíonann na ceanglais friotaíochta sioc maidir le gach ualach a sheachadtar chuig an láithreán mar spotsampla díreach roimh an tsuiteáil;</w:t>
      </w:r>
    </w:p>
    <w:p w14:paraId="02BED8D1" w14:textId="18A2A607" w:rsidR="00491D3F" w:rsidRDefault="00491D3F" w:rsidP="00491D3F">
      <w:r>
        <w:t>(4) beidh tréimhse chothabhála agus chosanta na coincréite ón aimsir 120 h (cúig lá) ar a laghad, a fhreagraíonn d'aicme cothabhála 4, agus beidh an aicme chothabhála ag brath ar theocht dromchla na coincréite go neart comhbhrúiteach caighdeánach 70% na coincréite.</w:t>
      </w:r>
    </w:p>
    <w:p w14:paraId="4051F474" w14:textId="77777777" w:rsidR="00491D3F" w:rsidRDefault="00491D3F" w:rsidP="00491D3F"/>
    <w:p w14:paraId="37AC0FA7" w14:textId="1778E5B7" w:rsidR="00491D3F" w:rsidRDefault="00491D3F" w:rsidP="00491D3F">
      <w:r>
        <w:lastRenderedPageBreak/>
        <w:t>(5) Ní úsáidfear meascán coincréite nach gcomhlíonann na ceanglais a shonraítear i gclásal (4) 3) den roinn seo agus bainfear an t-ábhar neamhchomhlíontach suiteáilte.</w:t>
      </w:r>
    </w:p>
    <w:p w14:paraId="7F751CEE" w14:textId="77777777" w:rsidR="00491D3F" w:rsidRDefault="00491D3F" w:rsidP="00491D3F"/>
    <w:p w14:paraId="5EE15B73" w14:textId="77777777" w:rsidR="00491D3F" w:rsidRDefault="00491D3F" w:rsidP="00491D3F">
      <w:r>
        <w:t>(6) Beidh obair mhiotail ar lintéir agus ar dhroichid bunaithe ar an méid seo a leanas:</w:t>
      </w:r>
    </w:p>
    <w:p w14:paraId="067E2632" w14:textId="5A34B8D9" w:rsidR="00491D3F" w:rsidRDefault="00491D3F" w:rsidP="00491D3F">
      <w:r>
        <w:t>(1) ceanglais cruach struchtúracha mar a thuairiscítear i sraith chaighdeánach EVS-EN 10027;</w:t>
      </w:r>
    </w:p>
    <w:p w14:paraId="308BF05B" w14:textId="77777777" w:rsidR="00491D3F" w:rsidRDefault="00491D3F" w:rsidP="00491D3F">
      <w:r>
        <w:t>(2) beidh teocht tástála dearbhaithe na cruach struchtúraí -20 céim ar a laghad;</w:t>
      </w:r>
    </w:p>
    <w:p w14:paraId="0390A2A3" w14:textId="1440B8B3" w:rsidR="00491D3F" w:rsidRDefault="00491D3F" w:rsidP="00491D3F">
      <w:r>
        <w:t>(3) comhlíonfaidh córas cosanta péinte atá deartha chun struchtúir chruach san atmaisféar a chosaint ceanglais shraith chaighdeánach EVS-EN 12944, aicme comhshaoil C3;</w:t>
      </w:r>
    </w:p>
    <w:p w14:paraId="6BFD7070" w14:textId="0A42CABB" w:rsidR="00491D3F" w:rsidRDefault="00491D3F" w:rsidP="00491D3F">
      <w:r>
        <w:t>(4) H ar a laghad a bheidh san aicme mharthanachta do dhroichid agus lintéir nua sa chóras brataithe péinte a chosnaíonn struchtúir chruach agus do dhroichid agus lintéir indeisithe M.</w:t>
      </w:r>
    </w:p>
    <w:p w14:paraId="1E8FED76" w14:textId="77777777" w:rsidR="00491D3F" w:rsidRDefault="00491D3F" w:rsidP="00491D3F"/>
    <w:p w14:paraId="74CF604F" w14:textId="77777777" w:rsidR="00491D3F" w:rsidRDefault="00491D3F" w:rsidP="00491D3F">
      <w:r>
        <w:t>(7) Suiteálfar eilimintí na ndroichead ar bhonn na nithe seo a leanas:</w:t>
      </w:r>
    </w:p>
    <w:p w14:paraId="52AEBEFE" w14:textId="2ED0577E" w:rsidR="00491D3F" w:rsidRDefault="00491D3F" w:rsidP="00491D3F">
      <w:r>
        <w:t>(1) na ceanglais maidir le himthacaí struchtúracha droichead mar a thuairiscítear sa tsraith chaighdeánach EVS-EN 1337;</w:t>
      </w:r>
    </w:p>
    <w:p w14:paraId="14E1FFB3" w14:textId="77777777" w:rsidR="00491D3F" w:rsidRDefault="00491D3F" w:rsidP="00491D3F">
      <w:r>
        <w:t>(2) ní bheidh an t-alt dífhoirmithe droichid níos airde ná dromchla pábhála an bhóthair;</w:t>
      </w:r>
    </w:p>
    <w:p w14:paraId="3D1B3F4F" w14:textId="77777777" w:rsidR="00491D3F" w:rsidRDefault="00491D3F" w:rsidP="00491D3F">
      <w:r>
        <w:t>(3) ní fhéadfaidh doimhneacht an chomhdhromchla ó dhromchla phábháil an bhóthair a bheith níos mó ná 5 mm.’;</w:t>
      </w:r>
    </w:p>
    <w:p w14:paraId="1207EC24" w14:textId="77777777" w:rsidR="00241F1B" w:rsidRDefault="00241F1B" w:rsidP="00491D3F"/>
    <w:p w14:paraId="5D53CE81" w14:textId="333FA667" w:rsidR="00241F1B" w:rsidRDefault="00241F1B" w:rsidP="00491D3F">
      <w:r>
        <w:rPr>
          <w:b/>
        </w:rPr>
        <w:t>(46)</w:t>
      </w:r>
      <w:r>
        <w:t xml:space="preserve"> léitear fo-alt 25 (1) mar a leanas:</w:t>
      </w:r>
    </w:p>
    <w:p w14:paraId="64B3C794" w14:textId="096E410A" w:rsidR="00241F1B" w:rsidRDefault="00241F1B" w:rsidP="00491D3F">
      <w:r>
        <w:t>‘(1) Comhlíonfaidh suiteáil feistí rialaithe tráchta caighdeáin na hEastóine EVS 613, EVS 614 agus EVS 615.”;</w:t>
      </w:r>
    </w:p>
    <w:p w14:paraId="0BDA8E72" w14:textId="77777777" w:rsidR="00491D3F" w:rsidRDefault="00491D3F" w:rsidP="00491D3F"/>
    <w:p w14:paraId="595885E6" w14:textId="18E184C4" w:rsidR="00491D3F" w:rsidRDefault="00491D3F" w:rsidP="00491D3F">
      <w:r>
        <w:rPr>
          <w:b/>
        </w:rPr>
        <w:t>(47)</w:t>
      </w:r>
      <w:r>
        <w:t xml:space="preserve"> léitear fo-alt 25 (2) mar a leanas:</w:t>
      </w:r>
    </w:p>
    <w:p w14:paraId="4133FE20" w14:textId="1879814C" w:rsidR="00491D3F" w:rsidRDefault="00491D3F" w:rsidP="00491D3F">
      <w:r>
        <w:t>‘(2) ± 0,05 mhéadar a bheidh sna lamháltais airde le haghaidh córais srianta bóthair i ndáil le hairde an dromchla agus is é ± 0,02 mhéadar a bheidh sa lamháltas i ndáil leis an bplána ceartingearach ar chuid dhíreach de bhóthar 50 méadar ar fhad.’;</w:t>
      </w:r>
    </w:p>
    <w:p w14:paraId="7D0EB7C3" w14:textId="77777777" w:rsidR="00491D3F" w:rsidRDefault="00491D3F" w:rsidP="00491D3F"/>
    <w:p w14:paraId="79CE52CA" w14:textId="1EAF196A" w:rsidR="00491D3F" w:rsidRDefault="00491D3F" w:rsidP="00491D3F">
      <w:r>
        <w:rPr>
          <w:b/>
        </w:rPr>
        <w:t>(48)</w:t>
      </w:r>
      <w:r>
        <w:t xml:space="preserve"> fo-alt (2</w:t>
      </w:r>
      <w:r>
        <w:rPr>
          <w:vertAlign w:val="superscript"/>
        </w:rPr>
        <w:t>1</w:t>
      </w:r>
      <w:r>
        <w:t>) a chur le roinn 25, agus an fhoclaíocht seo a leanas inti:</w:t>
      </w:r>
    </w:p>
    <w:p w14:paraId="48A15B42" w14:textId="67C3BFC7" w:rsidR="00491D3F" w:rsidRDefault="00491D3F" w:rsidP="00491D3F">
      <w:r>
        <w:t>‘(2</w:t>
      </w:r>
      <w:r>
        <w:rPr>
          <w:vertAlign w:val="superscript"/>
        </w:rPr>
        <w:t>1</w:t>
      </w:r>
      <w:r>
        <w:t>) Féadfaidh suíomh an phoist marcóra atá ingearach leis an mbóthar a bheith éagsúil ± 0.1 m ón líne ghléasta, airde na bhfrithchaiteoirí os cionn dhromchla an bhóthair ± 0.05 m, an diall ón líne ingearach ± 3°.’;</w:t>
      </w:r>
    </w:p>
    <w:p w14:paraId="4BD653A3" w14:textId="77777777" w:rsidR="00491D3F" w:rsidRDefault="00491D3F" w:rsidP="00491D3F"/>
    <w:p w14:paraId="5F33D5E6" w14:textId="4E01EF2F" w:rsidR="00491D3F" w:rsidRDefault="00491D3F" w:rsidP="00491D3F">
      <w:r>
        <w:rPr>
          <w:b/>
        </w:rPr>
        <w:t>(49)</w:t>
      </w:r>
      <w:r>
        <w:t xml:space="preserve"> i bhfo-alt 26(2), cuirtear an frása ‘le claífort láithreach ar a laghad’ isteach i ndiaidh an fhocail ‘domhain’;</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fo-alt 26 (13) </w:t>
      </w:r>
      <w:bookmarkEnd w:id="5"/>
      <w:r>
        <w:t>déantar é a aisghairm;</w:t>
      </w:r>
    </w:p>
    <w:p w14:paraId="07EB8272" w14:textId="77777777" w:rsidR="00613B83" w:rsidRDefault="00613B83" w:rsidP="00491D3F"/>
    <w:p w14:paraId="247FF69B" w14:textId="1B51FFAA" w:rsidR="00613B83" w:rsidRDefault="00613B83" w:rsidP="00491D3F">
      <w:r>
        <w:rPr>
          <w:b/>
        </w:rPr>
        <w:t>(51)</w:t>
      </w:r>
      <w:r>
        <w:t xml:space="preserve"> roinn 27 a chur leis an Rialacháin, agus an fhoclaíocht seo a leanas inti:</w:t>
      </w:r>
    </w:p>
    <w:p w14:paraId="76F5304B" w14:textId="2F21465F" w:rsidR="00613B83" w:rsidRDefault="00613B83" w:rsidP="00491D3F">
      <w:bookmarkStart w:id="6" w:name="_Hlk170209720"/>
      <w:r>
        <w:rPr>
          <w:b/>
        </w:rPr>
        <w:t>Roinn 27. Forálacha cur chun feidhme</w:t>
      </w:r>
    </w:p>
    <w:p w14:paraId="78E51E63" w14:textId="54A57533" w:rsidR="00D604E5" w:rsidRDefault="00D604E5" w:rsidP="00491D3F">
      <w:r>
        <w:t xml:space="preserve">(1) Conarthaí a tugadh i gcrích </w:t>
      </w:r>
      <w:bookmarkStart w:id="7" w:name="_Hlk170289224"/>
      <w:r>
        <w:t>nó oibreacha ar cuireadh tús leo roimh theacht i bhfeidhm na forála seo, beidh siad faoi réir an leagain den Rialachán a tháinig i bhfeidhm an 23 Samhain 2020</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Féadfar an leagan den Rialachán a tháinig i bhfeidhm an 23 Samhain 2020 a chur i bhfeidhm maidir le conradh a thabharfar i gcrích laistigh de thrí mhí ó theacht i bhfeidhm na forála seo.</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bunaítear an fhoclaíocht nua in Iarscríbhinní 3 go 10 agus 12 (curtha i gceangal).</w:t>
      </w:r>
    </w:p>
    <w:p w14:paraId="2C46BE5D" w14:textId="77777777" w:rsidR="00491D3F" w:rsidRDefault="00491D3F" w:rsidP="00491D3F"/>
    <w:p w14:paraId="4D6FBFE7" w14:textId="00201D56" w:rsidR="001B7672" w:rsidRDefault="00491D3F" w:rsidP="00491D3F">
      <w:r>
        <w:rPr>
          <w:b/>
        </w:rPr>
        <w:t xml:space="preserve">(53) </w:t>
      </w:r>
      <w:bookmarkStart w:id="9" w:name="_Hlk168563549"/>
      <w:r>
        <w:t>Iarscríbhinn 15 a ghabhann leis an Rialachán</w:t>
      </w:r>
      <w:bookmarkEnd w:id="9"/>
      <w:r>
        <w:t xml:space="preserve"> aisghairfear é;</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B7672" w14:paraId="43060C04" w14:textId="77777777" w:rsidTr="004A1794">
        <w:tc>
          <w:tcPr>
            <w:tcW w:w="4672" w:type="dxa"/>
          </w:tcPr>
          <w:p w14:paraId="6D3BD41D" w14:textId="77777777" w:rsidR="001B7672" w:rsidRPr="00D02F9D" w:rsidRDefault="001B7672" w:rsidP="00A300B9">
            <w:pPr>
              <w:ind w:hanging="108"/>
            </w:pPr>
            <w:r>
              <w:t>(sínithe go digiteach)</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Aire:</w:t>
            </w:r>
          </w:p>
        </w:tc>
        <w:tc>
          <w:tcPr>
            <w:tcW w:w="4672" w:type="dxa"/>
          </w:tcPr>
          <w:p w14:paraId="51A88D42" w14:textId="77777777" w:rsidR="001B7672" w:rsidRPr="001F7E6D" w:rsidRDefault="001B7672" w:rsidP="00683D28"/>
          <w:p w14:paraId="44890AE9" w14:textId="77777777" w:rsidR="001B7672" w:rsidRDefault="001B7672" w:rsidP="00683D28">
            <w:r>
              <w:t>(sínithe go digiteach)</w:t>
            </w:r>
          </w:p>
          <w:p w14:paraId="587475D8" w14:textId="23094C06" w:rsidR="001B7672" w:rsidRDefault="00923C23" w:rsidP="00683D28">
            <w:r>
              <w:t>Keit Kasemets</w:t>
            </w:r>
          </w:p>
          <w:p w14:paraId="5FFB33FB" w14:textId="40BCC26D" w:rsidR="00491D3F" w:rsidRDefault="006326AA" w:rsidP="00683D28">
            <w:r>
              <w:t>Státrúnaí</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Iarscríbhinn 3</w:t>
      </w:r>
      <w:r>
        <w:t xml:space="preserve"> Fachtóir comhbhrúite an chion folúntas dromchla agus iarmharach </w:t>
      </w:r>
    </w:p>
    <w:p w14:paraId="7862E77A" w14:textId="77777777" w:rsidR="008E2E80" w:rsidRDefault="008E2E80" w:rsidP="00683D28">
      <w:r>
        <w:rPr>
          <w:b/>
        </w:rPr>
        <w:t>Iarscríbhinn 10:</w:t>
      </w:r>
      <w:r>
        <w:t xml:space="preserve"> Teorainneacha ginearálta dháileadh mhéid na gcáithníní de mheascáin neamhcheangailte </w:t>
      </w:r>
    </w:p>
    <w:p w14:paraId="6F32D132" w14:textId="5472E26B" w:rsidR="003F55E0" w:rsidRDefault="008E2E80" w:rsidP="00683D28">
      <w:r>
        <w:rPr>
          <w:b/>
        </w:rPr>
        <w:t>Iarscríbhinn 12:</w:t>
      </w:r>
      <w:r>
        <w:t xml:space="preserve"> Íoscheanglais maidir le comhiomláin a úsáidtear i bhfeistiú dromchla</w:t>
      </w:r>
    </w:p>
    <w:p w14:paraId="566503FA" w14:textId="77777777" w:rsidR="003F55E0" w:rsidRDefault="003F55E0">
      <w:r>
        <w:br w:type="page"/>
      </w:r>
    </w:p>
    <w:p w14:paraId="657955F4" w14:textId="77777777" w:rsidR="00BE0A03" w:rsidRDefault="003F55E0" w:rsidP="003F55E0">
      <w:pPr>
        <w:jc w:val="right"/>
      </w:pPr>
      <w:r>
        <w:lastRenderedPageBreak/>
        <w:t>An tAire Gnóthaí Eacnamaíocha agus Bonneagair</w:t>
      </w:r>
    </w:p>
    <w:p w14:paraId="3A8EAAFE" w14:textId="77777777" w:rsidR="00BE0A03" w:rsidRDefault="003F55E0" w:rsidP="003F55E0">
      <w:pPr>
        <w:jc w:val="right"/>
      </w:pPr>
      <w:r>
        <w:t>Rialachán Uimh. 101 an 3 Lúnasa 2015</w:t>
      </w:r>
    </w:p>
    <w:p w14:paraId="3B55A979" w14:textId="77777777" w:rsidR="00BE0A03" w:rsidRDefault="003F55E0" w:rsidP="003F55E0">
      <w:pPr>
        <w:jc w:val="right"/>
      </w:pPr>
      <w:r>
        <w:t>‘Ceanglais maidir le cáilíocht tógála bóthair’</w:t>
      </w:r>
    </w:p>
    <w:p w14:paraId="4DD4DD6F" w14:textId="77777777" w:rsidR="00BE0A03" w:rsidRDefault="003F55E0" w:rsidP="003F55E0">
      <w:pPr>
        <w:jc w:val="right"/>
      </w:pPr>
      <w:r>
        <w:t>Iarscríbhinn 3</w:t>
      </w:r>
    </w:p>
    <w:p w14:paraId="751ECC4C" w14:textId="78A43010" w:rsidR="003F55E0" w:rsidRDefault="003F55E0" w:rsidP="003F55E0">
      <w:pPr>
        <w:jc w:val="right"/>
      </w:pPr>
      <w:r>
        <w:t>(arna leasú)</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Iarscríbhinn 3</w:t>
      </w:r>
    </w:p>
    <w:p w14:paraId="77534294" w14:textId="77777777" w:rsidR="003F55E0" w:rsidRPr="003F55E0" w:rsidRDefault="003F55E0" w:rsidP="003F55E0">
      <w:pPr>
        <w:jc w:val="center"/>
      </w:pPr>
      <w:r>
        <w:rPr>
          <w:b/>
        </w:rPr>
        <w:t>An tÁisitheoir Coimirce Sóisialaí agus na Vótaí Cónaitheacha</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785"/>
        <w:gridCol w:w="1387"/>
        <w:gridCol w:w="1683"/>
        <w:gridCol w:w="1685"/>
        <w:gridCol w:w="1750"/>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Cineál meascáin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Meánsampla dromchla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Sampla comhpháirteach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Fachtóir comhbhrúite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Cion vóidigh,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Fachtóir comhbhrúite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Cion vóidigh,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Bonn AC 16</w:t>
            </w:r>
          </w:p>
          <w:p w14:paraId="2D43B19E" w14:textId="77777777" w:rsidR="003F55E0" w:rsidRPr="00D02F9D" w:rsidRDefault="003F55E0" w:rsidP="003F55E0">
            <w:r>
              <w:t>Bonn AC 20</w:t>
            </w:r>
          </w:p>
          <w:p w14:paraId="1901C781" w14:textId="77777777" w:rsidR="003F55E0" w:rsidRPr="00D02F9D" w:rsidRDefault="003F55E0" w:rsidP="003F55E0">
            <w:r>
              <w:t xml:space="preserve">Bonn AC 32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Araid SA 8</w:t>
            </w:r>
          </w:p>
          <w:p w14:paraId="094D6BDB" w14:textId="77777777" w:rsidR="003F55E0" w:rsidRPr="003F55E0" w:rsidRDefault="003F55E0" w:rsidP="003F55E0">
            <w:r>
              <w:t>Araid SA 12</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Araid SA 16</w:t>
            </w:r>
          </w:p>
          <w:p w14:paraId="4BC00C2D" w14:textId="77777777" w:rsidR="003F55E0" w:rsidRPr="00D02F9D" w:rsidRDefault="003F55E0" w:rsidP="003F55E0">
            <w:r>
              <w:t>AC 20 araid</w:t>
            </w:r>
          </w:p>
          <w:p w14:paraId="21A00905" w14:textId="77777777" w:rsidR="003F55E0" w:rsidRPr="00D02F9D" w:rsidRDefault="003F55E0" w:rsidP="003F55E0">
            <w:r>
              <w:t xml:space="preserve">surfáil AC 8 </w:t>
            </w:r>
          </w:p>
          <w:p w14:paraId="1386C329" w14:textId="77777777" w:rsidR="003F55E0" w:rsidRPr="00C84F89" w:rsidRDefault="003F55E0" w:rsidP="003F55E0">
            <w:r>
              <w:t>Smurfáil AC 12</w:t>
            </w:r>
          </w:p>
          <w:p w14:paraId="33F9B42B" w14:textId="77777777" w:rsidR="003F55E0" w:rsidRPr="00C84F89" w:rsidRDefault="003F55E0" w:rsidP="003F55E0">
            <w:r>
              <w:t>surf AC 16</w:t>
            </w:r>
          </w:p>
          <w:p w14:paraId="0D8198E9" w14:textId="77777777" w:rsidR="003F55E0" w:rsidRPr="00C84F89" w:rsidRDefault="003F55E0" w:rsidP="003F55E0">
            <w:r>
              <w:t>Smurfáil AC 20</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An tAire Gnóthaí Eacnamaíocha agus Bonneagair</w:t>
      </w:r>
    </w:p>
    <w:p w14:paraId="32450E0A" w14:textId="77777777" w:rsidR="00BE0A03" w:rsidRDefault="003F55E0" w:rsidP="003F55E0">
      <w:pPr>
        <w:jc w:val="right"/>
      </w:pPr>
      <w:r>
        <w:t>Rialachán Uimh. 101 an 3 Lúnasa 2015</w:t>
      </w:r>
    </w:p>
    <w:p w14:paraId="7492D681" w14:textId="77777777" w:rsidR="00BE0A03" w:rsidRDefault="003F55E0" w:rsidP="003F55E0">
      <w:pPr>
        <w:jc w:val="right"/>
      </w:pPr>
      <w:r>
        <w:t>‘Ceanglais maidir le cáilíocht tógála bóthair’</w:t>
      </w:r>
    </w:p>
    <w:p w14:paraId="65742A04" w14:textId="77777777" w:rsidR="00BE0A03" w:rsidRDefault="003F55E0" w:rsidP="003F55E0">
      <w:pPr>
        <w:jc w:val="right"/>
      </w:pPr>
      <w:r>
        <w:t>Iarscríbhinn 10</w:t>
      </w:r>
    </w:p>
    <w:p w14:paraId="4F221941" w14:textId="586CEAAF" w:rsidR="003F55E0" w:rsidRPr="003F55E0" w:rsidRDefault="003F55E0" w:rsidP="003F55E0">
      <w:pPr>
        <w:jc w:val="right"/>
      </w:pPr>
      <w:r>
        <w:t>(arna leasú)</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Iarscríbhinn 10</w:t>
      </w:r>
    </w:p>
    <w:p w14:paraId="502DB18C" w14:textId="77777777" w:rsidR="003F55E0" w:rsidRPr="003F55E0" w:rsidRDefault="003F55E0" w:rsidP="003F55E0">
      <w:pPr>
        <w:jc w:val="center"/>
        <w:rPr>
          <w:b/>
          <w:bCs/>
        </w:rPr>
      </w:pPr>
      <w:r>
        <w:rPr>
          <w:b/>
        </w:rPr>
        <w:t>Cumhachtaí Ginearálta Roinn Stáit na Stát Aontaithe</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Meascán</w:t>
            </w:r>
          </w:p>
        </w:tc>
        <w:tc>
          <w:tcPr>
            <w:tcW w:w="1104" w:type="dxa"/>
            <w:vMerge w:val="restart"/>
          </w:tcPr>
          <w:p w14:paraId="0316992D" w14:textId="77777777" w:rsidR="003F55E0" w:rsidRPr="003F55E0" w:rsidRDefault="003F55E0" w:rsidP="003F55E0">
            <w:pPr>
              <w:jc w:val="center"/>
              <w:rPr>
                <w:bCs/>
              </w:rPr>
            </w:pPr>
            <w:r>
              <w:t>Catagóir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Usáid</w:t>
            </w:r>
          </w:p>
        </w:tc>
        <w:tc>
          <w:tcPr>
            <w:tcW w:w="12009" w:type="dxa"/>
            <w:gridSpan w:val="12"/>
          </w:tcPr>
          <w:p w14:paraId="43EE4A5A" w14:textId="77777777" w:rsidR="003F55E0" w:rsidRPr="003F55E0" w:rsidRDefault="003F55E0" w:rsidP="003F55E0">
            <w:pPr>
              <w:jc w:val="center"/>
            </w:pPr>
            <w:r>
              <w:t>Méid criathar,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Téann sé trí chriathar, meáchan%</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Bonn nach bhfuil cóireáilte le ceanglóir</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Bóthar gairbhéal agus leaba tacaíochta</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Tabhair faoi deara: i mboinn nach gcóireáiltear leis an gceanglóir, cinntear dáileadh mhéid na gcáithníní ó shampla d’ábhar a thógtar ó bhonn críochnaithe.</w:t>
      </w:r>
    </w:p>
    <w:p w14:paraId="6B2729EE" w14:textId="77777777" w:rsidR="003F55E0" w:rsidRPr="003F55E0" w:rsidRDefault="003F55E0" w:rsidP="003F55E0">
      <w:r>
        <w:t>I gcás meascán Pos 1–Pos 4, beidh dáileadh mhéid na gcáithníní a dhearbhaíonn monaróir an mheascáin laistigh de theorainneacha dháileadh mhéid na gcáithníní a dhearbhaíonn monaróir chatagóir iomchuí EVS-EN 13285. Ní fhéadfaidh na samplaí rialaithe arna dtógáil ar an láithreán foirgníochta teorainneacha ginearálta dháileadh mhéid na gcáithníní in Iarscríbhinn 10 a shárú.</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An tAire Gnóthaí Eacnamaíocha agus Bonneagair</w:t>
      </w:r>
    </w:p>
    <w:p w14:paraId="20FABE8B" w14:textId="77777777" w:rsidR="00BA2C7C" w:rsidRDefault="003F55E0" w:rsidP="003F55E0">
      <w:pPr>
        <w:jc w:val="right"/>
      </w:pPr>
      <w:r>
        <w:t>Rialachán Uimh. 101 an 3 Lúnasa 2015</w:t>
      </w:r>
    </w:p>
    <w:p w14:paraId="080DEBBA" w14:textId="77777777" w:rsidR="00BA2C7C" w:rsidRDefault="003F55E0" w:rsidP="003F55E0">
      <w:pPr>
        <w:jc w:val="right"/>
      </w:pPr>
      <w:r>
        <w:t>‘Ceanglais maidir le cáilíocht tógála bóthair’</w:t>
      </w:r>
    </w:p>
    <w:p w14:paraId="421E8DE4" w14:textId="77777777" w:rsidR="00BA2C7C" w:rsidRDefault="003F55E0" w:rsidP="003F55E0">
      <w:pPr>
        <w:jc w:val="right"/>
      </w:pPr>
      <w:r>
        <w:t>Iarscríbhinn 12</w:t>
      </w:r>
    </w:p>
    <w:p w14:paraId="46A4C2ED" w14:textId="6D49C52F" w:rsidR="003F55E0" w:rsidRPr="003F55E0" w:rsidRDefault="003F55E0" w:rsidP="003F55E0">
      <w:pPr>
        <w:jc w:val="right"/>
      </w:pPr>
      <w:r>
        <w:t>(arna leasú)</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Iarscríbhinn 12</w:t>
      </w:r>
    </w:p>
    <w:p w14:paraId="5B4AE7F9" w14:textId="77777777" w:rsidR="003F55E0" w:rsidRPr="003F55E0" w:rsidRDefault="003F55E0" w:rsidP="003F55E0">
      <w:pPr>
        <w:jc w:val="center"/>
        <w:rPr>
          <w:b/>
          <w:bCs/>
        </w:rPr>
      </w:pPr>
      <w:r>
        <w:rPr>
          <w:b/>
        </w:rPr>
        <w:t xml:space="preserve">Ceanglais íosta le haghaidh comhaontuithe a úsáidtear i bhfoirm dearbhaithe </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Maoin</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r>
              <w:rPr>
                <w:b/>
              </w:rPr>
              <w:t>a/24 uair*</w:t>
            </w:r>
          </w:p>
        </w:tc>
        <w:tc>
          <w:tcPr>
            <w:tcW w:w="1701" w:type="dxa"/>
          </w:tcPr>
          <w:p w14:paraId="03929253" w14:textId="77777777" w:rsidR="003F55E0" w:rsidRPr="003F55E0" w:rsidRDefault="003F55E0" w:rsidP="003F55E0">
            <w:pPr>
              <w:jc w:val="center"/>
              <w:rPr>
                <w:b/>
              </w:rPr>
            </w:pPr>
            <w:r>
              <w:rPr>
                <w:b/>
              </w:rPr>
              <w:t>R2, R3 500</w:t>
            </w:r>
            <w:r>
              <w:t>–</w:t>
            </w:r>
            <w:r>
              <w:rPr>
                <w:b/>
              </w:rPr>
              <w:t>2,500</w:t>
            </w:r>
          </w:p>
          <w:p w14:paraId="29041ECB" w14:textId="77777777" w:rsidR="003F55E0" w:rsidRPr="003F55E0" w:rsidRDefault="003F55E0" w:rsidP="003F55E0">
            <w:pPr>
              <w:jc w:val="center"/>
              <w:rPr>
                <w:b/>
              </w:rPr>
            </w:pPr>
            <w:r>
              <w:rPr>
                <w:b/>
              </w:rPr>
              <w:t>a/24 uair*</w:t>
            </w:r>
          </w:p>
        </w:tc>
        <w:tc>
          <w:tcPr>
            <w:tcW w:w="1559" w:type="dxa"/>
          </w:tcPr>
          <w:p w14:paraId="1E1E24C5" w14:textId="77777777" w:rsidR="003F55E0" w:rsidRPr="003F55E0" w:rsidRDefault="003F55E0" w:rsidP="003F55E0">
            <w:pPr>
              <w:jc w:val="center"/>
              <w:rPr>
                <w:b/>
              </w:rPr>
            </w:pPr>
            <w:r>
              <w:rPr>
                <w:b/>
              </w:rPr>
              <w:t>R4 2,501–8,000</w:t>
            </w:r>
          </w:p>
          <w:p w14:paraId="057556F0" w14:textId="77777777" w:rsidR="003F55E0" w:rsidRPr="003F55E0" w:rsidRDefault="003F55E0" w:rsidP="003F55E0">
            <w:pPr>
              <w:jc w:val="center"/>
              <w:rPr>
                <w:b/>
              </w:rPr>
            </w:pPr>
            <w:r>
              <w:rPr>
                <w:b/>
              </w:rPr>
              <w:t>a/24 uair*</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8,000</w:t>
            </w:r>
          </w:p>
          <w:p w14:paraId="4D12AF95" w14:textId="77777777" w:rsidR="003F55E0" w:rsidRPr="003F55E0" w:rsidRDefault="003F55E0" w:rsidP="003F55E0">
            <w:pPr>
              <w:jc w:val="center"/>
              <w:rPr>
                <w:b/>
              </w:rPr>
            </w:pPr>
            <w:r>
              <w:rPr>
                <w:b/>
              </w:rPr>
              <w:t>a/24 uair*</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Caighdeáin tástála</w:t>
            </w:r>
          </w:p>
        </w:tc>
      </w:tr>
      <w:tr w:rsidR="003F55E0" w:rsidRPr="003F55E0" w14:paraId="1400837E" w14:textId="77777777" w:rsidTr="001F7E6D">
        <w:trPr>
          <w:trHeight w:val="340"/>
        </w:trPr>
        <w:tc>
          <w:tcPr>
            <w:tcW w:w="4253" w:type="dxa"/>
          </w:tcPr>
          <w:p w14:paraId="7486FD2E" w14:textId="77777777" w:rsidR="003F55E0" w:rsidRPr="003F55E0" w:rsidRDefault="003F55E0" w:rsidP="003F55E0">
            <w:pPr>
              <w:jc w:val="center"/>
            </w:pPr>
            <w:r>
              <w:t>Dáileadh méid na gcáithníní</w:t>
            </w:r>
          </w:p>
        </w:tc>
        <w:tc>
          <w:tcPr>
            <w:tcW w:w="1559" w:type="dxa"/>
          </w:tcPr>
          <w:p w14:paraId="79ABB51C" w14:textId="77777777" w:rsidR="003F55E0" w:rsidRPr="003F55E0" w:rsidRDefault="003F55E0" w:rsidP="003F55E0">
            <w:pPr>
              <w:jc w:val="center"/>
            </w:pPr>
            <w:r>
              <w:t>Catagóir</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Tuairisc pheitriléagrafach</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Arna chinneadh</w:t>
            </w:r>
          </w:p>
        </w:tc>
        <w:tc>
          <w:tcPr>
            <w:tcW w:w="1701" w:type="dxa"/>
          </w:tcPr>
          <w:p w14:paraId="5029359B" w14:textId="77777777" w:rsidR="003F55E0" w:rsidRPr="003F55E0" w:rsidRDefault="003F55E0" w:rsidP="003F55E0">
            <w:pPr>
              <w:jc w:val="center"/>
            </w:pPr>
            <w:r>
              <w:t>Arna chinneadh</w:t>
            </w:r>
          </w:p>
        </w:tc>
        <w:tc>
          <w:tcPr>
            <w:tcW w:w="1559" w:type="dxa"/>
          </w:tcPr>
          <w:p w14:paraId="57FA6542" w14:textId="77777777" w:rsidR="003F55E0" w:rsidRPr="003F55E0" w:rsidRDefault="003F55E0" w:rsidP="003F55E0">
            <w:pPr>
              <w:jc w:val="center"/>
            </w:pPr>
            <w:r>
              <w:t>Arna chinneadh</w:t>
            </w:r>
          </w:p>
        </w:tc>
        <w:tc>
          <w:tcPr>
            <w:tcW w:w="1701" w:type="dxa"/>
          </w:tcPr>
          <w:p w14:paraId="3C0B68AC" w14:textId="77777777" w:rsidR="003F55E0" w:rsidRPr="003F55E0" w:rsidRDefault="003F55E0" w:rsidP="003F55E0">
            <w:pPr>
              <w:jc w:val="center"/>
            </w:pPr>
            <w:r>
              <w:t>Arna chinneadh</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Frithsheasmhacht in aghaidh ilroinnte</w:t>
            </w:r>
          </w:p>
        </w:tc>
        <w:tc>
          <w:tcPr>
            <w:tcW w:w="1559" w:type="dxa"/>
          </w:tcPr>
          <w:p w14:paraId="7A5AE211" w14:textId="77777777" w:rsidR="003F55E0" w:rsidRPr="003F55E0" w:rsidRDefault="003F55E0" w:rsidP="003F55E0">
            <w:pPr>
              <w:jc w:val="center"/>
            </w:pPr>
            <w:r>
              <w:t>Catagóir</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Friotaíocht i dtaca le chaitheamh</w:t>
            </w:r>
          </w:p>
        </w:tc>
        <w:tc>
          <w:tcPr>
            <w:tcW w:w="1559" w:type="dxa"/>
          </w:tcPr>
          <w:p w14:paraId="00E5A80D" w14:textId="77777777" w:rsidR="003F55E0" w:rsidRPr="003F55E0" w:rsidRDefault="003F55E0" w:rsidP="003F55E0">
            <w:pPr>
              <w:jc w:val="center"/>
            </w:pPr>
            <w:r>
              <w:t>Catagóir</w:t>
            </w:r>
          </w:p>
        </w:tc>
        <w:tc>
          <w:tcPr>
            <w:tcW w:w="1843" w:type="dxa"/>
          </w:tcPr>
          <w:p w14:paraId="056CAE21" w14:textId="77777777" w:rsidR="003F55E0" w:rsidRPr="003F55E0" w:rsidRDefault="003F55E0" w:rsidP="003F55E0">
            <w:pPr>
              <w:jc w:val="center"/>
            </w:pPr>
            <w:r>
              <w:t>Neamhbhainteach</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Friotaíocht sioc i dtuaslagán NaCl 1%</w:t>
            </w:r>
          </w:p>
        </w:tc>
        <w:tc>
          <w:tcPr>
            <w:tcW w:w="1559" w:type="dxa"/>
          </w:tcPr>
          <w:p w14:paraId="143F5858" w14:textId="77777777" w:rsidR="003F55E0" w:rsidRPr="003F55E0" w:rsidRDefault="003F55E0" w:rsidP="003F55E0">
            <w:pPr>
              <w:jc w:val="center"/>
            </w:pPr>
            <w:r>
              <w:t>Catagóir</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Innéac scalógach;</w:t>
            </w:r>
          </w:p>
        </w:tc>
        <w:tc>
          <w:tcPr>
            <w:tcW w:w="1559" w:type="dxa"/>
          </w:tcPr>
          <w:p w14:paraId="7A0FCAB8" w14:textId="77777777" w:rsidR="003F55E0" w:rsidRPr="003F55E0" w:rsidRDefault="003F55E0" w:rsidP="003F55E0">
            <w:pPr>
              <w:jc w:val="center"/>
            </w:pPr>
            <w:r>
              <w:t>Catagóir</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Greamaitheacht le ceanglóir biotúmanach ag an modh imbhuailte**</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Greamaitheacht ag modh an bhuidéil rollaigh tar éis 24 uair an chloig**</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Cion na bhfíneálacha</w:t>
            </w:r>
          </w:p>
        </w:tc>
        <w:tc>
          <w:tcPr>
            <w:tcW w:w="1559" w:type="dxa"/>
          </w:tcPr>
          <w:p w14:paraId="1C94A8B5" w14:textId="77777777" w:rsidR="003F55E0" w:rsidRPr="003F55E0" w:rsidRDefault="003F55E0" w:rsidP="003F55E0">
            <w:pPr>
              <w:jc w:val="center"/>
            </w:pPr>
            <w:r>
              <w:t>Catagóir</w:t>
            </w:r>
          </w:p>
        </w:tc>
        <w:tc>
          <w:tcPr>
            <w:tcW w:w="1843" w:type="dxa"/>
          </w:tcPr>
          <w:p w14:paraId="0E18DAEF" w14:textId="77777777" w:rsidR="003F55E0" w:rsidRPr="003F55E0" w:rsidRDefault="003F55E0" w:rsidP="003F55E0">
            <w:pPr>
              <w:jc w:val="center"/>
            </w:pPr>
            <w:r>
              <w:t>f2</w:t>
            </w:r>
          </w:p>
        </w:tc>
        <w:tc>
          <w:tcPr>
            <w:tcW w:w="1701" w:type="dxa"/>
          </w:tcPr>
          <w:p w14:paraId="6A93B89F" w14:textId="77777777" w:rsidR="003F55E0" w:rsidRPr="003F55E0" w:rsidRDefault="003F55E0" w:rsidP="003F55E0">
            <w:pPr>
              <w:jc w:val="center"/>
            </w:pPr>
            <w:r>
              <w:t>f1</w:t>
            </w:r>
          </w:p>
        </w:tc>
        <w:tc>
          <w:tcPr>
            <w:tcW w:w="1559" w:type="dxa"/>
          </w:tcPr>
          <w:p w14:paraId="401E95A3" w14:textId="77777777" w:rsidR="003F55E0" w:rsidRPr="003F55E0" w:rsidRDefault="003F55E0" w:rsidP="003F55E0">
            <w:pPr>
              <w:jc w:val="center"/>
            </w:pPr>
            <w:r>
              <w:t>f1</w:t>
            </w:r>
          </w:p>
        </w:tc>
        <w:tc>
          <w:tcPr>
            <w:tcW w:w="1701" w:type="dxa"/>
          </w:tcPr>
          <w:p w14:paraId="705F5AF0" w14:textId="77777777" w:rsidR="003F55E0" w:rsidRPr="003F55E0" w:rsidRDefault="003F55E0" w:rsidP="003F55E0">
            <w:pPr>
              <w:jc w:val="center"/>
            </w:pPr>
            <w:r>
              <w:t>f1.0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méid tráchta atá ar fáil;</w:t>
      </w:r>
    </w:p>
    <w:p w14:paraId="00291473" w14:textId="77777777" w:rsidR="003F55E0" w:rsidRPr="003F55E0" w:rsidRDefault="003F55E0" w:rsidP="003F55E0">
      <w:r>
        <w:t>** – chun greamaitheacht a léiriú, roghnófar ceann amháin den dá mhodh de réir an cheanglóra a úsáidtear. Má dhéantar an dromchla a chóiriú le heibleacht bhiotúmain, déanfar an ghreamaitheacht a mheasúnú trí úsáid a bhaint as an gcaighdeán EVS-EN 12272-3 agus má úsáidtear biotúman, úsáidfear EVS-EN 12697-11;</w:t>
      </w:r>
    </w:p>
    <w:p w14:paraId="55E1D9F1" w14:textId="56B58005" w:rsidR="001B7672" w:rsidRDefault="003F55E0" w:rsidP="00683D28">
      <w:r>
        <w:t>NR – gan a bheith rialáilte.</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1F7E6D"/>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71BF0"/>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07FA"/>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ga-I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[Uimhir chlárúcháin]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6525"/>
    <w:rsid w:val="002430A8"/>
    <w:rsid w:val="004267D7"/>
    <w:rsid w:val="004E4AA1"/>
    <w:rsid w:val="005026AF"/>
    <w:rsid w:val="0074389C"/>
    <w:rsid w:val="00771BF0"/>
    <w:rsid w:val="0084179F"/>
    <w:rsid w:val="009310C0"/>
    <w:rsid w:val="009C1CB5"/>
    <w:rsid w:val="009E0CA7"/>
    <w:rsid w:val="00A0083F"/>
    <w:rsid w:val="00BA6EB7"/>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8B7FAEE-E3D3-40B6-8C86-D029D4B48031}">
  <ds:schemaRefs>
    <ds:schemaRef ds:uri="http://schemas.openxmlformats.org/package/2006/metadata/core-properties"/>
    <ds:schemaRef ds:uri="http://purl.org/dc/terms/"/>
    <ds:schemaRef ds:uri="http://schemas.microsoft.com/office/2006/documentManagement/types"/>
    <ds:schemaRef ds:uri="http://www.w3.org/XML/1998/namespace"/>
    <ds:schemaRef ds:uri="609eabb9-0856-44a7-8264-14370f27e90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4.xml><?xml version="1.0" encoding="utf-8"?>
<ds:datastoreItem xmlns:ds="http://schemas.openxmlformats.org/officeDocument/2006/customXml" ds:itemID="{FBEFA6A8-2F5B-422F-A4E4-B3E8446A1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4297</Words>
  <Characters>24493</Characters>
  <Application>Microsoft Office Word</Application>
  <DocSecurity>0</DocSecurity>
  <Lines>204</Lines>
  <Paragraphs>57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