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868E" w14:textId="1491DFB4">
      <w:pPr>
        <w:pStyle w:val="P68B1DB1-P68B1DB1-Title11"/>
        <w:spacing w:before="0"/>
        <w:ind w:left="0"/>
        <w:jc w:val="right"/>
        <w:rPr>
          <w:i/>
          <w:iCs/>
          <w:color w:val="FF0000"/>
          <w:sz w:val="24"/>
          <w:szCs w:val="24"/>
          <w:u w:val="none"/>
        </w:rPr>
      </w:pPr>
      <w:r>
        <w:t xml:space="preserve">Trata-se de uma tradução automática</w:t>
      </w:r>
    </w:p>
    <w:p w14:paraId="48A46481" w14:textId="77777777">
      <w:pPr>
        <w:pStyle w:val="P68B1DB1-Title1"/>
        <w:spacing w:before="0"/>
        <w:ind w:left="0"/>
      </w:pPr>
    </w:p>
    <w:p w14:paraId="5DDBFD33" w14:textId="3AD4A40E">
      <w:pPr>
        <w:pStyle w:val="P68B1DB1-Title1"/>
        <w:spacing w:before="0"/>
        <w:ind w:left="0"/>
      </w:pPr>
      <w:r>
        <w:t xml:space="preserve">Jurisprudência relativa à Diretiva (UE) 2015/1535</w:t>
      </w:r>
    </w:p>
    <w:p w14:paraId="5AFCD03C" w14:textId="77777777">
      <w:pPr>
        <w:pStyle w:val="BodyText"/>
      </w:pPr>
    </w:p>
    <w:p w14:paraId="55805DA1" w14:textId="3A3D4AA9">
      <w:pPr>
        <w:pStyle w:val="BodyText"/>
      </w:pPr>
      <w:r>
        <w:t xml:space="preserve">O presente documento identifica os principais acórdãos e despachos do Tribunal de Justiça da União Europeia relativos ao âmbito de aplicação e à aplicação da Diretiva (UE) 2015/1535, que estabelece um procedimento de informação no domínio das regulamentações técnicas e das regras relativas aos serviços da sociedade da informação. O seu objetivo é servir de guia para as administrações dos Estados-Membros, a indústria e os cidadãos.</w:t>
      </w:r>
    </w:p>
    <w:p w14:paraId="4F3E66AE" w14:textId="77777777">
      <w:pPr>
        <w:pStyle w:val="BodyText"/>
        <w:rPr>
          <w:sz w:val="22"/>
          <w:szCs w:val="18"/>
        </w:rPr>
      </w:pPr>
    </w:p>
    <w:p w14:paraId="53D6EBA0" w14:textId="77777777">
      <w:pPr>
        <w:pStyle w:val="BodyText"/>
      </w:pPr>
      <w:r>
        <w:t xml:space="preserve">Uma vez que o presente documento não é exaustivo, algumas decisões pertinentes podem não ser incluídas.</w:t>
      </w:r>
    </w:p>
    <w:p w14:paraId="771A43E5" w14:textId="77777777">
      <w:pPr>
        <w:pStyle w:val="BodyText"/>
      </w:pPr>
    </w:p>
    <w:p w14:paraId="45186CE0" w14:textId="45ABA22D">
      <w:pPr>
        <w:pStyle w:val="BodyText"/>
      </w:pPr>
      <w:r>
        <w:t xml:space="preserve">Os acórdãos são apresentados por ordem cronológica e o documento está estruturado em quatro partes:</w:t>
      </w:r>
    </w:p>
    <w:p w14:paraId="267A7D41" w14:textId="77777777">
      <w:pPr>
        <w:pStyle w:val="P68B1DB1-Normal4"/>
        <w:spacing w:after="0" w:line="278" w:lineRule="auto"/>
        <w:rPr>
          <w:rFonts w:ascii="Times New Roman" w:hAnsi="Times New Roman" w:cs="Times New Roman"/>
        </w:rPr>
      </w:pPr>
      <w:bookmarkStart w:id="0" w:name="_Hlk194503326"/>
    </w:p>
    <w:p w14:paraId="7D859DD3" w14:textId="68537153">
      <w:pPr>
        <w:pStyle w:val="P68B1DB1-TOC12"/>
        <w:tabs>
          <w:tab w:val="left" w:pos="440"/>
          <w:tab w:val="right" w:leader="dot" w:pos="9016"/>
        </w:tabs>
        <w:rPr>
          <w:rFonts w:eastAsiaTheme="minorEastAsia"/>
          <w:b w:val="0"/>
          <w:bCs w:val="0"/>
          <w:caps w:val="0"/>
          <w:kern w:val="2"/>
          <w:sz w:val="24"/>
          <w:szCs w:val="24"/>
          <w14:ligatures w14:val="standardContextual"/>
        </w:rPr>
      </w:pPr>
      <w:r>
        <w:fldChar w:fldCharType="begin"/>
      </w:r>
      <w:r>
        <w:rPr>
          <w:rFonts w:ascii="Times New Roman" w:hAnsi="Times New Roman" w:cs="Times New Roman"/>
        </w:rPr>
        <w:instrText xml:space="preserve"> TOC \o "2-2" \h \z \t "Heading 1,1" </w:instrText>
      </w:r>
      <w:r>
        <w:rPr>
          <w:rFonts w:ascii="Times New Roman" w:hAnsi="Times New Roman" w:cs="Times New Roman"/>
        </w:rPr>
        <w:fldChar w:fldCharType="separate"/>
      </w:r>
      <w:hyperlink w:anchor="_Toc203035665" w:history="1">
        <w:r>
          <w:rPr>
            <w:rStyle w:val="Hyperlink"/>
          </w:rPr>
          <w:t>I.</w:t>
        </w:r>
        <w:r>
          <w:rPr>
            <w:rFonts w:eastAsiaTheme="minorEastAsia"/>
            <w:b w:val="0"/>
            <w:bCs w:val="0"/>
            <w:caps w:val="0"/>
            <w:kern w:val="2"/>
            <w:sz w:val="24"/>
            <w:szCs w:val="24"/>
            <w14:ligatures w14:val="standardContextual"/>
          </w:rPr>
          <w:tab/>
        </w:r>
        <w:r>
          <w:rPr>
            <w:rStyle w:val="Hyperlink"/>
          </w:rPr>
          <w:t>Classification as Technical Regulation</w:t>
        </w:r>
        <w:r>
          <w:rPr>
            <w:webHidden/>
          </w:rPr>
          <w:tab/>
        </w:r>
        <w:r>
          <w:rPr>
            <w:webHidden/>
          </w:rPr>
          <w:fldChar w:fldCharType="begin"/>
        </w:r>
        <w:r>
          <w:rPr>
            <w:webHidden/>
          </w:rPr>
          <w:instrText xml:space="preserve"> PAGEREF _Toc203035665 \h </w:instrText>
        </w:r>
        <w:r>
          <w:rPr>
            <w:webHidden/>
          </w:rPr>
        </w:r>
        <w:r>
          <w:rPr>
            <w:webHidden/>
          </w:rPr>
          <w:fldChar w:fldCharType="separate"/>
        </w:r>
        <w:r>
          <w:rPr>
            <w:webHidden/>
          </w:rPr>
          <w:t>4</w:t>
        </w:r>
        <w:r>
          <w:rPr>
            <w:webHidden/>
          </w:rPr>
          <w:fldChar w:fldCharType="end"/>
        </w:r>
      </w:hyperlink>
    </w:p>
    <w:p w14:paraId="0A04A47D" w14:textId="2BCBBFA9">
      <w:pPr>
        <w:pStyle w:val="TOC2"/>
        <w:tabs>
          <w:tab w:val="left" w:pos="660"/>
          <w:tab w:val="right" w:leader="dot" w:pos="9016"/>
        </w:tabs>
        <w:rPr>
          <w:rFonts w:eastAsiaTheme="minorEastAsia"/>
          <w:smallCaps w:val="0"/>
          <w:kern w:val="2"/>
          <w:sz w:val="24"/>
          <w:szCs w:val="24"/>
          <w14:ligatures w14:val="standardContextual"/>
        </w:rPr>
      </w:pPr>
      <w:hyperlink w:anchor="_Toc203035666" w:history="1">
        <w:r>
          <w:rPr>
            <w:rStyle w:val="Hyperlink"/>
            <w:bCs/>
          </w:rPr>
          <w:t>a.</w:t>
        </w:r>
        <w:r>
          <w:rPr>
            <w:rFonts w:eastAsiaTheme="minorEastAsia"/>
            <w:smallCaps w:val="0"/>
            <w:kern w:val="2"/>
            <w:sz w:val="24"/>
            <w:szCs w:val="24"/>
            <w14:ligatures w14:val="standardContextual"/>
          </w:rPr>
          <w:tab/>
        </w:r>
        <w:r>
          <w:rPr>
            <w:rStyle w:val="Hyperlink"/>
          </w:rPr>
          <w:t>Common Criteria for Technical Regulations</w:t>
        </w:r>
        <w:r>
          <w:rPr>
            <w:webHidden/>
          </w:rPr>
          <w:tab/>
        </w:r>
        <w:r>
          <w:rPr>
            <w:webHidden/>
          </w:rPr>
          <w:fldChar w:fldCharType="begin"/>
        </w:r>
        <w:r>
          <w:rPr>
            <w:webHidden/>
          </w:rPr>
          <w:instrText xml:space="preserve"> PAGEREF _Toc203035666 \h </w:instrText>
        </w:r>
        <w:r>
          <w:rPr>
            <w:webHidden/>
          </w:rPr>
        </w:r>
        <w:r>
          <w:rPr>
            <w:webHidden/>
          </w:rPr>
          <w:fldChar w:fldCharType="separate"/>
        </w:r>
        <w:r>
          <w:rPr>
            <w:webHidden/>
          </w:rPr>
          <w:t>4</w:t>
        </w:r>
        <w:r>
          <w:rPr>
            <w:webHidden/>
          </w:rPr>
          <w:fldChar w:fldCharType="end"/>
        </w:r>
      </w:hyperlink>
    </w:p>
    <w:p w14:paraId="6F26F433" w14:textId="185E7FA5">
      <w:pPr>
        <w:pStyle w:val="TOC2"/>
        <w:tabs>
          <w:tab w:val="left" w:pos="660"/>
          <w:tab w:val="right" w:leader="dot" w:pos="9016"/>
        </w:tabs>
        <w:rPr>
          <w:rFonts w:eastAsiaTheme="minorEastAsia"/>
          <w:smallCaps w:val="0"/>
          <w:kern w:val="2"/>
          <w:sz w:val="24"/>
          <w:szCs w:val="24"/>
          <w14:ligatures w14:val="standardContextual"/>
        </w:rPr>
      </w:pPr>
      <w:hyperlink w:anchor="_Toc203035667" w:history="1">
        <w:r>
          <w:rPr>
            <w:rStyle w:val="Hyperlink"/>
            <w:bCs/>
          </w:rPr>
          <w:t>b.</w:t>
        </w:r>
        <w:r>
          <w:rPr>
            <w:rFonts w:eastAsiaTheme="minorEastAsia"/>
            <w:smallCaps w:val="0"/>
            <w:kern w:val="2"/>
            <w:sz w:val="24"/>
            <w:szCs w:val="24"/>
            <w14:ligatures w14:val="standardContextual"/>
          </w:rPr>
          <w:tab/>
        </w:r>
        <w:r>
          <w:rPr>
            <w:rStyle w:val="Hyperlink"/>
          </w:rPr>
          <w:t>Technical Specifications</w:t>
        </w:r>
        <w:r>
          <w:rPr>
            <w:webHidden/>
          </w:rPr>
          <w:tab/>
        </w:r>
        <w:r>
          <w:rPr>
            <w:webHidden/>
          </w:rPr>
          <w:fldChar w:fldCharType="begin"/>
        </w:r>
        <w:r>
          <w:rPr>
            <w:webHidden/>
          </w:rPr>
          <w:instrText xml:space="preserve"> PAGEREF _Toc203035667 \h </w:instrText>
        </w:r>
        <w:r>
          <w:rPr>
            <w:webHidden/>
          </w:rPr>
        </w:r>
        <w:r>
          <w:rPr>
            <w:webHidden/>
          </w:rPr>
          <w:fldChar w:fldCharType="separate"/>
        </w:r>
        <w:r>
          <w:rPr>
            <w:webHidden/>
          </w:rPr>
          <w:t>6</w:t>
        </w:r>
        <w:r>
          <w:rPr>
            <w:webHidden/>
          </w:rPr>
          <w:fldChar w:fldCharType="end"/>
        </w:r>
      </w:hyperlink>
    </w:p>
    <w:p w14:paraId="4473297C" w14:textId="5097F959">
      <w:pPr>
        <w:pStyle w:val="TOC2"/>
        <w:tabs>
          <w:tab w:val="left" w:pos="660"/>
          <w:tab w:val="right" w:leader="dot" w:pos="9016"/>
        </w:tabs>
        <w:rPr>
          <w:rFonts w:eastAsiaTheme="minorEastAsia"/>
          <w:smallCaps w:val="0"/>
          <w:kern w:val="2"/>
          <w:sz w:val="24"/>
          <w:szCs w:val="24"/>
          <w14:ligatures w14:val="standardContextual"/>
        </w:rPr>
      </w:pPr>
      <w:hyperlink w:anchor="_Toc203035668" w:history="1">
        <w:r>
          <w:rPr>
            <w:rStyle w:val="Hyperlink"/>
            <w:bCs/>
          </w:rPr>
          <w:t>c.</w:t>
        </w:r>
        <w:r>
          <w:rPr>
            <w:rFonts w:eastAsiaTheme="minorEastAsia"/>
            <w:smallCaps w:val="0"/>
            <w:kern w:val="2"/>
            <w:sz w:val="24"/>
            <w:szCs w:val="24"/>
            <w14:ligatures w14:val="standardContextual"/>
          </w:rPr>
          <w:tab/>
        </w:r>
        <w:r>
          <w:rPr>
            <w:rStyle w:val="Hyperlink"/>
          </w:rPr>
          <w:t>Other Requirements</w:t>
        </w:r>
        <w:r>
          <w:rPr>
            <w:webHidden/>
          </w:rPr>
          <w:tab/>
        </w:r>
        <w:r>
          <w:rPr>
            <w:webHidden/>
          </w:rPr>
          <w:fldChar w:fldCharType="begin"/>
        </w:r>
        <w:r>
          <w:rPr>
            <w:webHidden/>
          </w:rPr>
          <w:instrText xml:space="preserve"> PAGEREF _Toc203035668 \h </w:instrText>
        </w:r>
        <w:r>
          <w:rPr>
            <w:webHidden/>
          </w:rPr>
        </w:r>
        <w:r>
          <w:rPr>
            <w:webHidden/>
          </w:rPr>
          <w:fldChar w:fldCharType="separate"/>
        </w:r>
        <w:r>
          <w:rPr>
            <w:webHidden/>
          </w:rPr>
          <w:t>14</w:t>
        </w:r>
        <w:r>
          <w:rPr>
            <w:webHidden/>
          </w:rPr>
          <w:fldChar w:fldCharType="end"/>
        </w:r>
      </w:hyperlink>
    </w:p>
    <w:p w14:paraId="110B55B0" w14:textId="4A4EB9AB">
      <w:pPr>
        <w:pStyle w:val="TOC2"/>
        <w:tabs>
          <w:tab w:val="left" w:pos="660"/>
          <w:tab w:val="right" w:leader="dot" w:pos="9016"/>
        </w:tabs>
        <w:rPr>
          <w:rFonts w:eastAsiaTheme="minorEastAsia"/>
          <w:smallCaps w:val="0"/>
          <w:kern w:val="2"/>
          <w:sz w:val="24"/>
          <w:szCs w:val="24"/>
          <w14:ligatures w14:val="standardContextual"/>
        </w:rPr>
      </w:pPr>
      <w:hyperlink w:anchor="_Toc203035669" w:history="1">
        <w:r>
          <w:rPr>
            <w:rStyle w:val="Hyperlink"/>
            <w:bCs/>
          </w:rPr>
          <w:t>d.</w:t>
        </w:r>
        <w:r>
          <w:rPr>
            <w:rFonts w:eastAsiaTheme="minorEastAsia"/>
            <w:smallCaps w:val="0"/>
            <w:kern w:val="2"/>
            <w:sz w:val="24"/>
            <w:szCs w:val="24"/>
            <w14:ligatures w14:val="standardContextual"/>
          </w:rPr>
          <w:tab/>
        </w:r>
        <w:r>
          <w:rPr>
            <w:rStyle w:val="Hyperlink"/>
          </w:rPr>
          <w:t>Rules on Services</w:t>
        </w:r>
        <w:r>
          <w:rPr>
            <w:webHidden/>
          </w:rPr>
          <w:tab/>
        </w:r>
        <w:r>
          <w:rPr>
            <w:webHidden/>
          </w:rPr>
          <w:fldChar w:fldCharType="begin"/>
        </w:r>
        <w:r>
          <w:rPr>
            <w:webHidden/>
          </w:rPr>
          <w:instrText xml:space="preserve"> PAGEREF _Toc203035669 \h </w:instrText>
        </w:r>
        <w:r>
          <w:rPr>
            <w:webHidden/>
          </w:rPr>
        </w:r>
        <w:r>
          <w:rPr>
            <w:webHidden/>
          </w:rPr>
          <w:fldChar w:fldCharType="separate"/>
        </w:r>
        <w:r>
          <w:rPr>
            <w:webHidden/>
          </w:rPr>
          <w:t>21</w:t>
        </w:r>
        <w:r>
          <w:rPr>
            <w:webHidden/>
          </w:rPr>
          <w:fldChar w:fldCharType="end"/>
        </w:r>
      </w:hyperlink>
    </w:p>
    <w:p w14:paraId="7AE2FA08" w14:textId="1FC0EAA8">
      <w:pPr>
        <w:pStyle w:val="TOC2"/>
        <w:tabs>
          <w:tab w:val="left" w:pos="660"/>
          <w:tab w:val="right" w:leader="dot" w:pos="9016"/>
        </w:tabs>
        <w:rPr>
          <w:rFonts w:eastAsiaTheme="minorEastAsia"/>
          <w:smallCaps w:val="0"/>
          <w:kern w:val="2"/>
          <w:sz w:val="24"/>
          <w:szCs w:val="24"/>
          <w14:ligatures w14:val="standardContextual"/>
        </w:rPr>
      </w:pPr>
      <w:hyperlink w:anchor="_Toc203035670" w:history="1">
        <w:r>
          <w:rPr>
            <w:rStyle w:val="Hyperlink"/>
            <w:bCs/>
          </w:rPr>
          <w:t>e.</w:t>
        </w:r>
        <w:r>
          <w:rPr>
            <w:rFonts w:eastAsiaTheme="minorEastAsia"/>
            <w:smallCaps w:val="0"/>
            <w:kern w:val="2"/>
            <w:sz w:val="24"/>
            <w:szCs w:val="24"/>
            <w14:ligatures w14:val="standardContextual"/>
          </w:rPr>
          <w:tab/>
        </w:r>
        <w:r>
          <w:rPr>
            <w:rStyle w:val="Hyperlink"/>
          </w:rPr>
          <w:t>Prohibition Provisions</w:t>
        </w:r>
        <w:r>
          <w:rPr>
            <w:webHidden/>
          </w:rPr>
          <w:tab/>
        </w:r>
        <w:r>
          <w:rPr>
            <w:webHidden/>
          </w:rPr>
          <w:fldChar w:fldCharType="begin"/>
        </w:r>
        <w:r>
          <w:rPr>
            <w:webHidden/>
          </w:rPr>
          <w:instrText xml:space="preserve"> PAGEREF _Toc203035670 \h </w:instrText>
        </w:r>
        <w:r>
          <w:rPr>
            <w:webHidden/>
          </w:rPr>
        </w:r>
        <w:r>
          <w:rPr>
            <w:webHidden/>
          </w:rPr>
          <w:fldChar w:fldCharType="separate"/>
        </w:r>
        <w:r>
          <w:rPr>
            <w:webHidden/>
          </w:rPr>
          <w:t>31</w:t>
        </w:r>
        <w:r>
          <w:rPr>
            <w:webHidden/>
          </w:rPr>
          <w:fldChar w:fldCharType="end"/>
        </w:r>
      </w:hyperlink>
    </w:p>
    <w:p w14:paraId="709EEE7A" w14:textId="670F7D1D">
      <w:pPr>
        <w:pStyle w:val="TOC2"/>
        <w:tabs>
          <w:tab w:val="left" w:pos="660"/>
          <w:tab w:val="right" w:leader="dot" w:pos="9016"/>
        </w:tabs>
        <w:rPr>
          <w:rFonts w:eastAsiaTheme="minorEastAsia"/>
          <w:smallCaps w:val="0"/>
          <w:kern w:val="2"/>
          <w:sz w:val="24"/>
          <w:szCs w:val="24"/>
          <w14:ligatures w14:val="standardContextual"/>
        </w:rPr>
      </w:pPr>
      <w:hyperlink w:anchor="_Toc203035671" w:history="1">
        <w:r>
          <w:rPr>
            <w:rStyle w:val="Hyperlink"/>
            <w:bCs/>
          </w:rPr>
          <w:t>f.</w:t>
        </w:r>
        <w:r>
          <w:rPr>
            <w:rFonts w:eastAsiaTheme="minorEastAsia"/>
            <w:smallCaps w:val="0"/>
            <w:kern w:val="2"/>
            <w:sz w:val="24"/>
            <w:szCs w:val="24"/>
            <w14:ligatures w14:val="standardContextual"/>
          </w:rPr>
          <w:tab/>
        </w:r>
        <w:r>
          <w:rPr>
            <w:rStyle w:val="Hyperlink"/>
          </w:rPr>
          <w:t>De Facto Technical Regulations</w:t>
        </w:r>
        <w:r>
          <w:rPr>
            <w:webHidden/>
          </w:rPr>
          <w:tab/>
        </w:r>
        <w:r>
          <w:rPr>
            <w:webHidden/>
          </w:rPr>
          <w:fldChar w:fldCharType="begin"/>
        </w:r>
        <w:r>
          <w:rPr>
            <w:webHidden/>
          </w:rPr>
          <w:instrText xml:space="preserve"> PAGEREF _Toc203035671 \h </w:instrText>
        </w:r>
        <w:r>
          <w:rPr>
            <w:webHidden/>
          </w:rPr>
        </w:r>
        <w:r>
          <w:rPr>
            <w:webHidden/>
          </w:rPr>
          <w:fldChar w:fldCharType="separate"/>
        </w:r>
        <w:r>
          <w:rPr>
            <w:webHidden/>
          </w:rPr>
          <w:t>34</w:t>
        </w:r>
        <w:r>
          <w:rPr>
            <w:webHidden/>
          </w:rPr>
          <w:fldChar w:fldCharType="end"/>
        </w:r>
      </w:hyperlink>
    </w:p>
    <w:p w14:paraId="1C2FBBFA" w14:textId="2ED58CFC">
      <w:pPr>
        <w:pStyle w:val="TOC2"/>
        <w:tabs>
          <w:tab w:val="left" w:pos="660"/>
          <w:tab w:val="right" w:leader="dot" w:pos="9016"/>
        </w:tabs>
        <w:rPr>
          <w:rFonts w:eastAsiaTheme="minorEastAsia"/>
          <w:smallCaps w:val="0"/>
          <w:kern w:val="2"/>
          <w:sz w:val="24"/>
          <w:szCs w:val="24"/>
          <w14:ligatures w14:val="standardContextual"/>
        </w:rPr>
      </w:pPr>
      <w:hyperlink w:anchor="_Toc203035672" w:history="1">
        <w:r>
          <w:rPr>
            <w:rStyle w:val="Hyperlink"/>
            <w:bCs/>
          </w:rPr>
          <w:t>g.</w:t>
        </w:r>
        <w:r>
          <w:rPr>
            <w:rFonts w:eastAsiaTheme="minorEastAsia"/>
            <w:smallCaps w:val="0"/>
            <w:kern w:val="2"/>
            <w:sz w:val="24"/>
            <w:szCs w:val="24"/>
            <w14:ligatures w14:val="standardContextual"/>
          </w:rPr>
          <w:tab/>
        </w:r>
        <w:r>
          <w:rPr>
            <w:rStyle w:val="Hyperlink"/>
          </w:rPr>
          <w:t>Excluded Matters</w:t>
        </w:r>
        <w:r>
          <w:rPr>
            <w:webHidden/>
          </w:rPr>
          <w:tab/>
        </w:r>
        <w:r>
          <w:rPr>
            <w:webHidden/>
          </w:rPr>
          <w:fldChar w:fldCharType="begin"/>
        </w:r>
        <w:r>
          <w:rPr>
            <w:webHidden/>
          </w:rPr>
          <w:instrText xml:space="preserve"> PAGEREF _Toc203035672 \h </w:instrText>
        </w:r>
        <w:r>
          <w:rPr>
            <w:webHidden/>
          </w:rPr>
        </w:r>
        <w:r>
          <w:rPr>
            <w:webHidden/>
          </w:rPr>
          <w:fldChar w:fldCharType="separate"/>
        </w:r>
        <w:r>
          <w:rPr>
            <w:webHidden/>
          </w:rPr>
          <w:t>37</w:t>
        </w:r>
        <w:r>
          <w:rPr>
            <w:webHidden/>
          </w:rPr>
          <w:fldChar w:fldCharType="end"/>
        </w:r>
      </w:hyperlink>
    </w:p>
    <w:p w14:paraId="6E4B30D2" w14:textId="492D7E3B">
      <w:pPr>
        <w:pStyle w:val="TOC1"/>
        <w:tabs>
          <w:tab w:val="left" w:pos="440"/>
          <w:tab w:val="right" w:leader="dot" w:pos="9016"/>
        </w:tabs>
        <w:rPr>
          <w:rFonts w:eastAsiaTheme="minorEastAsia"/>
          <w:b w:val="0"/>
          <w:bCs w:val="0"/>
          <w:caps w:val="0"/>
          <w:kern w:val="2"/>
          <w:sz w:val="24"/>
          <w:szCs w:val="24"/>
          <w14:ligatures w14:val="standardContextual"/>
        </w:rPr>
      </w:pPr>
      <w:hyperlink w:anchor="_Toc203035673" w:history="1">
        <w:r>
          <w:rPr>
            <w:rStyle w:val="Hyperlink"/>
          </w:rPr>
          <w:t>II.</w:t>
        </w:r>
        <w:r>
          <w:rPr>
            <w:rFonts w:eastAsiaTheme="minorEastAsia"/>
            <w:b w:val="0"/>
            <w:bCs w:val="0"/>
            <w:caps w:val="0"/>
            <w:kern w:val="2"/>
            <w:sz w:val="24"/>
            <w:szCs w:val="24"/>
            <w14:ligatures w14:val="standardContextual"/>
          </w:rPr>
          <w:tab/>
        </w:r>
        <w:r>
          <w:rPr>
            <w:rStyle w:val="Hyperlink"/>
          </w:rPr>
          <w:t>Notification Obligation</w:t>
        </w:r>
        <w:r>
          <w:rPr>
            <w:webHidden/>
          </w:rPr>
          <w:tab/>
        </w:r>
        <w:r>
          <w:rPr>
            <w:webHidden/>
          </w:rPr>
          <w:fldChar w:fldCharType="begin"/>
        </w:r>
        <w:r>
          <w:rPr>
            <w:webHidden/>
          </w:rPr>
          <w:instrText xml:space="preserve"> PAGEREF _Toc203035673 \h </w:instrText>
        </w:r>
        <w:r>
          <w:rPr>
            <w:webHidden/>
          </w:rPr>
        </w:r>
        <w:r>
          <w:rPr>
            <w:webHidden/>
          </w:rPr>
          <w:fldChar w:fldCharType="separate"/>
        </w:r>
        <w:r>
          <w:rPr>
            <w:webHidden/>
          </w:rPr>
          <w:t>39</w:t>
        </w:r>
        <w:r>
          <w:rPr>
            <w:webHidden/>
          </w:rPr>
          <w:fldChar w:fldCharType="end"/>
        </w:r>
      </w:hyperlink>
    </w:p>
    <w:p w14:paraId="559CE1AC" w14:textId="73AB7DFD">
      <w:pPr>
        <w:pStyle w:val="TOC2"/>
        <w:tabs>
          <w:tab w:val="left" w:pos="660"/>
          <w:tab w:val="right" w:leader="dot" w:pos="9016"/>
        </w:tabs>
        <w:rPr>
          <w:rFonts w:eastAsiaTheme="minorEastAsia"/>
          <w:smallCaps w:val="0"/>
          <w:kern w:val="2"/>
          <w:sz w:val="24"/>
          <w:szCs w:val="24"/>
          <w14:ligatures w14:val="standardContextual"/>
        </w:rPr>
      </w:pPr>
      <w:hyperlink w:anchor="_Toc203035674" w:history="1">
        <w:r>
          <w:rPr>
            <w:rStyle w:val="Hyperlink"/>
            <w:bCs/>
          </w:rPr>
          <w:t>a.</w:t>
        </w:r>
        <w:r>
          <w:rPr>
            <w:rFonts w:eastAsiaTheme="minorEastAsia"/>
            <w:smallCaps w:val="0"/>
            <w:kern w:val="2"/>
            <w:sz w:val="24"/>
            <w:szCs w:val="24"/>
            <w14:ligatures w14:val="standardContextual"/>
          </w:rPr>
          <w:tab/>
        </w:r>
        <w:r>
          <w:rPr>
            <w:rStyle w:val="Hyperlink"/>
          </w:rPr>
          <w:t>Notification at the Draft Stage</w:t>
        </w:r>
        <w:r>
          <w:rPr>
            <w:webHidden/>
          </w:rPr>
          <w:tab/>
        </w:r>
        <w:r>
          <w:rPr>
            <w:webHidden/>
          </w:rPr>
          <w:fldChar w:fldCharType="begin"/>
        </w:r>
        <w:r>
          <w:rPr>
            <w:webHidden/>
          </w:rPr>
          <w:instrText xml:space="preserve"> PAGEREF _Toc203035674 \h </w:instrText>
        </w:r>
        <w:r>
          <w:rPr>
            <w:webHidden/>
          </w:rPr>
        </w:r>
        <w:r>
          <w:rPr>
            <w:webHidden/>
          </w:rPr>
          <w:fldChar w:fldCharType="separate"/>
        </w:r>
        <w:r>
          <w:rPr>
            <w:webHidden/>
          </w:rPr>
          <w:t>39</w:t>
        </w:r>
        <w:r>
          <w:rPr>
            <w:webHidden/>
          </w:rPr>
          <w:fldChar w:fldCharType="end"/>
        </w:r>
      </w:hyperlink>
    </w:p>
    <w:p w14:paraId="7E8A6736" w14:textId="71519B8A">
      <w:pPr>
        <w:pStyle w:val="TOC2"/>
        <w:tabs>
          <w:tab w:val="left" w:pos="660"/>
          <w:tab w:val="right" w:leader="dot" w:pos="9016"/>
        </w:tabs>
        <w:rPr>
          <w:rFonts w:eastAsiaTheme="minorEastAsia"/>
          <w:smallCaps w:val="0"/>
          <w:kern w:val="2"/>
          <w:sz w:val="24"/>
          <w:szCs w:val="24"/>
          <w14:ligatures w14:val="standardContextual"/>
        </w:rPr>
      </w:pPr>
      <w:hyperlink w:anchor="_Toc203035675" w:history="1">
        <w:r>
          <w:rPr>
            <w:rStyle w:val="Hyperlink"/>
            <w:bCs/>
          </w:rPr>
          <w:t>b.</w:t>
        </w:r>
        <w:r>
          <w:rPr>
            <w:rFonts w:eastAsiaTheme="minorEastAsia"/>
            <w:smallCaps w:val="0"/>
            <w:kern w:val="2"/>
            <w:sz w:val="24"/>
            <w:szCs w:val="24"/>
            <w14:ligatures w14:val="standardContextual"/>
          </w:rPr>
          <w:tab/>
        </w:r>
        <w:r>
          <w:rPr>
            <w:rStyle w:val="Hyperlink"/>
          </w:rPr>
          <w:t>Notifications of New Technical Regulations</w:t>
        </w:r>
        <w:r>
          <w:rPr>
            <w:webHidden/>
          </w:rPr>
          <w:tab/>
        </w:r>
        <w:r>
          <w:rPr>
            <w:webHidden/>
          </w:rPr>
          <w:fldChar w:fldCharType="begin"/>
        </w:r>
        <w:r>
          <w:rPr>
            <w:webHidden/>
          </w:rPr>
          <w:instrText xml:space="preserve"> PAGEREF _Toc203035675 \h </w:instrText>
        </w:r>
        <w:r>
          <w:rPr>
            <w:webHidden/>
          </w:rPr>
        </w:r>
        <w:r>
          <w:rPr>
            <w:webHidden/>
          </w:rPr>
          <w:fldChar w:fldCharType="separate"/>
        </w:r>
        <w:r>
          <w:rPr>
            <w:webHidden/>
          </w:rPr>
          <w:t>41</w:t>
        </w:r>
        <w:r>
          <w:rPr>
            <w:webHidden/>
          </w:rPr>
          <w:fldChar w:fldCharType="end"/>
        </w:r>
      </w:hyperlink>
    </w:p>
    <w:p w14:paraId="1EA679C1" w14:textId="584C8B1D">
      <w:pPr>
        <w:pStyle w:val="TOC2"/>
        <w:tabs>
          <w:tab w:val="left" w:pos="660"/>
          <w:tab w:val="right" w:leader="dot" w:pos="9016"/>
        </w:tabs>
        <w:rPr>
          <w:rFonts w:eastAsiaTheme="minorEastAsia"/>
          <w:smallCaps w:val="0"/>
          <w:kern w:val="2"/>
          <w:sz w:val="24"/>
          <w:szCs w:val="24"/>
          <w14:ligatures w14:val="standardContextual"/>
        </w:rPr>
      </w:pPr>
      <w:hyperlink w:anchor="_Toc203035676" w:history="1">
        <w:r>
          <w:rPr>
            <w:rStyle w:val="Hyperlink"/>
            <w:bCs/>
          </w:rPr>
          <w:t>c.</w:t>
        </w:r>
        <w:r>
          <w:rPr>
            <w:rFonts w:eastAsiaTheme="minorEastAsia"/>
            <w:smallCaps w:val="0"/>
            <w:kern w:val="2"/>
            <w:sz w:val="24"/>
            <w:szCs w:val="24"/>
            <w14:ligatures w14:val="standardContextual"/>
          </w:rPr>
          <w:tab/>
        </w:r>
        <w:r>
          <w:rPr>
            <w:rStyle w:val="Hyperlink"/>
          </w:rPr>
          <w:t>Notification of the Full Text</w:t>
        </w:r>
        <w:r>
          <w:rPr>
            <w:webHidden/>
          </w:rPr>
          <w:tab/>
        </w:r>
        <w:r>
          <w:rPr>
            <w:webHidden/>
          </w:rPr>
          <w:fldChar w:fldCharType="begin"/>
        </w:r>
        <w:r>
          <w:rPr>
            <w:webHidden/>
          </w:rPr>
          <w:instrText xml:space="preserve"> PAGEREF _Toc203035676 \h </w:instrText>
        </w:r>
        <w:r>
          <w:rPr>
            <w:webHidden/>
          </w:rPr>
        </w:r>
        <w:r>
          <w:rPr>
            <w:webHidden/>
          </w:rPr>
          <w:fldChar w:fldCharType="separate"/>
        </w:r>
        <w:r>
          <w:rPr>
            <w:webHidden/>
          </w:rPr>
          <w:t>43</w:t>
        </w:r>
        <w:r>
          <w:rPr>
            <w:webHidden/>
          </w:rPr>
          <w:fldChar w:fldCharType="end"/>
        </w:r>
      </w:hyperlink>
    </w:p>
    <w:p w14:paraId="7399B3C2" w14:textId="37BC6B70">
      <w:pPr>
        <w:pStyle w:val="TOC2"/>
        <w:tabs>
          <w:tab w:val="left" w:pos="660"/>
          <w:tab w:val="right" w:leader="dot" w:pos="9016"/>
        </w:tabs>
        <w:rPr>
          <w:rFonts w:eastAsiaTheme="minorEastAsia"/>
          <w:smallCaps w:val="0"/>
          <w:kern w:val="2"/>
          <w:sz w:val="24"/>
          <w:szCs w:val="24"/>
          <w14:ligatures w14:val="standardContextual"/>
        </w:rPr>
      </w:pPr>
      <w:hyperlink w:anchor="_Toc203035677" w:history="1">
        <w:r>
          <w:rPr>
            <w:rStyle w:val="Hyperlink"/>
            <w:bCs/>
          </w:rPr>
          <w:t>d.</w:t>
        </w:r>
        <w:r>
          <w:rPr>
            <w:rFonts w:eastAsiaTheme="minorEastAsia"/>
            <w:smallCaps w:val="0"/>
            <w:kern w:val="2"/>
            <w:sz w:val="24"/>
            <w:szCs w:val="24"/>
            <w14:ligatures w14:val="standardContextual"/>
          </w:rPr>
          <w:tab/>
        </w:r>
        <w:r>
          <w:rPr>
            <w:rStyle w:val="Hyperlink"/>
          </w:rPr>
          <w:t>Notification of Concerned Basic Provisions</w:t>
        </w:r>
        <w:r>
          <w:rPr>
            <w:webHidden/>
          </w:rPr>
          <w:tab/>
        </w:r>
        <w:r>
          <w:rPr>
            <w:webHidden/>
          </w:rPr>
          <w:fldChar w:fldCharType="begin"/>
        </w:r>
        <w:r>
          <w:rPr>
            <w:webHidden/>
          </w:rPr>
          <w:instrText xml:space="preserve"> PAGEREF _Toc203035677 \h </w:instrText>
        </w:r>
        <w:r>
          <w:rPr>
            <w:webHidden/>
          </w:rPr>
        </w:r>
        <w:r>
          <w:rPr>
            <w:webHidden/>
          </w:rPr>
          <w:fldChar w:fldCharType="separate"/>
        </w:r>
        <w:r>
          <w:rPr>
            <w:webHidden/>
          </w:rPr>
          <w:t>44</w:t>
        </w:r>
        <w:r>
          <w:rPr>
            <w:webHidden/>
          </w:rPr>
          <w:fldChar w:fldCharType="end"/>
        </w:r>
      </w:hyperlink>
    </w:p>
    <w:p w14:paraId="6A9200BA" w14:textId="09F270C1">
      <w:pPr>
        <w:pStyle w:val="TOC2"/>
        <w:tabs>
          <w:tab w:val="left" w:pos="660"/>
          <w:tab w:val="right" w:leader="dot" w:pos="9016"/>
        </w:tabs>
        <w:rPr>
          <w:rFonts w:eastAsiaTheme="minorEastAsia"/>
          <w:smallCaps w:val="0"/>
          <w:kern w:val="2"/>
          <w:sz w:val="24"/>
          <w:szCs w:val="24"/>
          <w14:ligatures w14:val="standardContextual"/>
        </w:rPr>
      </w:pPr>
      <w:hyperlink w:anchor="_Toc203035678" w:history="1">
        <w:r>
          <w:rPr>
            <w:rStyle w:val="Hyperlink"/>
            <w:bCs/>
          </w:rPr>
          <w:t>e.</w:t>
        </w:r>
        <w:r>
          <w:rPr>
            <w:rFonts w:eastAsiaTheme="minorEastAsia"/>
            <w:smallCaps w:val="0"/>
            <w:kern w:val="2"/>
            <w:sz w:val="24"/>
            <w:szCs w:val="24"/>
            <w14:ligatures w14:val="standardContextual"/>
          </w:rPr>
          <w:tab/>
        </w:r>
        <w:r>
          <w:rPr>
            <w:rStyle w:val="Hyperlink"/>
          </w:rPr>
          <w:t>Re-Notification During the Standstill Period</w:t>
        </w:r>
        <w:r>
          <w:rPr>
            <w:webHidden/>
          </w:rPr>
          <w:tab/>
        </w:r>
        <w:r>
          <w:rPr>
            <w:webHidden/>
          </w:rPr>
          <w:fldChar w:fldCharType="begin"/>
        </w:r>
        <w:r>
          <w:rPr>
            <w:webHidden/>
          </w:rPr>
          <w:instrText xml:space="preserve"> PAGEREF _Toc203035678 \h </w:instrText>
        </w:r>
        <w:r>
          <w:rPr>
            <w:webHidden/>
          </w:rPr>
        </w:r>
        <w:r>
          <w:rPr>
            <w:webHidden/>
          </w:rPr>
          <w:fldChar w:fldCharType="separate"/>
        </w:r>
        <w:r>
          <w:rPr>
            <w:webHidden/>
          </w:rPr>
          <w:t>45</w:t>
        </w:r>
        <w:r>
          <w:rPr>
            <w:webHidden/>
          </w:rPr>
          <w:fldChar w:fldCharType="end"/>
        </w:r>
      </w:hyperlink>
    </w:p>
    <w:p w14:paraId="7E32C518" w14:textId="7B625DD7">
      <w:pPr>
        <w:pStyle w:val="TOC1"/>
        <w:tabs>
          <w:tab w:val="left" w:pos="660"/>
          <w:tab w:val="right" w:leader="dot" w:pos="9016"/>
        </w:tabs>
        <w:rPr>
          <w:rFonts w:eastAsiaTheme="minorEastAsia"/>
          <w:b w:val="0"/>
          <w:bCs w:val="0"/>
          <w:caps w:val="0"/>
          <w:kern w:val="2"/>
          <w:sz w:val="24"/>
          <w:szCs w:val="24"/>
          <w14:ligatures w14:val="standardContextual"/>
        </w:rPr>
      </w:pPr>
      <w:hyperlink w:anchor="_Toc203035679" w:history="1">
        <w:r>
          <w:rPr>
            <w:rStyle w:val="Hyperlink"/>
          </w:rPr>
          <w:t>III.</w:t>
        </w:r>
        <w:r>
          <w:rPr>
            <w:rFonts w:eastAsiaTheme="minorEastAsia"/>
            <w:b w:val="0"/>
            <w:bCs w:val="0"/>
            <w:caps w:val="0"/>
            <w:kern w:val="2"/>
            <w:sz w:val="24"/>
            <w:szCs w:val="24"/>
            <w14:ligatures w14:val="standardContextual"/>
          </w:rPr>
          <w:tab/>
        </w:r>
        <w:r>
          <w:rPr>
            <w:rStyle w:val="Hyperlink"/>
          </w:rPr>
          <w:t>Exceptions to the Obligation to Notify</w:t>
        </w:r>
        <w:r>
          <w:rPr>
            <w:webHidden/>
          </w:rPr>
          <w:tab/>
        </w:r>
        <w:r>
          <w:rPr>
            <w:webHidden/>
          </w:rPr>
          <w:fldChar w:fldCharType="begin"/>
        </w:r>
        <w:r>
          <w:rPr>
            <w:webHidden/>
          </w:rPr>
          <w:instrText xml:space="preserve"> PAGEREF _Toc203035679 \h </w:instrText>
        </w:r>
        <w:r>
          <w:rPr>
            <w:webHidden/>
          </w:rPr>
        </w:r>
        <w:r>
          <w:rPr>
            <w:webHidden/>
          </w:rPr>
          <w:fldChar w:fldCharType="separate"/>
        </w:r>
        <w:r>
          <w:rPr>
            <w:webHidden/>
          </w:rPr>
          <w:t>47</w:t>
        </w:r>
        <w:r>
          <w:rPr>
            <w:webHidden/>
          </w:rPr>
          <w:fldChar w:fldCharType="end"/>
        </w:r>
      </w:hyperlink>
    </w:p>
    <w:p w14:paraId="7CC02EA3" w14:textId="01C3FBA0">
      <w:pPr>
        <w:pStyle w:val="TOC2"/>
        <w:tabs>
          <w:tab w:val="left" w:pos="660"/>
          <w:tab w:val="right" w:leader="dot" w:pos="9016"/>
        </w:tabs>
        <w:rPr>
          <w:rFonts w:eastAsiaTheme="minorEastAsia"/>
          <w:smallCaps w:val="0"/>
          <w:kern w:val="2"/>
          <w:sz w:val="24"/>
          <w:szCs w:val="24"/>
          <w14:ligatures w14:val="standardContextual"/>
        </w:rPr>
      </w:pPr>
      <w:hyperlink w:anchor="_Toc203035680" w:history="1">
        <w:r>
          <w:rPr>
            <w:rStyle w:val="Hyperlink"/>
            <w:bCs/>
          </w:rPr>
          <w:t>a.</w:t>
        </w:r>
        <w:r>
          <w:rPr>
            <w:rFonts w:eastAsiaTheme="minorEastAsia"/>
            <w:smallCaps w:val="0"/>
            <w:kern w:val="2"/>
            <w:sz w:val="24"/>
            <w:szCs w:val="24"/>
            <w14:ligatures w14:val="standardContextual"/>
          </w:rPr>
          <w:tab/>
        </w:r>
        <w:r>
          <w:rPr>
            <w:rStyle w:val="Hyperlink"/>
          </w:rPr>
          <w:t>Transposition of a European Act</w:t>
        </w:r>
        <w:r>
          <w:rPr>
            <w:webHidden/>
          </w:rPr>
          <w:tab/>
        </w:r>
        <w:r>
          <w:rPr>
            <w:webHidden/>
          </w:rPr>
          <w:fldChar w:fldCharType="begin"/>
        </w:r>
        <w:r>
          <w:rPr>
            <w:webHidden/>
          </w:rPr>
          <w:instrText xml:space="preserve"> PAGEREF _Toc203035680 \h </w:instrText>
        </w:r>
        <w:r>
          <w:rPr>
            <w:webHidden/>
          </w:rPr>
        </w:r>
        <w:r>
          <w:rPr>
            <w:webHidden/>
          </w:rPr>
          <w:fldChar w:fldCharType="separate"/>
        </w:r>
        <w:r>
          <w:rPr>
            <w:webHidden/>
          </w:rPr>
          <w:t>47</w:t>
        </w:r>
        <w:r>
          <w:rPr>
            <w:webHidden/>
          </w:rPr>
          <w:fldChar w:fldCharType="end"/>
        </w:r>
      </w:hyperlink>
    </w:p>
    <w:p w14:paraId="73CA2C68" w14:textId="27F826B4">
      <w:pPr>
        <w:pStyle w:val="TOC2"/>
        <w:tabs>
          <w:tab w:val="left" w:pos="660"/>
          <w:tab w:val="right" w:leader="dot" w:pos="9016"/>
        </w:tabs>
        <w:rPr>
          <w:rFonts w:eastAsiaTheme="minorEastAsia"/>
          <w:smallCaps w:val="0"/>
          <w:kern w:val="2"/>
          <w:sz w:val="24"/>
          <w:szCs w:val="24"/>
          <w14:ligatures w14:val="standardContextual"/>
        </w:rPr>
      </w:pPr>
      <w:hyperlink w:anchor="_Toc203035681" w:history="1">
        <w:r>
          <w:rPr>
            <w:rStyle w:val="Hyperlink"/>
            <w:bCs/>
          </w:rPr>
          <w:t>b.</w:t>
        </w:r>
        <w:r>
          <w:rPr>
            <w:rFonts w:eastAsiaTheme="minorEastAsia"/>
            <w:smallCaps w:val="0"/>
            <w:kern w:val="2"/>
            <w:sz w:val="24"/>
            <w:szCs w:val="24"/>
            <w14:ligatures w14:val="standardContextual"/>
          </w:rPr>
          <w:tab/>
        </w:r>
        <w:r>
          <w:rPr>
            <w:rStyle w:val="Hyperlink"/>
          </w:rPr>
          <w:t>Use of a Safeguard Clause</w:t>
        </w:r>
        <w:r>
          <w:rPr>
            <w:webHidden/>
          </w:rPr>
          <w:tab/>
        </w:r>
        <w:r>
          <w:rPr>
            <w:webHidden/>
          </w:rPr>
          <w:fldChar w:fldCharType="begin"/>
        </w:r>
        <w:r>
          <w:rPr>
            <w:webHidden/>
          </w:rPr>
          <w:instrText xml:space="preserve"> PAGEREF _Toc203035681 \h </w:instrText>
        </w:r>
        <w:r>
          <w:rPr>
            <w:webHidden/>
          </w:rPr>
        </w:r>
        <w:r>
          <w:rPr>
            <w:webHidden/>
          </w:rPr>
          <w:fldChar w:fldCharType="separate"/>
        </w:r>
        <w:r>
          <w:rPr>
            <w:webHidden/>
          </w:rPr>
          <w:t>49</w:t>
        </w:r>
        <w:r>
          <w:rPr>
            <w:webHidden/>
          </w:rPr>
          <w:fldChar w:fldCharType="end"/>
        </w:r>
      </w:hyperlink>
    </w:p>
    <w:p w14:paraId="2E16821A" w14:textId="37A0CCE7">
      <w:pPr>
        <w:pStyle w:val="TOC2"/>
        <w:tabs>
          <w:tab w:val="left" w:pos="660"/>
          <w:tab w:val="right" w:leader="dot" w:pos="9016"/>
        </w:tabs>
        <w:rPr>
          <w:rFonts w:eastAsiaTheme="minorEastAsia"/>
          <w:smallCaps w:val="0"/>
          <w:kern w:val="2"/>
          <w:sz w:val="24"/>
          <w:szCs w:val="24"/>
          <w14:ligatures w14:val="standardContextual"/>
        </w:rPr>
      </w:pPr>
      <w:hyperlink w:anchor="_Toc203035682" w:history="1">
        <w:r>
          <w:rPr>
            <w:rStyle w:val="Hyperlink"/>
            <w:bCs/>
          </w:rPr>
          <w:t>c.</w:t>
        </w:r>
        <w:r>
          <w:rPr>
            <w:rFonts w:eastAsiaTheme="minorEastAsia"/>
            <w:smallCaps w:val="0"/>
            <w:kern w:val="2"/>
            <w:sz w:val="24"/>
            <w:szCs w:val="24"/>
            <w14:ligatures w14:val="standardContextual"/>
          </w:rPr>
          <w:tab/>
        </w:r>
        <w:r>
          <w:rPr>
            <w:rStyle w:val="Hyperlink"/>
          </w:rPr>
          <w:t>Amendment in Accordance with a Commission Request</w:t>
        </w:r>
        <w:r>
          <w:rPr>
            <w:webHidden/>
          </w:rPr>
          <w:tab/>
        </w:r>
        <w:r>
          <w:rPr>
            <w:webHidden/>
          </w:rPr>
          <w:fldChar w:fldCharType="begin"/>
        </w:r>
        <w:r>
          <w:rPr>
            <w:webHidden/>
          </w:rPr>
          <w:instrText xml:space="preserve"> PAGEREF _Toc203035682 \h </w:instrText>
        </w:r>
        <w:r>
          <w:rPr>
            <w:webHidden/>
          </w:rPr>
        </w:r>
        <w:r>
          <w:rPr>
            <w:webHidden/>
          </w:rPr>
          <w:fldChar w:fldCharType="separate"/>
        </w:r>
        <w:r>
          <w:rPr>
            <w:webHidden/>
          </w:rPr>
          <w:t>51</w:t>
        </w:r>
        <w:r>
          <w:rPr>
            <w:webHidden/>
          </w:rPr>
          <w:fldChar w:fldCharType="end"/>
        </w:r>
      </w:hyperlink>
    </w:p>
    <w:p w14:paraId="3089DDB6" w14:textId="5A964DBB">
      <w:pPr>
        <w:pStyle w:val="TOC2"/>
        <w:tabs>
          <w:tab w:val="left" w:pos="660"/>
          <w:tab w:val="right" w:leader="dot" w:pos="9016"/>
        </w:tabs>
        <w:rPr>
          <w:rFonts w:eastAsiaTheme="minorEastAsia"/>
          <w:smallCaps w:val="0"/>
          <w:kern w:val="2"/>
          <w:sz w:val="24"/>
          <w:szCs w:val="24"/>
          <w14:ligatures w14:val="standardContextual"/>
        </w:rPr>
      </w:pPr>
      <w:hyperlink w:anchor="_Toc203035683" w:history="1">
        <w:r>
          <w:rPr>
            <w:rStyle w:val="Hyperlink"/>
          </w:rPr>
          <w:t>a.</w:t>
        </w:r>
        <w:r>
          <w:rPr>
            <w:rFonts w:eastAsiaTheme="minorEastAsia"/>
            <w:smallCaps w:val="0"/>
            <w:kern w:val="2"/>
            <w:sz w:val="24"/>
            <w:szCs w:val="24"/>
            <w14:ligatures w14:val="standardContextual"/>
          </w:rPr>
          <w:tab/>
        </w:r>
        <w:r>
          <w:rPr>
            <w:rStyle w:val="Hyperlink"/>
          </w:rPr>
          <w:t>Circumstances That Do Not Constitute Exceptions</w:t>
        </w:r>
        <w:r>
          <w:rPr>
            <w:webHidden/>
          </w:rPr>
          <w:tab/>
        </w:r>
        <w:r>
          <w:rPr>
            <w:webHidden/>
          </w:rPr>
          <w:fldChar w:fldCharType="begin"/>
        </w:r>
        <w:r>
          <w:rPr>
            <w:webHidden/>
          </w:rPr>
          <w:instrText xml:space="preserve"> PAGEREF _Toc203035683 \h </w:instrText>
        </w:r>
        <w:r>
          <w:rPr>
            <w:webHidden/>
          </w:rPr>
        </w:r>
        <w:r>
          <w:rPr>
            <w:webHidden/>
          </w:rPr>
          <w:fldChar w:fldCharType="separate"/>
        </w:r>
        <w:r>
          <w:rPr>
            <w:webHidden/>
          </w:rPr>
          <w:t>52</w:t>
        </w:r>
        <w:r>
          <w:rPr>
            <w:webHidden/>
          </w:rPr>
          <w:fldChar w:fldCharType="end"/>
        </w:r>
      </w:hyperlink>
    </w:p>
    <w:p w14:paraId="340B66C9" w14:textId="65DEBB09">
      <w:pPr>
        <w:pStyle w:val="TOC1"/>
        <w:tabs>
          <w:tab w:val="left" w:pos="660"/>
          <w:tab w:val="right" w:leader="dot" w:pos="9016"/>
        </w:tabs>
        <w:rPr>
          <w:rFonts w:eastAsiaTheme="minorEastAsia"/>
          <w:b w:val="0"/>
          <w:bCs w:val="0"/>
          <w:caps w:val="0"/>
          <w:kern w:val="2"/>
          <w:sz w:val="24"/>
          <w:szCs w:val="24"/>
          <w14:ligatures w14:val="standardContextual"/>
        </w:rPr>
      </w:pPr>
      <w:hyperlink w:anchor="_Toc203035684" w:history="1">
        <w:r>
          <w:rPr>
            <w:rStyle w:val="Hyperlink"/>
          </w:rPr>
          <w:t>IV.</w:t>
        </w:r>
        <w:r>
          <w:rPr>
            <w:rFonts w:eastAsiaTheme="minorEastAsia"/>
            <w:b w:val="0"/>
            <w:bCs w:val="0"/>
            <w:caps w:val="0"/>
            <w:kern w:val="2"/>
            <w:sz w:val="24"/>
            <w:szCs w:val="24"/>
            <w14:ligatures w14:val="standardContextual"/>
          </w:rPr>
          <w:tab/>
        </w:r>
        <w:r>
          <w:rPr>
            <w:rStyle w:val="Hyperlink"/>
          </w:rPr>
          <w:t>Inapplicability</w:t>
        </w:r>
        <w:r>
          <w:rPr>
            <w:webHidden/>
          </w:rPr>
          <w:tab/>
        </w:r>
        <w:r>
          <w:rPr>
            <w:webHidden/>
          </w:rPr>
          <w:fldChar w:fldCharType="begin"/>
        </w:r>
        <w:r>
          <w:rPr>
            <w:webHidden/>
          </w:rPr>
          <w:instrText xml:space="preserve"> PAGEREF _Toc203035684 \h </w:instrText>
        </w:r>
        <w:r>
          <w:rPr>
            <w:webHidden/>
          </w:rPr>
        </w:r>
        <w:r>
          <w:rPr>
            <w:webHidden/>
          </w:rPr>
          <w:fldChar w:fldCharType="separate"/>
        </w:r>
        <w:r>
          <w:rPr>
            <w:webHidden/>
          </w:rPr>
          <w:t>54</w:t>
        </w:r>
        <w:r>
          <w:rPr>
            <w:webHidden/>
          </w:rPr>
          <w:fldChar w:fldCharType="end"/>
        </w:r>
      </w:hyperlink>
    </w:p>
    <w:p w14:paraId="3472F46D" w14:textId="5B898B42">
      <w:pPr>
        <w:pStyle w:val="TOC2"/>
        <w:tabs>
          <w:tab w:val="left" w:pos="660"/>
          <w:tab w:val="right" w:leader="dot" w:pos="9016"/>
        </w:tabs>
        <w:rPr>
          <w:rFonts w:eastAsiaTheme="minorEastAsia"/>
          <w:smallCaps w:val="0"/>
          <w:kern w:val="2"/>
          <w:sz w:val="24"/>
          <w:szCs w:val="24"/>
          <w14:ligatures w14:val="standardContextual"/>
        </w:rPr>
      </w:pPr>
      <w:hyperlink w:anchor="_Toc203035685" w:history="1">
        <w:r>
          <w:rPr>
            <w:rStyle w:val="Hyperlink"/>
            <w:bCs/>
          </w:rPr>
          <w:t>a.</w:t>
        </w:r>
        <w:r>
          <w:rPr>
            <w:rFonts w:eastAsiaTheme="minorEastAsia"/>
            <w:smallCaps w:val="0"/>
            <w:kern w:val="2"/>
            <w:sz w:val="24"/>
            <w:szCs w:val="24"/>
            <w14:ligatures w14:val="standardContextual"/>
          </w:rPr>
          <w:tab/>
        </w:r>
        <w:r>
          <w:rPr>
            <w:rStyle w:val="Hyperlink"/>
          </w:rPr>
          <w:t>Inapplicability in the Event of Non-Notification</w:t>
        </w:r>
        <w:r>
          <w:rPr>
            <w:webHidden/>
          </w:rPr>
          <w:tab/>
        </w:r>
        <w:r>
          <w:rPr>
            <w:webHidden/>
          </w:rPr>
          <w:fldChar w:fldCharType="begin"/>
        </w:r>
        <w:r>
          <w:rPr>
            <w:webHidden/>
          </w:rPr>
          <w:instrText xml:space="preserve"> PAGEREF _Toc203035685 \h </w:instrText>
        </w:r>
        <w:r>
          <w:rPr>
            <w:webHidden/>
          </w:rPr>
        </w:r>
        <w:r>
          <w:rPr>
            <w:webHidden/>
          </w:rPr>
          <w:fldChar w:fldCharType="separate"/>
        </w:r>
        <w:r>
          <w:rPr>
            <w:webHidden/>
          </w:rPr>
          <w:t>54</w:t>
        </w:r>
        <w:r>
          <w:rPr>
            <w:webHidden/>
          </w:rPr>
          <w:fldChar w:fldCharType="end"/>
        </w:r>
      </w:hyperlink>
    </w:p>
    <w:p w14:paraId="3917D769" w14:textId="59C074AB">
      <w:pPr>
        <w:pStyle w:val="TOC2"/>
        <w:tabs>
          <w:tab w:val="left" w:pos="660"/>
          <w:tab w:val="right" w:leader="dot" w:pos="9016"/>
        </w:tabs>
        <w:rPr>
          <w:rFonts w:eastAsiaTheme="minorEastAsia"/>
          <w:smallCaps w:val="0"/>
          <w:kern w:val="2"/>
          <w:sz w:val="24"/>
          <w:szCs w:val="24"/>
          <w14:ligatures w14:val="standardContextual"/>
        </w:rPr>
      </w:pPr>
      <w:hyperlink w:anchor="_Toc203035686" w:history="1">
        <w:r>
          <w:rPr>
            <w:rStyle w:val="Hyperlink"/>
            <w:bCs/>
          </w:rPr>
          <w:t>b.</w:t>
        </w:r>
        <w:r>
          <w:rPr>
            <w:rFonts w:eastAsiaTheme="minorEastAsia"/>
            <w:smallCaps w:val="0"/>
            <w:kern w:val="2"/>
            <w:sz w:val="24"/>
            <w:szCs w:val="24"/>
            <w14:ligatures w14:val="standardContextual"/>
          </w:rPr>
          <w:tab/>
        </w:r>
        <w:r>
          <w:rPr>
            <w:rStyle w:val="Hyperlink"/>
          </w:rPr>
          <w:t>Inapplicability in the Event of Adoption During the Standstill Period</w:t>
        </w:r>
        <w:r>
          <w:rPr>
            <w:webHidden/>
          </w:rPr>
          <w:tab/>
        </w:r>
        <w:r>
          <w:rPr>
            <w:webHidden/>
          </w:rPr>
          <w:fldChar w:fldCharType="begin"/>
        </w:r>
        <w:r>
          <w:rPr>
            <w:webHidden/>
          </w:rPr>
          <w:instrText xml:space="preserve"> PAGEREF _Toc203035686 \h </w:instrText>
        </w:r>
        <w:r>
          <w:rPr>
            <w:webHidden/>
          </w:rPr>
        </w:r>
        <w:r>
          <w:rPr>
            <w:webHidden/>
          </w:rPr>
          <w:fldChar w:fldCharType="separate"/>
        </w:r>
        <w:r>
          <w:rPr>
            <w:webHidden/>
          </w:rPr>
          <w:t>58</w:t>
        </w:r>
        <w:r>
          <w:rPr>
            <w:webHidden/>
          </w:rPr>
          <w:fldChar w:fldCharType="end"/>
        </w:r>
      </w:hyperlink>
    </w:p>
    <w:p w14:paraId="62AF9A81" w14:textId="5B90334F">
      <w:pPr>
        <w:pStyle w:val="TOC2"/>
        <w:tabs>
          <w:tab w:val="left" w:pos="660"/>
          <w:tab w:val="right" w:leader="dot" w:pos="9016"/>
        </w:tabs>
        <w:rPr>
          <w:rFonts w:eastAsiaTheme="minorEastAsia"/>
          <w:smallCaps w:val="0"/>
          <w:kern w:val="2"/>
          <w:sz w:val="24"/>
          <w:szCs w:val="24"/>
          <w14:ligatures w14:val="standardContextual"/>
        </w:rPr>
      </w:pPr>
      <w:hyperlink w:anchor="_Toc203035687" w:history="1">
        <w:r>
          <w:rPr>
            <w:rStyle w:val="Hyperlink"/>
            <w:bCs/>
          </w:rPr>
          <w:t>c.</w:t>
        </w:r>
        <w:r>
          <w:rPr>
            <w:rFonts w:eastAsiaTheme="minorEastAsia"/>
            <w:smallCaps w:val="0"/>
            <w:kern w:val="2"/>
            <w:sz w:val="24"/>
            <w:szCs w:val="24"/>
            <w14:ligatures w14:val="standardContextual"/>
          </w:rPr>
          <w:tab/>
        </w:r>
        <w:r>
          <w:rPr>
            <w:rStyle w:val="Hyperlink"/>
          </w:rPr>
          <w:t>Clarification as to the Effect of Inapplicability</w:t>
        </w:r>
        <w:r>
          <w:rPr>
            <w:webHidden/>
          </w:rPr>
          <w:tab/>
        </w:r>
        <w:r>
          <w:rPr>
            <w:webHidden/>
          </w:rPr>
          <w:fldChar w:fldCharType="begin"/>
        </w:r>
        <w:r>
          <w:rPr>
            <w:webHidden/>
          </w:rPr>
          <w:instrText xml:space="preserve"> PAGEREF _Toc203035687 \h </w:instrText>
        </w:r>
        <w:r>
          <w:rPr>
            <w:webHidden/>
          </w:rPr>
        </w:r>
        <w:r>
          <w:rPr>
            <w:webHidden/>
          </w:rPr>
          <w:fldChar w:fldCharType="separate"/>
        </w:r>
        <w:r>
          <w:rPr>
            <w:webHidden/>
          </w:rPr>
          <w:t>60</w:t>
        </w:r>
        <w:r>
          <w:rPr>
            <w:webHidden/>
          </w:rPr>
          <w:fldChar w:fldCharType="end"/>
        </w:r>
      </w:hyperlink>
    </w:p>
    <w:p w14:paraId="05C72C05" w14:textId="53813097">
      <w:pPr>
        <w:pStyle w:val="TOC2"/>
        <w:tabs>
          <w:tab w:val="left" w:pos="660"/>
          <w:tab w:val="right" w:leader="dot" w:pos="9016"/>
        </w:tabs>
        <w:rPr>
          <w:rFonts w:eastAsiaTheme="minorEastAsia"/>
          <w:smallCaps w:val="0"/>
          <w:kern w:val="2"/>
          <w:sz w:val="24"/>
          <w:szCs w:val="24"/>
          <w14:ligatures w14:val="standardContextual"/>
        </w:rPr>
      </w:pPr>
      <w:hyperlink w:anchor="_Toc203035688" w:history="1">
        <w:r>
          <w:rPr>
            <w:rStyle w:val="Hyperlink"/>
            <w:bCs/>
          </w:rPr>
          <w:t>d.</w:t>
        </w:r>
        <w:r>
          <w:rPr>
            <w:rFonts w:eastAsiaTheme="minorEastAsia"/>
            <w:smallCaps w:val="0"/>
            <w:kern w:val="2"/>
            <w:sz w:val="24"/>
            <w:szCs w:val="24"/>
            <w14:ligatures w14:val="standardContextual"/>
          </w:rPr>
          <w:tab/>
        </w:r>
        <w:r>
          <w:rPr>
            <w:rStyle w:val="Hyperlink"/>
          </w:rPr>
          <w:t>Infringement Procedure</w:t>
        </w:r>
        <w:r>
          <w:rPr>
            <w:webHidden/>
          </w:rPr>
          <w:tab/>
        </w:r>
        <w:r>
          <w:rPr>
            <w:webHidden/>
          </w:rPr>
          <w:fldChar w:fldCharType="begin"/>
        </w:r>
        <w:r>
          <w:rPr>
            <w:webHidden/>
          </w:rPr>
          <w:instrText xml:space="preserve"> PAGEREF _Toc203035688 \h </w:instrText>
        </w:r>
        <w:r>
          <w:rPr>
            <w:webHidden/>
          </w:rPr>
        </w:r>
        <w:r>
          <w:rPr>
            <w:webHidden/>
          </w:rPr>
          <w:fldChar w:fldCharType="separate"/>
        </w:r>
        <w:r>
          <w:rPr>
            <w:webHidden/>
          </w:rPr>
          <w:t>61</w:t>
        </w:r>
        <w:r>
          <w:rPr>
            <w:webHidden/>
          </w:rPr>
          <w:fldChar w:fldCharType="end"/>
        </w:r>
      </w:hyperlink>
    </w:p>
    <w:p w14:paraId="58AB357B" w14:textId="44F07789">
      <w:pPr>
        <w:pStyle w:val="P68B1DB1-Normal4"/>
        <w:spacing w:line="278" w:lineRule="auto"/>
        <w:rPr>
          <w:rFonts w:ascii="Times New Roman" w:hAnsi="Times New Roman" w:cs="Times New Roman"/>
        </w:rPr>
      </w:pPr>
      <w:r>
        <w:rPr>
          <w:rFonts w:ascii="Times New Roman" w:hAnsi="Times New Roman" w:cs="Times New Roman"/>
        </w:rPr>
        <w:fldChar w:fldCharType="end"/>
      </w:r>
    </w:p>
    <w:p w14:paraId="0EC5AF49" w14:textId="77777777">
      <w:pPr>
        <w:spacing w:line="278" w:lineRule="auto"/>
        <w:rPr>
          <w:sz w:val="20"/>
        </w:rPr>
      </w:pPr>
      <w:r>
        <w:br w:type="page"/>
      </w:r>
    </w:p>
    <w:p w14:paraId="6635D92A" w14:textId="484720D6">
      <w:pPr>
        <w:pStyle w:val="P68B1DB1-Normal4"/>
        <w:spacing w:line="278" w:lineRule="auto"/>
        <w:jc w:val="both"/>
      </w:pPr>
      <w:r>
        <w:rPr>
          <w:rFonts w:ascii="Times New Roman" w:hAnsi="Times New Roman" w:cs="Times New Roman"/>
          <w:sz w:val="24"/>
          <w:szCs w:val="24"/>
        </w:rPr>
        <w:t xml:space="preserve">As decisões a partir das quais foram compilados excertos no presente documento referem-se a diretivas sucessivas que preveem um procedimento de informação no domínio das regulamentações técnicas. O quadro de equivalência seguinte ilustra a continuidade das suas principais disposições</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7EF257CD" w14:textId="77777777">
      <w:pPr>
        <w:spacing w:after="0" w:line="240" w:lineRule="auto"/>
        <w:jc w:val="both"/>
        <w:rPr>
          <w:rFonts w:ascii="Times New Roman" w:hAnsi="Times New Roman" w:cs="Times New Roman"/>
          <w:sz w:val="24"/>
          <w:szCs w:val="24"/>
        </w:rPr>
      </w:pPr>
    </w:p>
    <w:p w14:paraId="31BFF92A" w14:textId="3BC8AB17">
      <w:pPr>
        <w:pStyle w:val="P68B1DB1-Normal5"/>
        <w:spacing w:after="0" w:line="240" w:lineRule="auto"/>
        <w:jc w:val="center"/>
        <w:rPr>
          <w:bCs/>
        </w:rPr>
      </w:pPr>
      <w:r>
        <w:t xml:space="preserve">Quadro de equivalência das disposições principais </w:t>
      </w:r>
    </w:p>
    <w:p w14:paraId="74F41B86" w14:textId="7258661E">
      <w:pPr>
        <w:pStyle w:val="P68B1DB1-Normal5"/>
        <w:spacing w:after="0" w:line="240" w:lineRule="auto"/>
        <w:jc w:val="center"/>
        <w:rPr>
          <w:bCs/>
        </w:rPr>
      </w:pPr>
      <w:r>
        <w:t xml:space="preserve">Diretivas (UE) 2015/1535, 98/34/CE e 83/189/CEE</w:t>
      </w:r>
    </w:p>
    <w:p w14:paraId="3AD91D64" w14:textId="77777777">
      <w:pPr>
        <w:spacing w:after="0" w:line="240" w:lineRule="auto"/>
      </w:pPr>
    </w:p>
    <w:tbl>
      <w:tblPr>
        <w:tblStyle w:val="TableGrid"/>
        <w:tblW w:w="10206" w:type="dxa"/>
        <w:tblInd w:w="-572" w:type="dxa"/>
        <w:tblLook w:val="04A0" w:firstRow="1" w:lastRow="0" w:firstColumn="1" w:lastColumn="0" w:noHBand="0" w:noVBand="1"/>
      </w:tblPr>
      <w:tblGrid>
        <w:gridCol w:w="3119"/>
        <w:gridCol w:w="2457"/>
        <w:gridCol w:w="2315"/>
        <w:gridCol w:w="2315"/>
      </w:tblGrid>
      <w:tr w14:paraId="3A08F315" w14:textId="77777777">
        <w:trPr>
          <w:trHeight w:val="599"/>
        </w:trPr>
        <w:tc>
          <w:tcPr>
            <w:tcW w:w="3119" w:type="dxa"/>
            <w:shd w:val="clear" w:color="auto" w:fill="auto"/>
          </w:tcPr>
          <w:p w14:paraId="364945D8" w14:textId="2E5772D6">
            <w:pPr>
              <w:pStyle w:val="P68B1DB1-Normal6"/>
              <w:spacing w:line="240" w:lineRule="auto"/>
              <w:rPr>
                <w:bCs/>
              </w:rPr>
            </w:pPr>
            <w:r>
              <w:t xml:space="preserve">Conteúdo das disposições</w:t>
            </w:r>
          </w:p>
        </w:tc>
        <w:tc>
          <w:tcPr>
            <w:tcW w:w="2457" w:type="dxa"/>
            <w:shd w:val="clear" w:color="auto" w:fill="auto"/>
          </w:tcPr>
          <w:p w14:paraId="34093202" w14:textId="25E58692">
            <w:pPr>
              <w:spacing w:line="240" w:lineRule="auto"/>
              <w:rPr>
                <w:rFonts w:ascii="Times New Roman" w:hAnsi="Times New Roman" w:cs="Times New Roman"/>
                <w:b/>
                <w:bCs/>
                <w:sz w:val="24"/>
                <w:szCs w:val="24"/>
              </w:rPr>
            </w:pPr>
            <w:hyperlink r:id="rId8" w:history="1">
              <w:r>
                <w:rPr>
                  <w:rStyle w:val="Hyperlink"/>
                  <w:rFonts w:ascii="Times New Roman" w:hAnsi="Times New Roman" w:cs="Times New Roman"/>
                  <w:b/>
                  <w:color w:val="0000FF"/>
                  <w:sz w:val="24"/>
                  <w:szCs w:val="24"/>
                </w:rPr>
                <w:t xml:space="preserve">Diretiva (UE) 2015/1535</w:t>
              </w:r>
            </w:hyperlink>
            <w:r>
              <w:rPr>
                <w:rStyle w:val="FootnoteReference"/>
                <w:rFonts w:ascii="Times New Roman" w:hAnsi="Times New Roman" w:cs="Times New Roman"/>
                <w:sz w:val="24"/>
                <w:szCs w:val="24"/>
              </w:rPr>
              <w:footnoteReference w:id="2"/>
            </w:r>
          </w:p>
        </w:tc>
        <w:tc>
          <w:tcPr>
            <w:tcW w:w="2315" w:type="dxa"/>
            <w:shd w:val="clear" w:color="auto" w:fill="auto"/>
          </w:tcPr>
          <w:p w14:paraId="5FD03597" w14:textId="330E7145">
            <w:pPr>
              <w:spacing w:line="240" w:lineRule="auto"/>
              <w:rPr>
                <w:rFonts w:ascii="Times New Roman" w:hAnsi="Times New Roman" w:cs="Times New Roman"/>
                <w:b/>
                <w:bCs/>
                <w:sz w:val="24"/>
                <w:szCs w:val="24"/>
              </w:rPr>
            </w:pPr>
            <w:hyperlink r:id="rId9" w:history="1">
              <w:r>
                <w:rPr>
                  <w:rStyle w:val="Hyperlink"/>
                  <w:rFonts w:ascii="Times New Roman" w:hAnsi="Times New Roman" w:cs="Times New Roman"/>
                  <w:b/>
                  <w:color w:val="0000FF"/>
                  <w:sz w:val="24"/>
                  <w:szCs w:val="24"/>
                </w:rPr>
                <w:t xml:space="preserve">Diretiva 98/34/CE</w:t>
              </w:r>
            </w:hyperlink>
            <w:r>
              <w:rPr>
                <w:rStyle w:val="FootnoteReference"/>
                <w:rFonts w:ascii="Times New Roman" w:hAnsi="Times New Roman" w:cs="Times New Roman"/>
                <w:sz w:val="24"/>
                <w:szCs w:val="24"/>
              </w:rPr>
              <w:footnoteReference w:id="3"/>
            </w:r>
          </w:p>
        </w:tc>
        <w:tc>
          <w:tcPr>
            <w:tcW w:w="2315" w:type="dxa"/>
            <w:shd w:val="clear" w:color="auto" w:fill="auto"/>
          </w:tcPr>
          <w:p w14:paraId="51A4CAE7" w14:textId="73C3CCF3">
            <w:pPr>
              <w:spacing w:line="240" w:lineRule="auto"/>
              <w:rPr>
                <w:rFonts w:ascii="Times New Roman" w:hAnsi="Times New Roman" w:cs="Times New Roman"/>
                <w:b/>
                <w:bCs/>
                <w:sz w:val="24"/>
                <w:szCs w:val="24"/>
              </w:rPr>
            </w:pPr>
            <w:hyperlink r:id="rId10" w:history="1">
              <w:r>
                <w:rPr>
                  <w:rStyle w:val="Hyperlink"/>
                  <w:rFonts w:ascii="Times New Roman" w:hAnsi="Times New Roman" w:cs="Times New Roman"/>
                  <w:b/>
                  <w:color w:val="0000FF"/>
                  <w:sz w:val="24"/>
                  <w:szCs w:val="24"/>
                </w:rPr>
                <w:t xml:space="preserve">Diretiva 83/189/CEE</w:t>
              </w:r>
            </w:hyperlink>
            <w:r>
              <w:rPr>
                <w:rStyle w:val="FootnoteReference"/>
                <w:rFonts w:ascii="Times New Roman" w:hAnsi="Times New Roman" w:cs="Times New Roman"/>
                <w:sz w:val="24"/>
                <w:szCs w:val="24"/>
              </w:rPr>
              <w:footnoteReference w:id="4"/>
            </w:r>
          </w:p>
        </w:tc>
      </w:tr>
      <w:tr w14:paraId="72585BFB" w14:textId="77777777">
        <w:trPr>
          <w:trHeight w:val="599"/>
        </w:trPr>
        <w:tc>
          <w:tcPr>
            <w:tcW w:w="3119" w:type="dxa"/>
          </w:tcPr>
          <w:p w14:paraId="04624D71" w14:textId="77777777">
            <w:pPr>
              <w:pStyle w:val="P68B1DB1-Normal7"/>
              <w:spacing w:line="240" w:lineRule="auto"/>
            </w:pPr>
            <w:r>
              <w:t xml:space="preserve">Definição de «produtos»</w:t>
            </w:r>
          </w:p>
        </w:tc>
        <w:tc>
          <w:tcPr>
            <w:tcW w:w="2457" w:type="dxa"/>
          </w:tcPr>
          <w:p w14:paraId="4A418F3D" w14:textId="11CADE6C">
            <w:pPr>
              <w:pStyle w:val="P68B1DB1-Normal7"/>
              <w:spacing w:line="240" w:lineRule="auto"/>
            </w:pPr>
            <w:r>
              <w:t xml:space="preserve">Artigo 1.º, n.º 1, alínea a),</w:t>
            </w:r>
          </w:p>
        </w:tc>
        <w:tc>
          <w:tcPr>
            <w:tcW w:w="2315" w:type="dxa"/>
          </w:tcPr>
          <w:p w14:paraId="5020F0EC" w14:textId="29FBC8B8">
            <w:pPr>
              <w:pStyle w:val="P68B1DB1-Normal7"/>
              <w:spacing w:line="240" w:lineRule="auto"/>
            </w:pPr>
            <w:r>
              <w:t xml:space="preserve">Artigo 1.º, n.º 1,</w:t>
            </w:r>
          </w:p>
        </w:tc>
        <w:tc>
          <w:tcPr>
            <w:tcW w:w="2315" w:type="dxa"/>
          </w:tcPr>
          <w:p w14:paraId="1AC77ECE" w14:textId="6BC392C6">
            <w:pPr>
              <w:pStyle w:val="P68B1DB1-Normal7"/>
              <w:spacing w:line="240" w:lineRule="auto"/>
            </w:pPr>
            <w:r>
              <w:t xml:space="preserve">Artigo 1.º, n.º 7,</w:t>
            </w:r>
          </w:p>
        </w:tc>
      </w:tr>
      <w:tr w14:paraId="4F3F95AF" w14:textId="77777777">
        <w:trPr>
          <w:trHeight w:val="599"/>
        </w:trPr>
        <w:tc>
          <w:tcPr>
            <w:tcW w:w="3119" w:type="dxa"/>
          </w:tcPr>
          <w:p w14:paraId="42CDA066" w14:textId="77777777">
            <w:pPr>
              <w:pStyle w:val="P68B1DB1-Normal7"/>
              <w:spacing w:line="240" w:lineRule="auto"/>
            </w:pPr>
            <w:r>
              <w:t xml:space="preserve">Definição de «serviços»</w:t>
            </w:r>
          </w:p>
        </w:tc>
        <w:tc>
          <w:tcPr>
            <w:tcW w:w="2457" w:type="dxa"/>
          </w:tcPr>
          <w:p w14:paraId="658F3867" w14:textId="6E2F4A98">
            <w:pPr>
              <w:pStyle w:val="P68B1DB1-Normal7"/>
              <w:spacing w:line="240" w:lineRule="auto"/>
            </w:pPr>
            <w:r>
              <w:t xml:space="preserve">Artigo 1.º, n.º 1, alínea b),</w:t>
            </w:r>
          </w:p>
        </w:tc>
        <w:tc>
          <w:tcPr>
            <w:tcW w:w="2315" w:type="dxa"/>
          </w:tcPr>
          <w:p w14:paraId="4273AEF8" w14:textId="51C8B937">
            <w:pPr>
              <w:pStyle w:val="P68B1DB1-Normal7"/>
              <w:spacing w:line="240" w:lineRule="auto"/>
            </w:pPr>
            <w:r>
              <w:t xml:space="preserve">Artigo 1.º, n.º 2,</w:t>
            </w:r>
          </w:p>
        </w:tc>
        <w:tc>
          <w:tcPr>
            <w:tcW w:w="2315" w:type="dxa"/>
          </w:tcPr>
          <w:p w14:paraId="6B0C3AFB" w14:textId="2BD4E0BD">
            <w:pPr>
              <w:pStyle w:val="P68B1DB1-Normal7"/>
              <w:spacing w:line="240" w:lineRule="auto"/>
              <w:jc w:val="center"/>
            </w:pPr>
            <w:r>
              <w:t>___</w:t>
            </w:r>
          </w:p>
        </w:tc>
      </w:tr>
      <w:tr w14:paraId="576462BF" w14:textId="77777777">
        <w:trPr>
          <w:trHeight w:val="599"/>
        </w:trPr>
        <w:tc>
          <w:tcPr>
            <w:tcW w:w="3119" w:type="dxa"/>
          </w:tcPr>
          <w:p w14:paraId="555E46FF" w14:textId="77777777">
            <w:pPr>
              <w:pStyle w:val="P68B1DB1-Normal7"/>
              <w:spacing w:line="240" w:lineRule="auto"/>
            </w:pPr>
            <w:r>
              <w:t xml:space="preserve">Definição de «especificação técnica»</w:t>
            </w:r>
          </w:p>
        </w:tc>
        <w:tc>
          <w:tcPr>
            <w:tcW w:w="2457" w:type="dxa"/>
          </w:tcPr>
          <w:p w14:paraId="1CD6781C" w14:textId="4816FB95">
            <w:pPr>
              <w:pStyle w:val="P68B1DB1-Normal7"/>
              <w:spacing w:line="240" w:lineRule="auto"/>
            </w:pPr>
            <w:r>
              <w:t xml:space="preserve">Artigo 1.º, n.º 1, alínea c),</w:t>
            </w:r>
          </w:p>
        </w:tc>
        <w:tc>
          <w:tcPr>
            <w:tcW w:w="2315" w:type="dxa"/>
          </w:tcPr>
          <w:p w14:paraId="6ACA8AFC" w14:textId="5CBBFC47">
            <w:pPr>
              <w:pStyle w:val="P68B1DB1-Normal7"/>
              <w:spacing w:line="240" w:lineRule="auto"/>
            </w:pPr>
            <w:r>
              <w:t xml:space="preserve">Artigo 1.º, n.º 3,</w:t>
            </w:r>
          </w:p>
        </w:tc>
        <w:tc>
          <w:tcPr>
            <w:tcW w:w="2315" w:type="dxa"/>
          </w:tcPr>
          <w:p w14:paraId="7742C3F4" w14:textId="668574B6">
            <w:pPr>
              <w:pStyle w:val="P68B1DB1-Normal7"/>
              <w:spacing w:line="240" w:lineRule="auto"/>
            </w:pPr>
            <w:r>
              <w:t xml:space="preserve">Artigo 1.º, n.º 1,</w:t>
            </w:r>
          </w:p>
        </w:tc>
      </w:tr>
      <w:tr w14:paraId="39DCA993" w14:textId="77777777">
        <w:trPr>
          <w:trHeight w:val="599"/>
        </w:trPr>
        <w:tc>
          <w:tcPr>
            <w:tcW w:w="3119" w:type="dxa"/>
          </w:tcPr>
          <w:p w14:paraId="412D2403" w14:textId="77777777">
            <w:pPr>
              <w:pStyle w:val="P68B1DB1-Normal7"/>
              <w:spacing w:line="240" w:lineRule="auto"/>
            </w:pPr>
            <w:r>
              <w:t xml:space="preserve">Definição de «outros requisitos»</w:t>
            </w:r>
          </w:p>
        </w:tc>
        <w:tc>
          <w:tcPr>
            <w:tcW w:w="2457" w:type="dxa"/>
          </w:tcPr>
          <w:p w14:paraId="7BCB4CC5" w14:textId="4C804DFA">
            <w:pPr>
              <w:pStyle w:val="P68B1DB1-Normal7"/>
              <w:spacing w:line="240" w:lineRule="auto"/>
            </w:pPr>
            <w:r>
              <w:t xml:space="preserve">Artigo 1.º, n.º 1, alínea d),</w:t>
            </w:r>
          </w:p>
        </w:tc>
        <w:tc>
          <w:tcPr>
            <w:tcW w:w="2315" w:type="dxa"/>
          </w:tcPr>
          <w:p w14:paraId="414D1EEC" w14:textId="18CAA0FE">
            <w:pPr>
              <w:pStyle w:val="P68B1DB1-Normal7"/>
              <w:spacing w:line="240" w:lineRule="auto"/>
            </w:pPr>
            <w:r>
              <w:t xml:space="preserve">Artigo 1.º, n.º 4,</w:t>
            </w:r>
          </w:p>
        </w:tc>
        <w:tc>
          <w:tcPr>
            <w:tcW w:w="2315" w:type="dxa"/>
          </w:tcPr>
          <w:p w14:paraId="46A8193A" w14:textId="477D2F0E">
            <w:pPr>
              <w:pStyle w:val="P68B1DB1-Normal7"/>
              <w:spacing w:line="240" w:lineRule="auto"/>
              <w:jc w:val="center"/>
            </w:pPr>
            <w:r>
              <w:t>___</w:t>
            </w:r>
          </w:p>
        </w:tc>
      </w:tr>
      <w:tr w14:paraId="48F0D2A4" w14:textId="77777777">
        <w:trPr>
          <w:trHeight w:val="599"/>
        </w:trPr>
        <w:tc>
          <w:tcPr>
            <w:tcW w:w="3119" w:type="dxa"/>
          </w:tcPr>
          <w:p w14:paraId="61624EA2" w14:textId="77777777">
            <w:pPr>
              <w:pStyle w:val="P68B1DB1-Normal7"/>
              <w:spacing w:line="240" w:lineRule="auto"/>
            </w:pPr>
            <w:r>
              <w:t xml:space="preserve">Definição de «regra relativa aos serviços»</w:t>
            </w:r>
          </w:p>
        </w:tc>
        <w:tc>
          <w:tcPr>
            <w:tcW w:w="2457" w:type="dxa"/>
          </w:tcPr>
          <w:p w14:paraId="136F7BB7" w14:textId="4AA67A90">
            <w:pPr>
              <w:pStyle w:val="P68B1DB1-Normal7"/>
              <w:spacing w:line="240" w:lineRule="auto"/>
            </w:pPr>
            <w:r>
              <w:t xml:space="preserve">Artigo 1.º, n.º 1, alínea e),</w:t>
            </w:r>
          </w:p>
        </w:tc>
        <w:tc>
          <w:tcPr>
            <w:tcW w:w="2315" w:type="dxa"/>
          </w:tcPr>
          <w:p w14:paraId="36E9CD4F" w14:textId="1B75247A">
            <w:pPr>
              <w:pStyle w:val="P68B1DB1-Normal7"/>
              <w:spacing w:line="240" w:lineRule="auto"/>
            </w:pPr>
            <w:r>
              <w:t xml:space="preserve">Artigo 1.º, n.º 5,</w:t>
            </w:r>
          </w:p>
        </w:tc>
        <w:tc>
          <w:tcPr>
            <w:tcW w:w="2315" w:type="dxa"/>
          </w:tcPr>
          <w:p w14:paraId="42762185" w14:textId="37A509CA">
            <w:pPr>
              <w:pStyle w:val="P68B1DB1-Normal7"/>
              <w:spacing w:line="240" w:lineRule="auto"/>
              <w:jc w:val="center"/>
            </w:pPr>
            <w:r>
              <w:t>___</w:t>
            </w:r>
          </w:p>
        </w:tc>
      </w:tr>
      <w:tr w14:paraId="4622E632" w14:textId="77777777">
        <w:trPr>
          <w:trHeight w:val="599"/>
        </w:trPr>
        <w:tc>
          <w:tcPr>
            <w:tcW w:w="3119" w:type="dxa"/>
          </w:tcPr>
          <w:p w14:paraId="59CDC9EC" w14:textId="77777777">
            <w:pPr>
              <w:pStyle w:val="P68B1DB1-Normal7"/>
              <w:spacing w:line="240" w:lineRule="auto"/>
            </w:pPr>
            <w:r>
              <w:t xml:space="preserve">Definição de «regra técnica»</w:t>
            </w:r>
          </w:p>
        </w:tc>
        <w:tc>
          <w:tcPr>
            <w:tcW w:w="2457" w:type="dxa"/>
          </w:tcPr>
          <w:p w14:paraId="46C85599" w14:textId="1342B29E">
            <w:pPr>
              <w:pStyle w:val="P68B1DB1-Normal7"/>
              <w:spacing w:line="240" w:lineRule="auto"/>
            </w:pPr>
            <w:r>
              <w:t xml:space="preserve">Artigo 1.º, n.º 1, alínea f),</w:t>
            </w:r>
          </w:p>
        </w:tc>
        <w:tc>
          <w:tcPr>
            <w:tcW w:w="2315" w:type="dxa"/>
          </w:tcPr>
          <w:p w14:paraId="0E88B9E2" w14:textId="31F951B8">
            <w:pPr>
              <w:pStyle w:val="P68B1DB1-Normal7"/>
              <w:spacing w:line="240" w:lineRule="auto"/>
            </w:pPr>
            <w:r>
              <w:t xml:space="preserve">Artigo 1.º, n.º 11,</w:t>
            </w:r>
          </w:p>
        </w:tc>
        <w:tc>
          <w:tcPr>
            <w:tcW w:w="2315" w:type="dxa"/>
          </w:tcPr>
          <w:p w14:paraId="2E4FCAC6" w14:textId="1930FF48">
            <w:pPr>
              <w:pStyle w:val="P68B1DB1-Normal7"/>
              <w:spacing w:line="240" w:lineRule="auto"/>
            </w:pPr>
            <w:r>
              <w:t xml:space="preserve">Artigo 1.º, n.º 5,</w:t>
            </w:r>
          </w:p>
        </w:tc>
      </w:tr>
      <w:tr w14:paraId="0C829266" w14:textId="77777777">
        <w:trPr>
          <w:trHeight w:val="599"/>
        </w:trPr>
        <w:tc>
          <w:tcPr>
            <w:tcW w:w="3119" w:type="dxa"/>
          </w:tcPr>
          <w:p w14:paraId="2E36B6FC" w14:textId="77777777">
            <w:pPr>
              <w:pStyle w:val="P68B1DB1-Normal7"/>
              <w:spacing w:line="240" w:lineRule="auto"/>
            </w:pPr>
            <w:r>
              <w:t xml:space="preserve">Obrigação de notificação</w:t>
            </w:r>
          </w:p>
        </w:tc>
        <w:tc>
          <w:tcPr>
            <w:tcW w:w="2457" w:type="dxa"/>
          </w:tcPr>
          <w:p w14:paraId="04169FF7" w14:textId="77777777">
            <w:pPr>
              <w:pStyle w:val="P68B1DB1-Normal7"/>
              <w:spacing w:line="240" w:lineRule="auto"/>
            </w:pPr>
            <w:r>
              <w:t xml:space="preserve">Artigo 5.º, n.º 1, primeiro período</w:t>
            </w:r>
          </w:p>
        </w:tc>
        <w:tc>
          <w:tcPr>
            <w:tcW w:w="2315" w:type="dxa"/>
          </w:tcPr>
          <w:p w14:paraId="730385F8" w14:textId="77777777">
            <w:pPr>
              <w:pStyle w:val="P68B1DB1-Normal7"/>
              <w:spacing w:line="240" w:lineRule="auto"/>
            </w:pPr>
            <w:r>
              <w:t xml:space="preserve">Artigo 8.º, n.º 1, primeiro período</w:t>
            </w:r>
          </w:p>
        </w:tc>
        <w:tc>
          <w:tcPr>
            <w:tcW w:w="2315" w:type="dxa"/>
          </w:tcPr>
          <w:p w14:paraId="6937609F" w14:textId="5A2377E0">
            <w:pPr>
              <w:pStyle w:val="P68B1DB1-Normal8"/>
              <w:spacing w:line="240" w:lineRule="auto"/>
            </w:pPr>
            <w:r>
              <w:t xml:space="preserve">Artigo 8.º, n.º 1,</w:t>
            </w:r>
          </w:p>
        </w:tc>
      </w:tr>
      <w:tr w14:paraId="4472DE96" w14:textId="77777777">
        <w:trPr>
          <w:trHeight w:val="599"/>
        </w:trPr>
        <w:tc>
          <w:tcPr>
            <w:tcW w:w="3119" w:type="dxa"/>
          </w:tcPr>
          <w:p w14:paraId="08371658" w14:textId="2AE2569B">
            <w:pPr>
              <w:pStyle w:val="P68B1DB1-Normal7"/>
              <w:spacing w:line="240" w:lineRule="auto"/>
            </w:pPr>
            <w:r>
              <w:t xml:space="preserve">Notificação das disposições de base ou em causa</w:t>
            </w:r>
          </w:p>
        </w:tc>
        <w:tc>
          <w:tcPr>
            <w:tcW w:w="2457" w:type="dxa"/>
          </w:tcPr>
          <w:p w14:paraId="4460E5CA" w14:textId="77777777">
            <w:pPr>
              <w:pStyle w:val="P68B1DB1-Normal7"/>
              <w:spacing w:line="240" w:lineRule="auto"/>
            </w:pPr>
            <w:r>
              <w:t xml:space="preserve">Artigo 5.º, n.º 1, segundo período</w:t>
            </w:r>
          </w:p>
        </w:tc>
        <w:tc>
          <w:tcPr>
            <w:tcW w:w="2315" w:type="dxa"/>
          </w:tcPr>
          <w:p w14:paraId="545C5C96" w14:textId="77777777">
            <w:pPr>
              <w:pStyle w:val="P68B1DB1-Normal7"/>
              <w:spacing w:line="240" w:lineRule="auto"/>
            </w:pPr>
            <w:r>
              <w:t xml:space="preserve">Artigo 8.º, n.º 1, segundo período</w:t>
            </w:r>
          </w:p>
        </w:tc>
        <w:tc>
          <w:tcPr>
            <w:tcW w:w="2315" w:type="dxa"/>
          </w:tcPr>
          <w:p w14:paraId="7658B70A" w14:textId="43A43C7F">
            <w:pPr>
              <w:pStyle w:val="P68B1DB1-Normal7"/>
              <w:spacing w:line="240" w:lineRule="auto"/>
              <w:jc w:val="center"/>
              <w:rPr>
                <w:rFonts w:eastAsia="Times New Roman"/>
              </w:rPr>
            </w:pPr>
            <w:r>
              <w:t>___</w:t>
            </w:r>
          </w:p>
        </w:tc>
      </w:tr>
      <w:tr w14:paraId="6E207C21" w14:textId="77777777">
        <w:trPr>
          <w:trHeight w:val="599"/>
        </w:trPr>
        <w:tc>
          <w:tcPr>
            <w:tcW w:w="3119" w:type="dxa"/>
          </w:tcPr>
          <w:p w14:paraId="05D20653" w14:textId="1C493645">
            <w:pPr>
              <w:pStyle w:val="P68B1DB1-Normal7"/>
              <w:spacing w:line="240" w:lineRule="auto"/>
            </w:pPr>
            <w:r>
              <w:t xml:space="preserve">Nova notificação durante o período de statu quo</w:t>
            </w:r>
          </w:p>
        </w:tc>
        <w:tc>
          <w:tcPr>
            <w:tcW w:w="2457" w:type="dxa"/>
          </w:tcPr>
          <w:p w14:paraId="65494BDB" w14:textId="77777777">
            <w:pPr>
              <w:pStyle w:val="P68B1DB1-Normal7"/>
              <w:spacing w:line="240" w:lineRule="auto"/>
            </w:pPr>
            <w:r>
              <w:t xml:space="preserve">Artigo 5.º, n.º 1, terceira frase</w:t>
            </w:r>
          </w:p>
        </w:tc>
        <w:tc>
          <w:tcPr>
            <w:tcW w:w="2315" w:type="dxa"/>
          </w:tcPr>
          <w:p w14:paraId="47F0091E" w14:textId="77777777">
            <w:pPr>
              <w:pStyle w:val="P68B1DB1-Normal7"/>
              <w:spacing w:line="240" w:lineRule="auto"/>
            </w:pPr>
            <w:r>
              <w:t xml:space="preserve">Artigo 8.º, n.º 1, terceira frase</w:t>
            </w:r>
          </w:p>
        </w:tc>
        <w:tc>
          <w:tcPr>
            <w:tcW w:w="2315" w:type="dxa"/>
          </w:tcPr>
          <w:p w14:paraId="5E9AA7B4" w14:textId="7B61CCCA">
            <w:pPr>
              <w:pStyle w:val="P68B1DB1-Normal7"/>
              <w:spacing w:line="240" w:lineRule="auto"/>
              <w:jc w:val="center"/>
              <w:rPr>
                <w:rFonts w:eastAsia="Times New Roman"/>
              </w:rPr>
            </w:pPr>
            <w:r>
              <w:t>___</w:t>
            </w:r>
          </w:p>
        </w:tc>
      </w:tr>
      <w:tr w14:paraId="7EEDDE8A" w14:textId="77777777">
        <w:trPr>
          <w:trHeight w:val="599"/>
        </w:trPr>
        <w:tc>
          <w:tcPr>
            <w:tcW w:w="3119" w:type="dxa"/>
          </w:tcPr>
          <w:p w14:paraId="6F46F2B9" w14:textId="77777777">
            <w:pPr>
              <w:pStyle w:val="P68B1DB1-Normal7"/>
              <w:spacing w:line="240" w:lineRule="auto"/>
            </w:pPr>
            <w:r>
              <w:t xml:space="preserve">Prazo suspensivo</w:t>
            </w:r>
          </w:p>
        </w:tc>
        <w:tc>
          <w:tcPr>
            <w:tcW w:w="2457" w:type="dxa"/>
          </w:tcPr>
          <w:p w14:paraId="0FDAA36A" w14:textId="77777777">
            <w:pPr>
              <w:pStyle w:val="P68B1DB1-Normal7"/>
              <w:spacing w:line="240" w:lineRule="auto"/>
            </w:pPr>
            <w:r>
              <w:t xml:space="preserve">Artigo 6.º</w:t>
            </w:r>
          </w:p>
        </w:tc>
        <w:tc>
          <w:tcPr>
            <w:tcW w:w="2315" w:type="dxa"/>
          </w:tcPr>
          <w:p w14:paraId="51BBC4E4" w14:textId="77777777">
            <w:pPr>
              <w:pStyle w:val="P68B1DB1-Normal7"/>
              <w:spacing w:line="240" w:lineRule="auto"/>
            </w:pPr>
            <w:r>
              <w:t xml:space="preserve">Artigo 9.º</w:t>
            </w:r>
          </w:p>
        </w:tc>
        <w:tc>
          <w:tcPr>
            <w:tcW w:w="2315" w:type="dxa"/>
          </w:tcPr>
          <w:p w14:paraId="2B7D3F30" w14:textId="77777777">
            <w:pPr>
              <w:pStyle w:val="P68B1DB1-Normal8"/>
              <w:spacing w:line="240" w:lineRule="auto"/>
            </w:pPr>
            <w:r>
              <w:t xml:space="preserve">Artigo 9.º</w:t>
            </w:r>
          </w:p>
        </w:tc>
      </w:tr>
      <w:tr w14:paraId="31FCCE62" w14:textId="77777777">
        <w:trPr>
          <w:trHeight w:val="599"/>
        </w:trPr>
        <w:tc>
          <w:tcPr>
            <w:tcW w:w="3119" w:type="dxa"/>
          </w:tcPr>
          <w:p w14:paraId="067F46A1" w14:textId="77777777">
            <w:pPr>
              <w:pStyle w:val="P68B1DB1-Normal7"/>
              <w:spacing w:line="240" w:lineRule="auto"/>
            </w:pPr>
            <w:r>
              <w:t xml:space="preserve">Exceções às obrigações de notificação e de suspensão</w:t>
            </w:r>
          </w:p>
        </w:tc>
        <w:tc>
          <w:tcPr>
            <w:tcW w:w="2457" w:type="dxa"/>
          </w:tcPr>
          <w:p w14:paraId="5BC53094" w14:textId="77777777">
            <w:pPr>
              <w:pStyle w:val="P68B1DB1-Normal7"/>
              <w:spacing w:line="240" w:lineRule="auto"/>
            </w:pPr>
            <w:r>
              <w:t xml:space="preserve">Artigo 7.º</w:t>
            </w:r>
          </w:p>
        </w:tc>
        <w:tc>
          <w:tcPr>
            <w:tcW w:w="2315" w:type="dxa"/>
          </w:tcPr>
          <w:p w14:paraId="36E59068" w14:textId="77777777">
            <w:pPr>
              <w:pStyle w:val="P68B1DB1-Normal7"/>
              <w:spacing w:line="240" w:lineRule="auto"/>
            </w:pPr>
            <w:r>
              <w:t xml:space="preserve">Artigo 10.º</w:t>
            </w:r>
          </w:p>
        </w:tc>
        <w:tc>
          <w:tcPr>
            <w:tcW w:w="2315" w:type="dxa"/>
          </w:tcPr>
          <w:p w14:paraId="1FE1BC2D" w14:textId="77777777">
            <w:pPr>
              <w:pStyle w:val="P68B1DB1-Normal8"/>
              <w:spacing w:line="240" w:lineRule="auto"/>
            </w:pPr>
            <w:r>
              <w:t xml:space="preserve">Artigo 10.º</w:t>
            </w:r>
          </w:p>
        </w:tc>
      </w:tr>
    </w:tbl>
    <w:p w14:paraId="4A865CBE" w14:textId="77777777">
      <w:pPr>
        <w:spacing w:after="0" w:line="240" w:lineRule="auto"/>
      </w:pPr>
    </w:p>
    <w:p w14:paraId="08C84FAC" w14:textId="77777777">
      <w:pPr>
        <w:spacing w:line="278" w:lineRule="auto"/>
      </w:pPr>
      <w:r>
        <w:br w:type="page"/>
      </w:r>
    </w:p>
    <w:p w14:paraId="0059B666" w14:textId="32BA8B95">
      <w:pPr>
        <w:jc w:val="both"/>
        <w:rPr>
          <w:rFonts w:ascii="Times New Roman" w:hAnsi="Times New Roman" w:cs="Times New Roman"/>
          <w:b/>
          <w:bCs/>
          <w:sz w:val="24"/>
          <w:szCs w:val="24"/>
          <w:u w:val="single"/>
        </w:rPr>
        <w:pStyle w:val="P68B1DB1-Normal5"/>
      </w:pPr>
      <w:r>
        <w:t xml:space="preserve">Exoneração de responsabilidade</w:t>
      </w:r>
    </w:p>
    <w:p w14:paraId="0CB71D4E" w14:textId="7BF1CD8D">
      <w:pPr>
        <w:jc w:val="both"/>
        <w:rPr>
          <w:rFonts w:ascii="Times New Roman" w:hAnsi="Times New Roman" w:cs="Times New Roman"/>
          <w:sz w:val="24"/>
          <w:szCs w:val="24"/>
        </w:rPr>
        <w:pStyle w:val="P68B1DB1-Normal7"/>
      </w:pPr>
      <w:r>
        <w:t xml:space="preserve">As informações e orientações constantes do presente documento destinam-se a contribuir para uma melhor compreensão das regras de notificação da Diretiva (UE) 2015/1535.</w:t>
      </w:r>
    </w:p>
    <w:p w14:paraId="67EC004B" w14:textId="434F8650">
      <w:pPr>
        <w:jc w:val="both"/>
        <w:rPr>
          <w:rFonts w:ascii="Times New Roman" w:hAnsi="Times New Roman" w:cs="Times New Roman"/>
          <w:sz w:val="24"/>
          <w:szCs w:val="24"/>
        </w:rPr>
        <w:pStyle w:val="P68B1DB1-Normal7"/>
      </w:pPr>
      <w:r>
        <w:t xml:space="preserve">Trata-se de uma mera ferramenta de orientação. Apenas o texto da diretiva tem força jurídica e é suscetível de criar direitos e obrigações para os particulares e os Estados-Membros. O presente documento não cria qualquer direito ou expectativa executório.</w:t>
      </w:r>
    </w:p>
    <w:p w14:paraId="63D425FC" w14:textId="2836B58B">
      <w:pPr>
        <w:jc w:val="both"/>
        <w:rPr>
          <w:rFonts w:ascii="Times New Roman" w:hAnsi="Times New Roman" w:cs="Times New Roman"/>
          <w:sz w:val="24"/>
          <w:szCs w:val="24"/>
        </w:rPr>
        <w:pStyle w:val="P68B1DB1-Normal7"/>
      </w:pPr>
      <w:r>
        <w:t xml:space="preserve">A interpretação vinculativa da legislação da União Europeia é da competência exclusiva do Tribunal de Justiça da União Europeia. Os pontos de vista expressos no presente documento não prejudicam a posição que a Comissão possa vir a tomar perante o Tribunal de Justiça.</w:t>
      </w:r>
    </w:p>
    <w:p w14:paraId="5CC222EA" w14:textId="4A13BEE2">
      <w:pPr>
        <w:jc w:val="both"/>
        <w:rPr>
          <w:rFonts w:ascii="Times New Roman" w:hAnsi="Times New Roman" w:cs="Times New Roman"/>
          <w:sz w:val="24"/>
          <w:szCs w:val="24"/>
        </w:rPr>
        <w:pStyle w:val="P68B1DB1-Normal7"/>
      </w:pPr>
      <w:r>
        <w:t xml:space="preserve">Uma vez que o presente documento reflete a situação da jurisprudência no momento da sua redação, deve ser considerado um «instrumento vivo» suscetível de ser melhorado e o seu conteúdo pode ser objeto de alterações sem aviso prévio.</w:t>
      </w:r>
    </w:p>
    <w:p w14:paraId="00285176" w14:textId="09C940D1">
      <w:pPr>
        <w:spacing w:after="0" w:line="240" w:lineRule="auto"/>
      </w:pPr>
      <w:r>
        <w:br w:type="page"/>
      </w:r>
    </w:p>
    <w:p w14:paraId="16528720" w14:textId="3D5EAE69">
      <w:pPr>
        <w:pStyle w:val="P68B1DB1-Heading13"/>
        <w:numPr>
          <w:ilvl w:val="0"/>
          <w:numId w:val="34"/>
        </w:numPr>
        <w:spacing w:before="0" w:after="0"/>
        <w:jc w:val="center"/>
        <w:rPr>
          <w:color w:val="auto"/>
        </w:rPr>
      </w:pPr>
      <w:bookmarkStart w:id="1" w:name="_Ref194485731"/>
      <w:bookmarkStart w:id="2" w:name="_Toc198043782"/>
      <w:bookmarkStart w:id="3" w:name="_Toc198044080"/>
      <w:bookmarkStart w:id="4" w:name="_Toc203035665"/>
      <w:bookmarkStart w:id="5" w:name="_Ref194484508"/>
      <w:bookmarkEnd w:id="0"/>
      <w:r>
        <w:t xml:space="preserve">Classificação como regulamentação técnica</w:t>
      </w:r>
      <w:bookmarkEnd w:id="1"/>
      <w:bookmarkEnd w:id="2"/>
      <w:bookmarkEnd w:id="3"/>
      <w:bookmarkEnd w:id="4"/>
    </w:p>
    <w:p w14:paraId="771697CF" w14:textId="77777777">
      <w:pPr>
        <w:pStyle w:val="BodyText"/>
        <w:jc w:val="left"/>
      </w:pPr>
    </w:p>
    <w:p w14:paraId="0A4D39B5" w14:textId="5B89CEFC">
      <w:pPr>
        <w:pStyle w:val="P68B1DB1-Normal12"/>
        <w:spacing w:after="0" w:line="240" w:lineRule="auto"/>
        <w:ind w:left="567"/>
        <w:jc w:val="both"/>
        <w:rPr>
          <w:iCs/>
        </w:rPr>
      </w:pPr>
      <w:r>
        <w:t xml:space="preserve">«[...] o conceito de «regra técnica» abrange quatro categorias de medidas, a saber, por um lado, «especificações técnicas» na aceção do artigo 1.º, ponto 3, da Diretiva 98/34, ii) «outros requisitos», tal como definidos no artigo 1.º, ponto 4, desta diretiva, iii) «regras relativas aos serviços», na aceção do artigo 1.º, n.º 5, da referida diretiva, e iv) «disposições legislativas, regulamentares ou administrativas dos Estados-Membros [...] que proíbam o fabrico, a importação, a comercialização ou a utilização de um produto ou a prestação ou utilização de um serviço, ou o estabelecimento como prestador de serviços».</w:t>
      </w:r>
    </w:p>
    <w:p w14:paraId="4FAB98F0" w14:textId="77777777">
      <w:pPr>
        <w:spacing w:after="0" w:line="240" w:lineRule="auto"/>
        <w:ind w:left="567"/>
        <w:jc w:val="both"/>
        <w:rPr>
          <w:rFonts w:ascii="Times New Roman" w:hAnsi="Times New Roman" w:cs="Times New Roman"/>
          <w:i/>
          <w:iCs/>
          <w:sz w:val="24"/>
          <w:szCs w:val="24"/>
        </w:rPr>
      </w:pPr>
    </w:p>
    <w:p w14:paraId="52EA0CC8" w14:textId="61714FD0">
      <w:pPr>
        <w:pStyle w:val="P68B1DB1-Normal7"/>
        <w:spacing w:after="0" w:line="240" w:lineRule="auto"/>
        <w:ind w:left="567"/>
        <w:jc w:val="right"/>
      </w:pPr>
      <w:r>
        <w:t>(</w:t>
      </w:r>
      <w:hyperlink r:id="rId11" w:history="1">
        <w:r>
          <w:rPr>
            <w:rStyle w:val="Hyperlink"/>
            <w:color w:val="0000FF"/>
          </w:rPr>
          <w:t xml:space="preserve">Acórdão de 2 de fevereiro de 2016</w:t>
        </w:r>
      </w:hyperlink>
      <w:r>
        <w:t xml:space="preserve">, </w:t>
      </w:r>
      <w:r>
        <w:rPr>
          <w:i/>
        </w:rPr>
        <w:t>Ince</w:t>
      </w:r>
      <w:r>
        <w:t xml:space="preserve">, C-336/14, n.º 70)</w:t>
      </w:r>
    </w:p>
    <w:p w14:paraId="39D1F0E4" w14:textId="77777777">
      <w:pPr>
        <w:pStyle w:val="BodyText"/>
        <w:jc w:val="left"/>
      </w:pPr>
    </w:p>
    <w:p w14:paraId="38CAE174" w14:textId="44091B45">
      <w:pPr>
        <w:pStyle w:val="P68B1DB1-Heading24"/>
        <w:numPr>
          <w:ilvl w:val="0"/>
          <w:numId w:val="35"/>
        </w:numPr>
        <w:spacing w:before="0" w:after="0"/>
        <w:jc w:val="center"/>
        <w:rPr>
          <w:bCs/>
          <w:color w:val="auto"/>
        </w:rPr>
      </w:pPr>
      <w:bookmarkStart w:id="6" w:name="_Ref194479747"/>
      <w:bookmarkStart w:id="7" w:name="_Ref196314191"/>
      <w:bookmarkStart w:id="8" w:name="_Toc198043783"/>
      <w:bookmarkStart w:id="9" w:name="_Toc198044081"/>
      <w:bookmarkStart w:id="10" w:name="_Toc203035666"/>
      <w:r>
        <w:t xml:space="preserve">Critérios comuns para a </w:t>
      </w:r>
      <w:bookmarkEnd w:id="6"/>
      <w:r>
        <w:t xml:space="preserve">regulamentação técnica</w:t>
      </w:r>
      <w:bookmarkEnd w:id="7"/>
      <w:bookmarkEnd w:id="8"/>
      <w:bookmarkEnd w:id="9"/>
      <w:bookmarkEnd w:id="10"/>
    </w:p>
    <w:p w14:paraId="5A37DF5A" w14:textId="77777777">
      <w:pPr>
        <w:pStyle w:val="BodyText"/>
      </w:pPr>
    </w:p>
    <w:p w14:paraId="2C807316" w14:textId="77777777">
      <w:pPr>
        <w:pStyle w:val="P68B1DB1-BodyText11"/>
        <w:ind w:left="567"/>
        <w:rPr>
          <w:iCs/>
        </w:rPr>
      </w:pPr>
      <w:r>
        <w:t xml:space="preserve">«Regra técnica», uma especificação técnica, outra exigência ou uma regra relativa aos serviços, incluindo as disposições administrativas que lhes dizem respeito e cujo cumprimento é obrigatório, de jure ou de facto, para a comercialização, a prestação de serviços, o estabelecimento de um operador de serviços ou a utilização num Estado-Membro ou numa parte importante deste, bem como, sob reserva das disposições previstas no artigo 7.º, as disposições legislativas, regulamentares ou administrativas dos Estados-Membros que proíbam o fabrico, a importação, a comercialização ou a utilização de um produto ou a prestação ou utilização de um serviço ou o estabelecimento como prestador de serviços.»</w:t>
      </w:r>
    </w:p>
    <w:p w14:paraId="56CBE257" w14:textId="77777777">
      <w:pPr>
        <w:pStyle w:val="BodyText"/>
      </w:pPr>
    </w:p>
    <w:p w14:paraId="66B70B28" w14:textId="1278CE54">
      <w:pPr>
        <w:pStyle w:val="P68B1DB1-Normal7"/>
        <w:spacing w:after="0" w:line="240" w:lineRule="auto"/>
        <w:jc w:val="right"/>
      </w:pPr>
      <w:r>
        <w:t xml:space="preserve">(artigo 1.º, n.º 1, alínea f), primeira frase, da Diretiva (UE) 2015/1535)</w:t>
      </w:r>
    </w:p>
    <w:p w14:paraId="4D7A236C" w14:textId="77777777">
      <w:pPr>
        <w:spacing w:after="0" w:line="240" w:lineRule="auto"/>
        <w:rPr>
          <w:sz w:val="24"/>
          <w:szCs w:val="24"/>
        </w:rPr>
      </w:pPr>
    </w:p>
    <w:p w14:paraId="61ADC4B8" w14:textId="2F4C951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2" w:history="1">
        <w:r>
          <w:rPr>
            <w:rStyle w:val="Hyperlink"/>
            <w:rFonts w:ascii="Times New Roman" w:hAnsi="Times New Roman" w:cs="Times New Roman" w:eastAsia="Times New Roman"/>
            <w:b/>
            <w:i/>
            <w:color w:val="0000FF"/>
            <w:szCs w:val="20"/>
          </w:rPr>
          <w:t xml:space="preserve">Acórdão do Tribunal de Justiça de 30 de abril de 1996</w:t>
        </w:r>
      </w:hyperlink>
      <w:r>
        <w:rPr>
          <w:rFonts w:ascii="Times New Roman" w:hAnsi="Times New Roman" w:cs="Times New Roman" w:eastAsia="Times New Roman"/>
          <w:b/>
          <w:i/>
          <w:szCs w:val="20"/>
        </w:rPr>
        <w:t xml:space="preserve"> no processo C-194/94, CIA Security International SA, n.º 29.</w:t>
      </w:r>
      <w:bookmarkEnd w:id="11"/>
    </w:p>
    <w:p w14:paraId="6260A28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490804" w14:textId="77777777">
      <w:pPr>
        <w:pStyle w:val="P68B1DB1-P68B1DB1-Normal135"/>
        <w:widowControl w:val="0"/>
        <w:tabs>
          <w:tab w:val="left" w:pos="393"/>
        </w:tabs>
        <w:autoSpaceDE w:val="0"/>
        <w:autoSpaceDN w:val="0"/>
        <w:spacing w:after="0" w:line="240" w:lineRule="auto"/>
        <w:jc w:val="both"/>
        <w:rPr>
          <w:b w:val="0"/>
          <w:bCs/>
          <w:i w:val="0"/>
          <w:iCs/>
        </w:rPr>
      </w:pPr>
      <w:r>
        <w:t xml:space="preserve">Uma regra só pode ser qualificada de «regra técnica» se produzir efeitos jurídicos próprios. Tal não é o caso de uma lei-quadro sem efeitos jurídicos para os particulares.</w:t>
      </w:r>
    </w:p>
    <w:p w14:paraId="7CC5408A" w14:textId="77777777">
      <w:pPr>
        <w:widowControl w:val="0"/>
        <w:tabs>
          <w:tab w:val="left" w:pos="393"/>
        </w:tabs>
        <w:autoSpaceDE w:val="0"/>
        <w:autoSpaceDN w:val="0"/>
        <w:spacing w:after="0" w:line="240" w:lineRule="auto"/>
        <w:jc w:val="both"/>
        <w:rPr>
          <w:rFonts w:ascii="Times New Roman" w:hAnsi="Times New Roman" w:cs="Times New Roman" w:eastAsia="Times New Roman"/>
          <w:sz w:val="20"/>
          <w:szCs w:val="20"/>
        </w:rPr>
      </w:pPr>
    </w:p>
    <w:p w14:paraId="3649EC17" w14:textId="62FD7542">
      <w:pPr>
        <w:pStyle w:val="P68B1DB1-P68B1DB1-Normal146"/>
        <w:widowControl w:val="0"/>
        <w:tabs>
          <w:tab w:val="left" w:pos="393"/>
        </w:tabs>
        <w:autoSpaceDE w:val="0"/>
        <w:autoSpaceDN w:val="0"/>
        <w:spacing w:after="0" w:line="240" w:lineRule="auto"/>
        <w:ind w:left="567"/>
        <w:jc w:val="both"/>
        <w:rPr>
          <w:i/>
          <w:iCs/>
          <w:sz w:val="20"/>
        </w:rPr>
      </w:pPr>
      <w:r>
        <w:t xml:space="preserve">«29. A este propósito, importa sublinhar que uma regra é qualificada de regra técnica na aceção da Diretiva 83/189 quando comporta efeitos jurídicos próprios. Se, no direito interno, a norma serve apenas de base para permitir a adoção de um regulamento administrativo que contenha regras vinculativas para os interessados, de modo que, por si só, não produz efeitos jurídicos para os particulares, a norma não constitui uma regra técnica na aceção da diretiva (v. acórdão de 1994 de julho de 1, Comissão/Alemanha, C-317/92, Colet., p. 2039-26, n.º). A este respeito, importa recordar que, nos termos do artigo 8.º, n.º 1, primeiro parágrafo, da Diretiva 83/189, os Estados-Membros devem comunicar, ao mesmo tempo que o projeto de regra técnica, o instrumento de habilitação com base no qual foi adotada, se o conhecimento desse texto for necessário para avaliar as implicações do projeto de regra técnica.»</w:t>
      </w:r>
    </w:p>
    <w:p w14:paraId="4CF2EEDE" w14:textId="77777777">
      <w:pPr>
        <w:spacing w:after="0" w:line="240" w:lineRule="auto"/>
      </w:pPr>
    </w:p>
    <w:p w14:paraId="1EC2A38D" w14:textId="4709776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3" w:history="1">
        <w:r>
          <w:rPr>
            <w:rStyle w:val="Hyperlink"/>
            <w:rFonts w:ascii="Times New Roman" w:hAnsi="Times New Roman" w:cs="Times New Roman" w:eastAsia="Times New Roman"/>
            <w:b/>
            <w:i/>
            <w:color w:val="0000FF"/>
            <w:szCs w:val="20"/>
          </w:rPr>
          <w:t xml:space="preserve">Acórdão do Tribunal de Justiça de 20 de março de 1997</w:t>
        </w:r>
      </w:hyperlink>
      <w:r>
        <w:rPr>
          <w:rFonts w:ascii="Times New Roman" w:hAnsi="Times New Roman" w:cs="Times New Roman" w:eastAsia="Times New Roman"/>
          <w:b/>
          <w:i/>
          <w:szCs w:val="20"/>
        </w:rPr>
        <w:t xml:space="preserve"> no processo C-13/96, Bic Benelux, n.os 19 e 20.</w:t>
      </w:r>
      <w:bookmarkEnd w:id="12"/>
    </w:p>
    <w:p w14:paraId="2C091717"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73C7900A" w14:textId="3F5D68F7">
      <w:pPr>
        <w:pStyle w:val="P68B1DB1-P68B1DB1-Normal135"/>
        <w:widowControl w:val="0"/>
        <w:tabs>
          <w:tab w:val="left" w:pos="396"/>
          <w:tab w:val="left" w:pos="400"/>
        </w:tabs>
        <w:autoSpaceDE w:val="0"/>
        <w:autoSpaceDN w:val="0"/>
        <w:spacing w:after="0" w:line="240" w:lineRule="auto"/>
        <w:jc w:val="both"/>
        <w:rPr>
          <w:b w:val="0"/>
          <w:bCs/>
          <w:i w:val="0"/>
          <w:iCs/>
        </w:rPr>
      </w:pPr>
      <w:r>
        <w:t xml:space="preserve">As razões da adoção de uma medida nacional são irrelevantes para a qualificação dessa medida como «regra técnica». O objetivo da diretiva é, através de um controlo preventivo, proteger a livre circulação de mercadorias, que constitui um dos fundamentos da Comunidade.</w:t>
      </w:r>
    </w:p>
    <w:p w14:paraId="49EDC2CC" w14:textId="77777777">
      <w:pPr>
        <w:widowControl w:val="0"/>
        <w:autoSpaceDE w:val="0"/>
        <w:autoSpaceDN w:val="0"/>
        <w:spacing w:after="0" w:line="240" w:lineRule="auto"/>
        <w:jc w:val="both"/>
        <w:rPr>
          <w:rFonts w:ascii="Times New Roman" w:hAnsi="Times New Roman" w:cs="Times New Roman" w:eastAsia="Times New Roman"/>
          <w:szCs w:val="20"/>
        </w:rPr>
      </w:pPr>
    </w:p>
    <w:p w14:paraId="4156ECFE" w14:textId="7DEAF419">
      <w:pPr>
        <w:pStyle w:val="P68B1DB1-P68B1DB1-Normal146"/>
        <w:widowControl w:val="0"/>
        <w:autoSpaceDE w:val="0"/>
        <w:autoSpaceDN w:val="0"/>
        <w:spacing w:after="0" w:line="240" w:lineRule="auto"/>
        <w:ind w:left="510"/>
        <w:jc w:val="both"/>
        <w:rPr>
          <w:i/>
          <w:iCs/>
          <w:sz w:val="20"/>
        </w:rPr>
      </w:pPr>
      <w:r>
        <w:t xml:space="preserve">«19. [...] A Diretiva 83/189 não tem fundamento para uma interpretação que limite a sua aplicação a medidas nacionais suscetíveis de harmonização apenas com base no artigo 100.º-A do Tratado. Efetivamente, o objetivo desta diretiva é proteger, graças a um controlo preventivo, a livre circulação de mercadorias, que constitui um dos fundamentos da Comunidade. Este controlo impõe-se sempre que regras técnicas abrangidas pela diretiva sejam suscetíveis de entravar, direta ou indiretamente, atual ou potencialmente, as trocas intracomunitárias de mercadorias. Tais entraves podem resultar da adoção de regras técnicas nacionais, mesmo que não constituam uma duplicação relativamente a uma marcação aposta no Estado-Membro de origem e independentemente dos motivos que tenham justificado a sua adoção. </w:t>
      </w:r>
    </w:p>
    <w:p w14:paraId="3ECEA0CB" w14:textId="77777777">
      <w:pPr>
        <w:pStyle w:val="P68B1DB1-Normal14"/>
        <w:widowControl w:val="0"/>
        <w:autoSpaceDE w:val="0"/>
        <w:autoSpaceDN w:val="0"/>
        <w:spacing w:after="0" w:line="240" w:lineRule="auto"/>
        <w:ind w:left="510"/>
        <w:jc w:val="both"/>
        <w:rPr>
          <w:i/>
          <w:iCs/>
          <w:sz w:val="20"/>
        </w:rPr>
      </w:pPr>
    </w:p>
    <w:p w14:paraId="17FB6164" w14:textId="39A34C5B">
      <w:pPr>
        <w:pStyle w:val="P68B1DB1-P68B1DB1-Normal146"/>
        <w:widowControl w:val="0"/>
        <w:autoSpaceDE w:val="0"/>
        <w:autoSpaceDN w:val="0"/>
        <w:spacing w:after="0" w:line="240" w:lineRule="auto"/>
        <w:ind w:left="510"/>
        <w:jc w:val="both"/>
        <w:rPr>
          <w:i/>
          <w:iCs/>
          <w:sz w:val="20"/>
        </w:rPr>
      </w:pPr>
      <w:r>
        <w:t xml:space="preserve">20. Por conseguinte, o facto de uma medida nacional ter sido adotada para proteger o ambiente ou de não aplicar uma norma técnica suscetível de constituir, em si mesma, um entrave à livre circulação não significa que a medida em causa não possa constituir uma regra técnica na aceção da Diretiva 83/189.»</w:t>
      </w:r>
    </w:p>
    <w:p w14:paraId="21D40469" w14:textId="77777777">
      <w:pPr>
        <w:spacing w:after="0" w:line="240" w:lineRule="auto"/>
      </w:pPr>
    </w:p>
    <w:p w14:paraId="5DB9E3C5" w14:textId="38D65933">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4" w:history="1">
        <w:r>
          <w:rPr>
            <w:rStyle w:val="Hyperlink"/>
            <w:rFonts w:ascii="Times New Roman" w:hAnsi="Times New Roman" w:cs="Times New Roman" w:eastAsia="Times New Roman"/>
            <w:b/>
            <w:i/>
            <w:color w:val="0000FF"/>
            <w:szCs w:val="20"/>
          </w:rPr>
          <w:t xml:space="preserve">Acórdão do Tribunal de Justiça de 16 de novembro de 2000</w:t>
        </w:r>
      </w:hyperlink>
      <w:r>
        <w:rPr>
          <w:rFonts w:ascii="Times New Roman" w:hAnsi="Times New Roman" w:cs="Times New Roman" w:eastAsia="Times New Roman"/>
          <w:b/>
          <w:i/>
          <w:szCs w:val="20"/>
        </w:rPr>
        <w:t xml:space="preserve"> no processo C-37/99, Donkersteeg, n.os 30 a 34.</w:t>
      </w:r>
      <w:bookmarkEnd w:id="13"/>
    </w:p>
    <w:p w14:paraId="3F63DC2D" w14:textId="77777777">
      <w:pPr>
        <w:widowControl w:val="0"/>
        <w:autoSpaceDE w:val="0"/>
        <w:autoSpaceDN w:val="0"/>
        <w:spacing w:after="0" w:line="240" w:lineRule="auto"/>
        <w:jc w:val="both"/>
        <w:rPr>
          <w:rFonts w:ascii="Times New Roman" w:hAnsi="Times New Roman" w:cs="Times New Roman" w:eastAsia="Times New Roman"/>
          <w:szCs w:val="20"/>
        </w:rPr>
      </w:pPr>
    </w:p>
    <w:p w14:paraId="75027B7E" w14:textId="22C0CBFC">
      <w:pPr>
        <w:pStyle w:val="P68B1DB1-P68B1DB1-Normal135"/>
        <w:widowControl w:val="0"/>
        <w:autoSpaceDE w:val="0"/>
        <w:autoSpaceDN w:val="0"/>
        <w:spacing w:after="0" w:line="240" w:lineRule="auto"/>
        <w:jc w:val="both"/>
        <w:rPr>
          <w:b w:val="0"/>
          <w:bCs/>
          <w:i w:val="0"/>
          <w:iCs/>
        </w:rPr>
      </w:pPr>
      <w:r>
        <w:t xml:space="preserve">As regras pormenorizadas relativas à vacinação dos animais constituem uma «especificação técnica». No entanto, só será uma «regra técnica» a notificar se o seu respeito for obrigatório de jure ou de facto. Não é esse o caso quando, em caso de violação da regra, não são impostas restrições à comercialização ou à utilização dos produtos em causa.</w:t>
      </w:r>
    </w:p>
    <w:p w14:paraId="7B48861C" w14:textId="77777777">
      <w:pPr>
        <w:widowControl w:val="0"/>
        <w:autoSpaceDE w:val="0"/>
        <w:autoSpaceDN w:val="0"/>
        <w:spacing w:after="0" w:line="240" w:lineRule="auto"/>
        <w:jc w:val="both"/>
        <w:rPr>
          <w:rFonts w:ascii="Times New Roman" w:hAnsi="Times New Roman" w:cs="Times New Roman" w:eastAsia="Times New Roman"/>
          <w:szCs w:val="20"/>
        </w:rPr>
      </w:pPr>
    </w:p>
    <w:p w14:paraId="284DCB65" w14:textId="72CEBC4F">
      <w:pPr>
        <w:pStyle w:val="P68B1DB1-P68B1DB1-Normal146"/>
        <w:widowControl w:val="0"/>
        <w:autoSpaceDE w:val="0"/>
        <w:autoSpaceDN w:val="0"/>
        <w:spacing w:after="0"/>
        <w:ind w:left="567"/>
        <w:jc w:val="both"/>
        <w:rPr>
          <w:i/>
          <w:iCs/>
          <w:sz w:val="20"/>
        </w:rPr>
      </w:pPr>
      <w:r>
        <w:t xml:space="preserve">«30. [...] em conformidade com o artigo 1.º, n.º 1, da diretiva, no que diz respeito aos produtos agrícolas, uma «especificação técnica» consta de um documento que estabelece as características exigidas de um produto ou os seus métodos e procedimentos de produção.</w:t>
      </w:r>
    </w:p>
    <w:p w14:paraId="4B80B8D5" w14:textId="77777777">
      <w:pPr>
        <w:pStyle w:val="P68B1DB1-Normal14"/>
        <w:widowControl w:val="0"/>
        <w:autoSpaceDE w:val="0"/>
        <w:autoSpaceDN w:val="0"/>
        <w:spacing w:after="0"/>
        <w:ind w:left="567"/>
        <w:jc w:val="both"/>
        <w:rPr>
          <w:i/>
          <w:iCs/>
          <w:sz w:val="20"/>
        </w:rPr>
      </w:pPr>
    </w:p>
    <w:p w14:paraId="243FA6BC" w14:textId="77777777">
      <w:pPr>
        <w:pStyle w:val="P68B1DB1-P68B1DB1-Normal146"/>
        <w:widowControl w:val="0"/>
        <w:autoSpaceDE w:val="0"/>
        <w:autoSpaceDN w:val="0"/>
        <w:spacing w:after="0"/>
        <w:ind w:left="567"/>
        <w:jc w:val="both"/>
        <w:rPr>
          <w:i/>
          <w:iCs/>
          <w:sz w:val="20"/>
        </w:rPr>
      </w:pPr>
      <w:r>
        <w:t xml:space="preserve">31. A este respeito, impõe-se constatar que uma regra do tipo da que figura no artigo 2.º, n.º 1, do regulamento LMA constitui uma especificação técnica na aceção do artigo 1.º, n.º 1, da diretiva. Como acertadamente sustenta a Comissão, uma vez que as regras precisas e pormenorizadas relativas à vacinação contra a doença de Aujeszky estão ligadas à produção propriamente dita do produto agrícola em causa e devem ser respeitadas ao longo de todo o ciclo de produção, esta regra define, portanto, um «procedimento» na produção desse produto.</w:t>
      </w:r>
    </w:p>
    <w:p w14:paraId="38EC4E98" w14:textId="77777777">
      <w:pPr>
        <w:pStyle w:val="P68B1DB1-Normal14"/>
        <w:widowControl w:val="0"/>
        <w:autoSpaceDE w:val="0"/>
        <w:autoSpaceDN w:val="0"/>
        <w:spacing w:after="0"/>
        <w:ind w:left="567"/>
        <w:jc w:val="both"/>
        <w:rPr>
          <w:i/>
          <w:iCs/>
          <w:sz w:val="20"/>
        </w:rPr>
      </w:pPr>
    </w:p>
    <w:p w14:paraId="5C8FDDF5" w14:textId="77777777">
      <w:pPr>
        <w:pStyle w:val="P68B1DB1-P68B1DB1-Normal146"/>
        <w:widowControl w:val="0"/>
        <w:autoSpaceDE w:val="0"/>
        <w:autoSpaceDN w:val="0"/>
        <w:spacing w:after="0"/>
        <w:ind w:left="567"/>
        <w:jc w:val="both"/>
        <w:rPr>
          <w:i/>
          <w:iCs/>
          <w:sz w:val="20"/>
        </w:rPr>
      </w:pPr>
      <w:r>
        <w:t xml:space="preserve">32. No entanto, para ser qualificada de regra técnica na aceção da diretiva, a regra em causa no processo principal deve, em conformidade com o seu artigo 1.º, n.º 5, conter especificações técnicas «cujo respeito é obrigatório, de jure ou de facto, para a comercialização ou a utilização num Estado-Membro ou numa parte importante deste, com exceção dos previstos pelas autoridades locais.</w:t>
      </w:r>
    </w:p>
    <w:p w14:paraId="1642D773" w14:textId="77777777">
      <w:pPr>
        <w:pStyle w:val="P68B1DB1-Normal14"/>
        <w:widowControl w:val="0"/>
        <w:autoSpaceDE w:val="0"/>
        <w:autoSpaceDN w:val="0"/>
        <w:spacing w:after="0"/>
        <w:ind w:left="567"/>
        <w:jc w:val="both"/>
        <w:rPr>
          <w:i/>
          <w:iCs/>
          <w:sz w:val="20"/>
        </w:rPr>
      </w:pPr>
    </w:p>
    <w:p w14:paraId="1D500948" w14:textId="77777777">
      <w:pPr>
        <w:pStyle w:val="P68B1DB1-P68B1DB1-Normal146"/>
        <w:widowControl w:val="0"/>
        <w:autoSpaceDE w:val="0"/>
        <w:autoSpaceDN w:val="0"/>
        <w:spacing w:after="0"/>
        <w:ind w:left="567"/>
        <w:jc w:val="both"/>
        <w:rPr>
          <w:i/>
          <w:iCs/>
          <w:sz w:val="20"/>
        </w:rPr>
      </w:pPr>
      <w:r>
        <w:t xml:space="preserve">33. A este propósito, importa salientar, como fez o Governo neerlandês, que a regra que figura no artigo 2.º, n.º 1, do regulamento LMA não impõe restrições à comercialização nem à utilização dos produtos em causa, no caso de os suínos, em violação desta regra, não terem sido vacinados contra a doença de Aujeszky.</w:t>
      </w:r>
    </w:p>
    <w:p w14:paraId="2280D2F8" w14:textId="77777777">
      <w:pPr>
        <w:pStyle w:val="P68B1DB1-Normal14"/>
        <w:widowControl w:val="0"/>
        <w:autoSpaceDE w:val="0"/>
        <w:autoSpaceDN w:val="0"/>
        <w:spacing w:after="0"/>
        <w:ind w:left="567"/>
        <w:jc w:val="both"/>
        <w:rPr>
          <w:i/>
          <w:iCs/>
          <w:sz w:val="20"/>
        </w:rPr>
      </w:pPr>
    </w:p>
    <w:p w14:paraId="432A3655" w14:textId="77777777">
      <w:pPr>
        <w:pStyle w:val="P68B1DB1-P68B1DB1-Normal146"/>
        <w:widowControl w:val="0"/>
        <w:autoSpaceDE w:val="0"/>
        <w:autoSpaceDN w:val="0"/>
        <w:spacing w:after="0"/>
        <w:ind w:left="567"/>
        <w:jc w:val="both"/>
        <w:rPr>
          <w:i/>
          <w:iCs/>
          <w:sz w:val="20"/>
        </w:rPr>
      </w:pPr>
      <w:r>
        <w:t xml:space="preserve">34. Por conseguinte, há que responder à segunda questão que uma disposição como a que está em causa no processo principal, que impõe a cada agricultor que mande vacinar os suínos da sua exploração contra a doença de Aujeszky, não constitui, na aceção da diretiva, uma regra técnica que deveria ter sido notificada à Comissão antes da sua adoção.»</w:t>
      </w:r>
    </w:p>
    <w:p w14:paraId="4573243C" w14:textId="77777777">
      <w:pPr>
        <w:spacing w:after="0" w:line="240" w:lineRule="auto"/>
      </w:pPr>
    </w:p>
    <w:p w14:paraId="6D41E4F7" w14:textId="2DFA6AAE">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5" w:history="1">
        <w:r>
          <w:rPr>
            <w:rStyle w:val="Hyperlink"/>
            <w:rFonts w:ascii="Times New Roman" w:hAnsi="Times New Roman" w:cs="Times New Roman" w:eastAsia="Times New Roman"/>
            <w:b/>
            <w:i/>
            <w:color w:val="0000FF"/>
            <w:szCs w:val="20"/>
          </w:rPr>
          <w:t xml:space="preserve">Acórdão do Tribunal de Justiça de 3 de dezembro de 2020</w:t>
        </w:r>
      </w:hyperlink>
      <w:r>
        <w:rPr>
          <w:rFonts w:ascii="Times New Roman" w:hAnsi="Times New Roman" w:cs="Times New Roman" w:eastAsia="Times New Roman"/>
          <w:b/>
          <w:i/>
          <w:szCs w:val="20"/>
        </w:rPr>
        <w:t xml:space="preserve"> no processo C-62/19, Star Taxi App, n.os 60 e 61.</w:t>
      </w:r>
      <w:bookmarkEnd w:id="14"/>
    </w:p>
    <w:p w14:paraId="13F9C96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B016A8" w14:textId="595E56D7">
      <w:pPr>
        <w:pStyle w:val="P68B1DB1-P68B1DB1-Normal135"/>
        <w:widowControl w:val="0"/>
        <w:autoSpaceDE w:val="0"/>
        <w:autoSpaceDN w:val="0"/>
        <w:spacing w:after="0" w:line="240" w:lineRule="auto"/>
        <w:jc w:val="both"/>
        <w:rPr>
          <w:b w:val="0"/>
          <w:bCs/>
          <w:i w:val="0"/>
          <w:iCs/>
        </w:rPr>
      </w:pPr>
      <w:r>
        <w:t xml:space="preserve">Para que uma medida nacional possa ser qualificada de «regra técnica», deve vincular de jure ou de facto a prestação ou a utilização do serviço em causa num Estado-Membro ou numa parte importante deste.</w:t>
      </w:r>
    </w:p>
    <w:p w14:paraId="2E622B9C" w14:textId="77777777">
      <w:pPr>
        <w:widowControl w:val="0"/>
        <w:autoSpaceDE w:val="0"/>
        <w:autoSpaceDN w:val="0"/>
        <w:spacing w:after="0" w:line="240" w:lineRule="auto"/>
        <w:jc w:val="both"/>
        <w:rPr>
          <w:rFonts w:ascii="Times New Roman" w:hAnsi="Times New Roman" w:cs="Times New Roman" w:eastAsia="Times New Roman"/>
          <w:szCs w:val="20"/>
        </w:rPr>
      </w:pPr>
    </w:p>
    <w:p w14:paraId="072FCDD3" w14:textId="5A28BFDE">
      <w:pPr>
        <w:pStyle w:val="P68B1DB1-Normal15"/>
        <w:widowControl w:val="0"/>
        <w:autoSpaceDE w:val="0"/>
        <w:autoSpaceDN w:val="0"/>
        <w:spacing w:after="0" w:line="240" w:lineRule="auto"/>
        <w:ind w:left="567"/>
        <w:jc w:val="both"/>
        <w:rPr>
          <w:i w:val="0"/>
          <w:iCs/>
        </w:rPr>
      </w:pPr>
      <w:r>
        <w:t xml:space="preserve">«60. [...] resulta do artigo 1.º, n.º 1, alínea f), primeiro parágrafo, da Diretiva 2015/1535 que se entende por «regra técnica» «uma especificação técnica e outras exigências ou regras relativas aos serviços, incluindo as disposições administrativas que lhes são aplicáveis, cujo cumprimento seja obrigatório, de jure ou de facto, para a comercialização, a prestação de serviços, o estabelecimento de um operador de serviços ou a utilização num Estado-Membro ou numa parte importante deste, bem como, sob reserva das disposições previstas no artigo 7.º, as disposições legislativas, regulamentares ou administrativas dos Estados-Membros que proíbam o fabrico, a importação, a comercialização ou a utilização de um produto ou a prestação ou utilização de um serviço ou o estabelecimento como prestador de serviços».</w:t>
      </w:r>
    </w:p>
    <w:p w14:paraId="4FF7DC70" w14:textId="77777777">
      <w:pPr>
        <w:pStyle w:val="P68B1DB1-Normal15"/>
        <w:widowControl w:val="0"/>
        <w:autoSpaceDE w:val="0"/>
        <w:autoSpaceDN w:val="0"/>
        <w:spacing w:after="0" w:line="240" w:lineRule="auto"/>
        <w:ind w:left="567"/>
        <w:jc w:val="both"/>
        <w:rPr>
          <w:i w:val="0"/>
          <w:iCs/>
        </w:rPr>
      </w:pPr>
    </w:p>
    <w:p w14:paraId="4482F387" w14:textId="50B8F03F">
      <w:pPr>
        <w:pStyle w:val="P68B1DB1-Normal15"/>
        <w:widowControl w:val="0"/>
        <w:autoSpaceDE w:val="0"/>
        <w:autoSpaceDN w:val="0"/>
        <w:spacing w:after="0" w:line="240" w:lineRule="auto"/>
        <w:ind w:left="567"/>
        <w:jc w:val="both"/>
        <w:rPr>
          <w:i w:val="0"/>
          <w:iCs/>
        </w:rPr>
      </w:pPr>
      <w:r>
        <w:t xml:space="preserve">61. Daqui resulta que, para que uma legislação nacional que afete um serviço da sociedade da informação possa ser qualificada de «regra técnica», deve não só ser qualificada de «regra relativa aos serviços», tal como definida no artigo 1.º, n.º 1, alínea e), da Diretiva 2015/1535, mas também ser obrigatória, de jure ou de facto, no caso, nomeadamente, da prestação do serviço em causa ou da sua utilização num Estado-Membro ou numa parte importante desse Estado.»</w:t>
      </w:r>
    </w:p>
    <w:p w14:paraId="6EC55A15" w14:textId="67024D34">
      <w:pPr>
        <w:pStyle w:val="P68B1DB1-Heading24"/>
        <w:numPr>
          <w:ilvl w:val="0"/>
          <w:numId w:val="35"/>
        </w:numPr>
        <w:spacing w:before="0" w:after="0"/>
        <w:jc w:val="center"/>
        <w:rPr>
          <w:bCs/>
          <w:color w:val="auto"/>
        </w:rPr>
      </w:pPr>
      <w:bookmarkStart w:id="15" w:name="_Ref194481248"/>
      <w:bookmarkStart w:id="16" w:name="_Ref196314204"/>
      <w:bookmarkStart w:id="17" w:name="_Toc203035667"/>
      <w:r>
        <w:t>Especificações</w:t>
      </w:r>
      <w:bookmarkEnd w:id="15"/>
      <w:r>
        <w:t xml:space="preserve"> técnicas</w:t>
      </w:r>
      <w:bookmarkEnd w:id="16"/>
      <w:bookmarkEnd w:id="17"/>
    </w:p>
    <w:p w14:paraId="241DC1E1" w14:textId="77777777">
      <w:pPr>
        <w:pStyle w:val="BodyText"/>
      </w:pPr>
    </w:p>
    <w:p w14:paraId="24A39E18" w14:textId="77777777">
      <w:pPr>
        <w:pStyle w:val="P68B1DB1-BodyText11"/>
        <w:ind w:left="567"/>
      </w:pPr>
      <w:r>
        <w:t xml:space="preserve">«especificação técnica», uma especificação constante de um documento que define as características exigidas de um produto, tais como os níveis de qualidade, desempenho, segurança ou dimensões, incluindo os requisitos aplicáveis ao produto no que diz respeito à denominação de venda, à terminologia, aos símbolos, aos ensaios e métodos de ensaio, à embalagem, à marcação ou rotulagem e aos procedimentos de avaliação da conformidade.</w:t>
      </w:r>
    </w:p>
    <w:p w14:paraId="33F4D1E4" w14:textId="77777777">
      <w:pPr>
        <w:pStyle w:val="P68B1DB1-BodyText11"/>
        <w:ind w:left="567"/>
      </w:pPr>
    </w:p>
    <w:p w14:paraId="5224E321" w14:textId="77777777">
      <w:pPr>
        <w:pStyle w:val="P68B1DB1-BodyText11"/>
        <w:ind w:left="567"/>
        <w:rPr>
          <w:iCs/>
        </w:rPr>
      </w:pPr>
      <w:r>
        <w:t xml:space="preserve">O termo «especificação técnica» abrange igualmente os métodos e processos de produção relativos aos produtos agrícolas a que se refere o artigo 38.º, n.º 1, segundo parágrafo, do Tratado sobre o Funcionamento da União Europeia (TFUE), aos produtos destinados à alimentação humana e animal, aos medicamentos definidos no artigo 1.º da Diretiva 2001/83/CE do Parlamento Europeu e do Conselho (1), bem como aos métodos e processos de produção relativos a outros produtos, sempre que estes afetem as suas características;»</w:t>
      </w:r>
    </w:p>
    <w:p w14:paraId="6C2A57E1" w14:textId="77777777">
      <w:pPr>
        <w:pStyle w:val="BodyText"/>
        <w:ind w:left="567"/>
        <w:rPr>
          <w:i/>
          <w:iCs/>
        </w:rPr>
      </w:pPr>
    </w:p>
    <w:p w14:paraId="2F7A4C59" w14:textId="62E0EC95">
      <w:pPr>
        <w:pStyle w:val="BodyText"/>
        <w:ind w:left="1440"/>
        <w:jc w:val="right"/>
      </w:pPr>
      <w:r>
        <w:t xml:space="preserve">(Artigo 1.º, n.º 1, alínea c), da Diretiva (UE) 2015/1535)</w:t>
      </w:r>
    </w:p>
    <w:p w14:paraId="01CFC4AF" w14:textId="77777777">
      <w:pPr>
        <w:spacing w:after="0" w:line="240" w:lineRule="auto"/>
      </w:pPr>
    </w:p>
    <w:p w14:paraId="1AB91297" w14:textId="219B80DD">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6" w:history="1">
        <w:r>
          <w:rPr>
            <w:rStyle w:val="Hyperlink"/>
            <w:rFonts w:ascii="Times New Roman" w:hAnsi="Times New Roman" w:cs="Times New Roman" w:eastAsia="Times New Roman"/>
            <w:b/>
            <w:i/>
            <w:color w:val="0000FF"/>
            <w:szCs w:val="20"/>
          </w:rPr>
          <w:t xml:space="preserve">Acórdão do Tribunal de Justiça de 11 de janeiro de 1996</w:t>
        </w:r>
      </w:hyperlink>
      <w:r>
        <w:rPr>
          <w:rFonts w:ascii="Times New Roman" w:hAnsi="Times New Roman" w:cs="Times New Roman" w:eastAsia="Times New Roman"/>
          <w:b/>
          <w:i/>
          <w:szCs w:val="20"/>
        </w:rPr>
        <w:t xml:space="preserve"> no processo C-273/94, Comissão/Países Baixos, n.º 13.</w:t>
      </w:r>
      <w:bookmarkEnd w:id="18"/>
    </w:p>
    <w:p w14:paraId="490AFA5B"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45335B30" w14:textId="77777777">
      <w:pPr>
        <w:pStyle w:val="P68B1DB1-P68B1DB1-Normal135"/>
        <w:widowControl w:val="0"/>
        <w:tabs>
          <w:tab w:val="left" w:pos="396"/>
          <w:tab w:val="left" w:pos="405"/>
        </w:tabs>
        <w:autoSpaceDE w:val="0"/>
        <w:autoSpaceDN w:val="0"/>
        <w:spacing w:after="0" w:line="240" w:lineRule="auto"/>
        <w:jc w:val="both"/>
        <w:rPr>
          <w:b w:val="0"/>
          <w:bCs/>
          <w:i w:val="0"/>
          <w:iCs/>
        </w:rPr>
      </w:pPr>
      <w:r>
        <w:t xml:space="preserve">Uma regra nacional que introduz uma derrogação a uma regra técnica existente para um produto específico constitui uma «regra técnica» quando impõe «especificações técnicas» alternativas que qualquer pessoa que pretenda beneficiar da derrogação deve respeitar. </w:t>
      </w:r>
    </w:p>
    <w:p w14:paraId="5E3E0A04"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0D132388" w14:textId="17D2E715">
      <w:pPr>
        <w:pStyle w:val="P68B1DB1-P68B1DB1-Normal147"/>
        <w:widowControl w:val="0"/>
        <w:tabs>
          <w:tab w:val="left" w:pos="405"/>
        </w:tabs>
        <w:autoSpaceDE w:val="0"/>
        <w:autoSpaceDN w:val="0"/>
        <w:spacing w:after="0" w:line="240" w:lineRule="auto"/>
        <w:ind w:left="567"/>
        <w:jc w:val="both"/>
        <w:rPr>
          <w:i/>
          <w:iCs/>
          <w:sz w:val="20"/>
          <w:szCs w:val="18"/>
        </w:rPr>
      </w:pPr>
      <w:r>
        <w:t xml:space="preserve">«13. A aplicação a um produto específico, como a margarina, de um regulamento que derroga outra regra técnica já existente para o mesmo produto constitui uma regra técnica na aceção do artigo 1.º, n.º 5, da diretiva, uma vez que estabelece especificações técnicas na aceção do artigo 1.º, n.º 1, cujo respeito é obrigatório, de jure ou de facto, quando esse produto é comercializado ou utilizado. Com efeito, se a margarina não for fabricada de acordo com o disposto no decreto sobre a margarina, só pode ser fabricada recorrendo-se aos produtos de substituição autorizados pelo regulamento controvertido. A utilização dos referidos produtos de substituição não só está limitada às exigências do regulamento controvertido, como também a sua utilização representa a única alternativa aos produtos que podem ser utilizados por força do decreto sobre a margarina. O despacho controvertido deveria, portanto, ter sido notificado em conformidade com a diretiva.»</w:t>
      </w:r>
    </w:p>
    <w:p w14:paraId="3246D759" w14:textId="77777777">
      <w:pPr>
        <w:spacing w:after="0" w:line="240" w:lineRule="auto"/>
      </w:pPr>
    </w:p>
    <w:bookmarkStart w:id="19" w:name="_Hlk193381440"/>
    <w:p w14:paraId="62C03AFC" w14:textId="2795F956">
      <w:pPr>
        <w:pStyle w:val="P68B1DB1-P68B1DB1-Normal168"/>
        <w:widowControl w:val="0"/>
        <w:autoSpaceDE w:val="0"/>
        <w:autoSpaceDN w:val="0"/>
        <w:spacing w:after="0" w:line="240" w:lineRule="auto"/>
        <w:jc w:val="both"/>
        <w:outlineLvl w:val="1"/>
        <w:rPr>
          <w:b/>
          <w:bCs/>
          <w:i/>
          <w:iCs/>
          <w:sz w:val="22"/>
          <w:szCs w:val="18"/>
          <w:u w:val="single"/>
        </w:rPr>
      </w:pPr>
      <w:r>
        <w:rPr>
          <w:u w:val="single"/>
        </w:rPr>
        <w:fldChar w:fldCharType="begin"/>
      </w:r>
      <w:r>
        <w:rPr>
          <w:b/>
          <w:bCs/>
          <w:i/>
          <w:iCs/>
          <w:sz w:val="22"/>
          <w:szCs w:val="18"/>
          <w:u w:val="single"/>
        </w:rPr>
        <w:instrText>HYPERLINK "https://eur-lex.europa.eu/legal-content/EN/TXT/PDF/?uri=CELEX:61994CJ0194"</w:instrText>
      </w:r>
      <w:r>
        <w:rPr>
          <w:b/>
          <w:bCs/>
          <w:i/>
          <w:iCs/>
          <w:sz w:val="22"/>
          <w:szCs w:val="18"/>
          <w:u w:val="single"/>
        </w:rPr>
      </w:r>
      <w:r>
        <w:rPr>
          <w:b/>
          <w:bCs/>
          <w:i/>
          <w:iCs/>
          <w:sz w:val="22"/>
          <w:szCs w:val="18"/>
          <w:u w:val="single"/>
        </w:rPr>
        <w:fldChar w:fldCharType="separate"/>
      </w:r>
      <w:bookmarkStart w:id="20" w:name="_Toc198043789"/>
      <w:r>
        <w:rPr>
          <w:b/>
          <w:bCs/>
          <w:i/>
          <w:iCs/>
          <w:color w:val="0000FF"/>
          <w:sz w:val="22"/>
          <w:szCs w:val="18"/>
          <w:u w:val="single"/>
        </w:rPr>
        <w:t xml:space="preserve">Acórdão do Tribunal de Justiça de 30 de abril de 1996</w:t>
      </w:r>
      <w:r>
        <w:t xml:space="preserve"> no processo C-194/94,</w:t>
      </w:r>
      <w:r>
        <w:rPr>
          <w:b/>
          <w:bCs/>
          <w:i/>
          <w:iCs/>
          <w:color w:val="0000FF"/>
          <w:sz w:val="22"/>
          <w:szCs w:val="18"/>
          <w:u w:val="single"/>
        </w:rPr>
        <w:fldChar w:fldCharType="end"/>
        <w:t xml:space="preserve">CIA Security International SA, n.º 30.</w:t>
      </w:r>
      <w:bookmarkEnd w:id="20"/>
    </w:p>
    <w:p w14:paraId="03A3C49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B9B60A" w14:textId="77777777">
      <w:pPr>
        <w:pStyle w:val="P68B1DB1-P68B1DB1-Normal135"/>
        <w:widowControl w:val="0"/>
        <w:tabs>
          <w:tab w:val="left" w:pos="393"/>
        </w:tabs>
        <w:autoSpaceDE w:val="0"/>
        <w:autoSpaceDN w:val="0"/>
        <w:spacing w:after="0" w:line="240" w:lineRule="auto"/>
        <w:jc w:val="both"/>
        <w:rPr>
          <w:b w:val="0"/>
          <w:bCs/>
          <w:i w:val="0"/>
          <w:iCs/>
        </w:rPr>
      </w:pPr>
      <w:r>
        <w:t xml:space="preserve">Uma regra deve ser qualificada de «regra técnica» quando impõe às empresas em causa que solicitem a aprovação prévia do seu equipamento, mesmo que as regras administrativas previstas não tenham sido adotadas.</w:t>
      </w:r>
    </w:p>
    <w:p w14:paraId="3B8967AA"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215AA9EB" w14:textId="10F7CC33">
      <w:pPr>
        <w:pStyle w:val="P68B1DB1-P68B1DB1-Normal147"/>
        <w:widowControl w:val="0"/>
        <w:tabs>
          <w:tab w:val="left" w:pos="396"/>
        </w:tabs>
        <w:autoSpaceDE w:val="0"/>
        <w:autoSpaceDN w:val="0"/>
        <w:spacing w:after="0" w:line="240" w:lineRule="auto"/>
        <w:ind w:left="567"/>
        <w:jc w:val="both"/>
        <w:rPr>
          <w:i/>
          <w:iCs/>
          <w:sz w:val="20"/>
          <w:szCs w:val="18"/>
        </w:rPr>
      </w:pPr>
      <w:r>
        <w:t>«30</w:t>
      </w:r>
      <w:bookmarkEnd w:id="19"/>
      <w:r>
        <w:t xml:space="preserve">. [...] uma regra deve ser qualificada de regra técnica na aceção da Diretiva 83/189 se, como alegou o Governo belga na audiência, exigir que as empresas em causa requeiram a aprovação prévia dos seus equipamentos, mesmo que as regras administrativas previstas não tenham sido adotadas.»</w:t>
      </w:r>
    </w:p>
    <w:p w14:paraId="2E3568F3" w14:textId="77777777">
      <w:pPr>
        <w:spacing w:after="0" w:line="240" w:lineRule="auto"/>
      </w:pPr>
    </w:p>
    <w:bookmarkStart w:id="21" w:name="_Hlk193380849"/>
    <w:p w14:paraId="5207FE2E" w14:textId="5E0891EF">
      <w:pPr>
        <w:pStyle w:val="P68B1DB1-P68B1DB1-Normal169"/>
        <w:widowControl w:val="0"/>
        <w:autoSpaceDE w:val="0"/>
        <w:autoSpaceDN w:val="0"/>
        <w:spacing w:after="0" w:line="240" w:lineRule="auto"/>
        <w:jc w:val="both"/>
        <w:outlineLvl w:val="1"/>
        <w:rPr>
          <w:b/>
          <w:bCs/>
          <w:i/>
          <w:iCs/>
          <w:sz w:val="24"/>
          <w:szCs w:val="20"/>
        </w:rPr>
      </w:pPr>
      <w:r>
        <w:fldChar w:fldCharType="begin"/>
      </w:r>
      <w:r>
        <w:rPr>
          <w:b/>
          <w:bCs/>
          <w:i/>
          <w:iCs/>
          <w:sz w:val="24"/>
          <w:szCs w:val="20"/>
        </w:rPr>
        <w:instrText>HYPERLINK "https://curia.europa.eu/juris/showPdf.jsf?text=&amp;docid=43725&amp;pageIndex=0&amp;doclang=EN&amp;mode=lst&amp;dir=&amp;occ=first&amp;part=1&amp;cid=10811412"</w:instrText>
      </w:r>
      <w:r>
        <w:rPr>
          <w:b/>
          <w:bCs/>
          <w:i/>
          <w:iCs/>
          <w:sz w:val="24"/>
          <w:szCs w:val="20"/>
        </w:rPr>
      </w:r>
      <w:r>
        <w:rPr>
          <w:b/>
          <w:bCs/>
          <w:i/>
          <w:iCs/>
          <w:sz w:val="24"/>
          <w:szCs w:val="20"/>
        </w:rPr>
        <w:fldChar w:fldCharType="separate"/>
      </w:r>
      <w:bookmarkStart w:id="22" w:name="_Toc198043790"/>
      <w:r>
        <w:rPr>
          <w:b/>
          <w:bCs/>
          <w:i/>
          <w:iCs/>
          <w:color w:val="0000FF"/>
          <w:sz w:val="24"/>
          <w:szCs w:val="20"/>
          <w:u w:val="single"/>
        </w:rPr>
        <w:t xml:space="preserve">Acórdão do Tribunal de Justiça de 16 de setembro de 1996 no processo C-279/94,</w:t>
      </w:r>
      <w:r>
        <w:rPr>
          <w:b/>
          <w:bCs/>
          <w:i/>
          <w:iCs/>
          <w:color w:val="0000FF"/>
          <w:sz w:val="24"/>
          <w:szCs w:val="20"/>
          <w:u w:val="single"/>
        </w:rPr>
        <w:fldChar w:fldCharType="end"/>
        <w:t xml:space="preserve">Comissão/Itália, n.º 34.</w:t>
      </w:r>
      <w:bookmarkEnd w:id="22"/>
    </w:p>
    <w:p w14:paraId="17AF04A1"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305146C4" w14:textId="48041DD6">
      <w:pPr>
        <w:pStyle w:val="P68B1DB1-P68B1DB1-Normal135"/>
        <w:widowControl w:val="0"/>
        <w:tabs>
          <w:tab w:val="left" w:pos="396"/>
          <w:tab w:val="left" w:pos="461"/>
        </w:tabs>
        <w:autoSpaceDE w:val="0"/>
        <w:autoSpaceDN w:val="0"/>
        <w:spacing w:after="0" w:line="240" w:lineRule="auto"/>
        <w:jc w:val="both"/>
        <w:rPr>
          <w:b w:val="0"/>
          <w:bCs/>
          <w:i w:val="0"/>
          <w:iCs/>
        </w:rPr>
      </w:pPr>
      <w:r>
        <w:t xml:space="preserve">Uma disposição que estabeleça limites para a concentração de fibras de amianto respiráveis nos locais de trabalho não é uma «especificação técnica», uma vez que não define as características exigidas de um produto.</w:t>
      </w:r>
    </w:p>
    <w:bookmarkEnd w:id="21"/>
    <w:p w14:paraId="3914A279"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i/>
          <w:iCs/>
          <w:sz w:val="20"/>
          <w:szCs w:val="16"/>
        </w:rPr>
      </w:pPr>
    </w:p>
    <w:p w14:paraId="67A9CA8E" w14:textId="0D618384">
      <w:pPr>
        <w:pStyle w:val="P68B1DB1-P68B1DB1-Normal147"/>
        <w:widowControl w:val="0"/>
        <w:tabs>
          <w:tab w:val="left" w:pos="396"/>
          <w:tab w:val="left" w:pos="461"/>
        </w:tabs>
        <w:autoSpaceDE w:val="0"/>
        <w:autoSpaceDN w:val="0"/>
        <w:spacing w:after="0" w:line="240" w:lineRule="auto"/>
        <w:ind w:left="567"/>
        <w:jc w:val="both"/>
        <w:rPr>
          <w:i/>
          <w:iCs/>
          <w:sz w:val="20"/>
          <w:szCs w:val="18"/>
        </w:rPr>
      </w:pPr>
      <w:r>
        <w:t xml:space="preserve">«34. Ora, segundo o artigo 1.º, ponto 5, da diretiva, deve entender-se por regra técnica «... as especificações técnicas, incluindo as disposições administrativas q ue se lhes referem, cujo respeito é obrigatório, de jure ou de facto, para a comercialização ou a utilização num Estado-Membro...». Segundo o artigo 1.º, ponto 1, da diretiva, uma «especificação técnica» é uma especificação que consta de um documento que define as características exigidas de um produto, tais como os níveis de qualidade ou de propriedade de utilização e a segurança. O artigo 3.º, n.º 1, da Lei n.º 257/92 estabelece valores-limite de concentração em fibras de amianto respiráveis nos locais de trabalho. Não indicando uma característica exigida de um produto, esta disposição não está, a priori, abrangida pela definição de especificação técnica e não pode, por conseguinte, ser considerada uma regra técnica que deva ser notificada à Comissão, em conformidade com o disposto no artigo 8.º, n.º 1, primeiro parágrafo, da diretiva. Embora o respeito dos valores-limite de concentração de fibras de amianto inaláveis previstos no artigo 3.º da Lei n.º 257/92 possa ter consequências no que respeita às características do produto em causa, tal como previsto no n.º 1 do artigo 1.º da diretiva, a Comissão não demonstrou em que medida poderia ser esse o caso.»</w:t>
      </w:r>
    </w:p>
    <w:p w14:paraId="77CC982D" w14:textId="77777777">
      <w:pPr>
        <w:spacing w:after="0" w:line="240" w:lineRule="auto"/>
      </w:pPr>
    </w:p>
    <w:p w14:paraId="7EF6FA71" w14:textId="696433A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7" w:history="1">
        <w:r>
          <w:rPr>
            <w:color w:val="0000FF"/>
            <w:u w:val="single"/>
          </w:rPr>
          <w:t xml:space="preserve">Acórdão do Tribunal de Justiça de 17 de setembro de 1996</w:t>
        </w:r>
      </w:hyperlink>
      <w:r>
        <w:t xml:space="preserve"> no processo C-289/94, Comissão/Itália, n.º 32.</w:t>
      </w:r>
      <w:bookmarkEnd w:id="23"/>
    </w:p>
    <w:p w14:paraId="63F2CA3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4459CD7" w14:textId="60F96DFC">
      <w:pPr>
        <w:pStyle w:val="P68B1DB1-P68B1DB1-Normal135"/>
        <w:widowControl w:val="0"/>
        <w:tabs>
          <w:tab w:val="left" w:pos="393"/>
          <w:tab w:val="left" w:pos="396"/>
        </w:tabs>
        <w:autoSpaceDE w:val="0"/>
        <w:autoSpaceDN w:val="0"/>
        <w:spacing w:after="0" w:line="240" w:lineRule="auto"/>
        <w:jc w:val="both"/>
        <w:rPr>
          <w:b w:val="0"/>
          <w:bCs/>
          <w:i w:val="0"/>
          <w:iCs/>
        </w:rPr>
      </w:pPr>
      <w:r>
        <w:t xml:space="preserve">Um decreto que regula a qualidade das águas destinadas à cultura de moluscos constitui uma «regra técnica» sujeita a notificação devido ao seu impacto direto na comercialização dos produtos em causa. </w:t>
      </w:r>
    </w:p>
    <w:p w14:paraId="2D9EC8A9"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3F84CC3E" w14:textId="06ABFE08">
      <w:pPr>
        <w:pStyle w:val="P68B1DB1-P68B1DB1-Normal147"/>
        <w:widowControl w:val="0"/>
        <w:tabs>
          <w:tab w:val="left" w:pos="393"/>
          <w:tab w:val="left" w:pos="396"/>
        </w:tabs>
        <w:autoSpaceDE w:val="0"/>
        <w:autoSpaceDN w:val="0"/>
        <w:spacing w:after="0" w:line="240" w:lineRule="auto"/>
        <w:ind w:left="567"/>
        <w:jc w:val="both"/>
        <w:rPr>
          <w:i/>
          <w:iCs/>
          <w:sz w:val="20"/>
          <w:szCs w:val="18"/>
        </w:rPr>
      </w:pPr>
      <w:r>
        <w:t xml:space="preserve">«32.  Embora o Decreto n.º 256 incida sobre certos aspetos da qualidade das águas destinadas a acolher os moluscos lamelibrânquios comestíveis, não deixa de estabelecer, como sublinha com razão a Comissão, uma correlação muito estreita entre a qualidade das águas de cultura e a comercialização dos moluscos lamelibrânquios destinados ao consumo humano. Assim, só os moluscos criados em águas que correspondem às especificações técnicas instituídas pelo Decreto n.º 256 poderão ser comercializados. O respeito destas especificações, obrigatórias, tem, assim, um impacto direto na comercialização dos moluscos, pelo que o Decreto n.º 256 deve ser considerado uma regra técnica sujeita à obrigação de notificação prevista no artigo 8.º da Diretiva 83/189.»</w:t>
      </w:r>
    </w:p>
    <w:p w14:paraId="649C3FFC" w14:textId="77777777">
      <w:pPr>
        <w:spacing w:after="0" w:line="240" w:lineRule="auto"/>
      </w:pPr>
    </w:p>
    <w:p w14:paraId="594FA21A" w14:textId="5BFD552E">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8" w:history="1">
        <w:r>
          <w:rPr>
            <w:color w:val="0000FF"/>
            <w:u w:val="single"/>
          </w:rPr>
          <w:t xml:space="preserve">Acórdão do Tribunal de Justiça de 11 de maio de 1999</w:t>
        </w:r>
      </w:hyperlink>
      <w:r>
        <w:t xml:space="preserve"> no processo C-425/97 a 427/97, Albers e o., n.os 16 e 17.</w:t>
      </w:r>
      <w:bookmarkEnd w:id="24"/>
    </w:p>
    <w:p w14:paraId="5F0AAD7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7AC9467" w14:textId="6F183D52">
      <w:pPr>
        <w:pStyle w:val="P68B1DB1-P68B1DB1-Normal135"/>
        <w:widowControl w:val="0"/>
        <w:tabs>
          <w:tab w:val="left" w:pos="403"/>
        </w:tabs>
        <w:autoSpaceDE w:val="0"/>
        <w:autoSpaceDN w:val="0"/>
        <w:spacing w:after="0" w:line="240" w:lineRule="auto"/>
        <w:jc w:val="both"/>
        <w:rPr>
          <w:b w:val="0"/>
          <w:bCs/>
          <w:i w:val="0"/>
          <w:iCs/>
        </w:rPr>
      </w:pPr>
      <w:r>
        <w:t xml:space="preserve">As regras que proíbem a administração de certos medicamentos aos bovinos constituem «especificações técnicas», na medida em que definem os métodos de produção dos produtos agrícolas.</w:t>
      </w:r>
    </w:p>
    <w:p w14:paraId="72C610C7"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337E8892" w14:textId="77777777">
      <w:pPr>
        <w:pStyle w:val="P68B1DB1-P68B1DB1-Normal147"/>
        <w:widowControl w:val="0"/>
        <w:tabs>
          <w:tab w:val="left" w:pos="403"/>
        </w:tabs>
        <w:autoSpaceDE w:val="0"/>
        <w:autoSpaceDN w:val="0"/>
        <w:spacing w:after="0"/>
        <w:ind w:left="567"/>
        <w:jc w:val="both"/>
        <w:rPr>
          <w:i/>
          <w:iCs/>
          <w:sz w:val="20"/>
          <w:szCs w:val="18"/>
        </w:rPr>
      </w:pPr>
      <w:r>
        <w:t xml:space="preserve">«16. constituem especificações técnicas na aceção do artigo 1.º, n.º 1, da Diretiva 83/189 as regras que, como as do presente processo, se destinam a impedir a administração de substâncias simpaticomiméticas aos bovinos de engorda com mais de 14 semanas de idade.</w:t>
      </w:r>
    </w:p>
    <w:p w14:paraId="184A20A2" w14:textId="77777777">
      <w:pPr>
        <w:pStyle w:val="P68B1DB1-Normal14"/>
        <w:widowControl w:val="0"/>
        <w:tabs>
          <w:tab w:val="left" w:pos="403"/>
        </w:tabs>
        <w:autoSpaceDE w:val="0"/>
        <w:autoSpaceDN w:val="0"/>
        <w:spacing w:after="0"/>
        <w:ind w:left="567"/>
        <w:jc w:val="both"/>
        <w:rPr>
          <w:i/>
          <w:iCs/>
          <w:sz w:val="20"/>
          <w:szCs w:val="18"/>
        </w:rPr>
      </w:pPr>
    </w:p>
    <w:p w14:paraId="6ED2A74A" w14:textId="77777777">
      <w:pPr>
        <w:pStyle w:val="P68B1DB1-P68B1DB1-Normal147"/>
        <w:widowControl w:val="0"/>
        <w:tabs>
          <w:tab w:val="left" w:pos="403"/>
        </w:tabs>
        <w:autoSpaceDE w:val="0"/>
        <w:autoSpaceDN w:val="0"/>
        <w:spacing w:after="0"/>
        <w:ind w:left="567"/>
        <w:jc w:val="both"/>
        <w:rPr>
          <w:i/>
          <w:iCs/>
          <w:sz w:val="20"/>
          <w:szCs w:val="18"/>
        </w:rPr>
      </w:pPr>
      <w:r>
        <w:t xml:space="preserve">17. Essas regras definem os métodos e procedimentos de produção dos produtos agrícolas definidos no artigo 38.º, n.º 1, do Tratado CE (que passou, após alteração, a artigo 32.º, n.º 1, CE) destinados à alimentação humana.»</w:t>
      </w:r>
    </w:p>
    <w:p w14:paraId="2268A3D1" w14:textId="77777777">
      <w:pPr>
        <w:pStyle w:val="P68B1DB1-Normal14"/>
        <w:widowControl w:val="0"/>
        <w:tabs>
          <w:tab w:val="left" w:pos="403"/>
        </w:tabs>
        <w:autoSpaceDE w:val="0"/>
        <w:autoSpaceDN w:val="0"/>
        <w:spacing w:after="0" w:line="240" w:lineRule="auto"/>
        <w:ind w:left="567"/>
        <w:jc w:val="both"/>
      </w:pPr>
    </w:p>
    <w:p w14:paraId="23614BFD" w14:textId="3A1567C1">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9" w:history="1">
        <w:r>
          <w:rPr>
            <w:color w:val="0000FF"/>
            <w:u w:val="single"/>
          </w:rPr>
          <w:t xml:space="preserve">Acórdão do Tribunal de Justiça de 22 de janeiro de 2000</w:t>
        </w:r>
      </w:hyperlink>
      <w:r>
        <w:t xml:space="preserve"> no processo C-390/99, Canal Satélite Digital, n.os 45 a 47.</w:t>
      </w:r>
      <w:bookmarkEnd w:id="25"/>
    </w:p>
    <w:p w14:paraId="66ACF23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3D40E02" w14:textId="3EBC10F3">
      <w:pPr>
        <w:pStyle w:val="P68B1DB1-P68B1DB1-Normal135"/>
        <w:widowControl w:val="0"/>
        <w:tabs>
          <w:tab w:val="left" w:pos="396"/>
          <w:tab w:val="left" w:pos="405"/>
        </w:tabs>
        <w:autoSpaceDE w:val="0"/>
        <w:autoSpaceDN w:val="0"/>
        <w:spacing w:after="0" w:line="240" w:lineRule="auto"/>
        <w:jc w:val="both"/>
        <w:rPr>
          <w:b w:val="0"/>
          <w:bCs/>
          <w:i w:val="0"/>
          <w:iCs/>
        </w:rPr>
      </w:pPr>
      <w:r>
        <w:t xml:space="preserve">Uma regulamentação nacional que exige o registo e a certificação prévios dos equipamentos de transmissão e receção digitais de sinais de televisão por satélite antes da sua comercialização constitui uma «regra técnica», uma vez que define as características dos produtos em causa. </w:t>
      </w:r>
    </w:p>
    <w:p w14:paraId="492A0BC9"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6D130C89" w14:textId="373E8FE6">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«45. [...] o Tribunal de Justiça já declarou que não constituem regras técnicas na aceção do artigo 1.º, ponto 9, da Diretiva 83/189 as disposições nacionais que se limitam a prever condições para o estabelecimento de empresas, como as disposições que subordinam o exercício de uma atividade a uma autorização prévia. As regras técnicas na aceção desta disposição são especificações que definem as características dos produtos e não especificações relativas aos operadores económicos (Processo C-194/94 CIA Security, Coletânea 1996, p. I-2201, n.º 25; Processo C-278/99, Van der Burg, Coletânea 2001, p. I-2015, n.º 20).</w:t>
      </w:r>
    </w:p>
    <w:p w14:paraId="0ED4E0E7"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17C4BE95"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46. Em contrapartida, uma disposição nacional deve ser qualificada como «regra técnica» na aceção do artigo 1.º, n.º 9, da Diretiva 83/189 quando obriga as empresas interessadas a solicitar uma homologação prévia do seu material (v. acórdão CIA Security International, já referido, n.º 30).</w:t>
      </w:r>
    </w:p>
    <w:p w14:paraId="71D02A99"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59FF32EE"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47. Daqui resulta que uma regulamentação nacional que obriga os operadores de serviços de acesso condicional a entrar nos equipamentos, descodificadores ou sistemas de transmissão e receção digitais de sinais de televisão por satélite que se propõem comercializar num registo e a obter uma certificação prévia para esses produtos antes de os poder comercializar constitui uma «regra técnica» na aceção do artigo 1.º, ponto 9, da Diretiva 83/189.»</w:t>
      </w:r>
    </w:p>
    <w:p w14:paraId="2E51BE56" w14:textId="77777777">
      <w:pPr>
        <w:spacing w:after="0" w:line="240" w:lineRule="auto"/>
      </w:pPr>
    </w:p>
    <w:p w14:paraId="10FFB5F9" w14:textId="668B4B2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0" w:history="1">
        <w:r>
          <w:rPr>
            <w:color w:val="0000FF"/>
            <w:u w:val="single"/>
          </w:rPr>
          <w:t xml:space="preserve">Acórdão do Tribunal de Justiça de 26 de setembro de 2000</w:t>
        </w:r>
      </w:hyperlink>
      <w:r>
        <w:t xml:space="preserve"> no processo C-443/98, Unilever Italia, n.os 25 e 26.</w:t>
      </w:r>
      <w:bookmarkEnd w:id="26"/>
    </w:p>
    <w:p w14:paraId="3CF4C4E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33D680" w14:textId="360C593C">
      <w:pPr>
        <w:pStyle w:val="P68B1DB1-P68B1DB1-Normal135"/>
        <w:widowControl w:val="0"/>
        <w:autoSpaceDE w:val="0"/>
        <w:autoSpaceDN w:val="0"/>
        <w:spacing w:after="0" w:line="240" w:lineRule="auto"/>
        <w:jc w:val="both"/>
        <w:rPr>
          <w:b w:val="0"/>
          <w:bCs/>
          <w:i w:val="0"/>
          <w:iCs/>
        </w:rPr>
      </w:pPr>
      <w:r>
        <w:t xml:space="preserve">Uma disposição relativa à rotulagem da origem do azeite é uma «especificação técnica», uma vez que é um requisito que rege a rotulagem de um produto.</w:t>
      </w:r>
    </w:p>
    <w:p w14:paraId="00B89F88" w14:textId="77777777">
      <w:pPr>
        <w:widowControl w:val="0"/>
        <w:autoSpaceDE w:val="0"/>
        <w:autoSpaceDN w:val="0"/>
        <w:spacing w:after="0" w:line="240" w:lineRule="auto"/>
        <w:jc w:val="both"/>
        <w:rPr>
          <w:rFonts w:ascii="Times New Roman" w:hAnsi="Times New Roman" w:cs="Times New Roman" w:eastAsia="Times New Roman"/>
          <w:szCs w:val="20"/>
        </w:rPr>
      </w:pPr>
    </w:p>
    <w:p w14:paraId="45CCCC45" w14:textId="77777777">
      <w:pPr>
        <w:pStyle w:val="P68B1DB1-P68B1DB1-Normal147"/>
        <w:widowControl w:val="0"/>
        <w:autoSpaceDE w:val="0"/>
        <w:autoSpaceDN w:val="0"/>
        <w:spacing w:after="0"/>
        <w:ind w:left="567"/>
        <w:jc w:val="both"/>
        <w:rPr>
          <w:i/>
          <w:iCs/>
          <w:sz w:val="20"/>
          <w:szCs w:val="18"/>
        </w:rPr>
      </w:pPr>
      <w:r>
        <w:t xml:space="preserve">«25. A este respeito, basta observar que, nos termos do seu artigo 1.º, n.º 1, a Diretiva 83/189 equipara a «produtos» tanto os produtos industriais como os agrícolas e que, nos termos do n.º 2 do mesmo artigo, a Diretiva 83/189 equipara a «especificação técnica» qualquer especificação contida num documento que estabeleça as características exigidas de um produto, incluindo as exigências aplicáveis ao produto em matéria de rotulagem. Com efeito, uma regulamentação nacional que contém tais especificações constitui uma especificação técnica na aceção da Diretiva 83/189, qualquer que seja a sua fundamentação (v., neste sentido, acórdão de 1997 de julho de 1753, Bic Benelux, C-13/96, ainda não publicado na Coletânea, n.º 19).</w:t>
      </w:r>
    </w:p>
    <w:p w14:paraId="5CC53ED2" w14:textId="77777777">
      <w:pPr>
        <w:pStyle w:val="P68B1DB1-Normal14"/>
        <w:widowControl w:val="0"/>
        <w:autoSpaceDE w:val="0"/>
        <w:autoSpaceDN w:val="0"/>
        <w:spacing w:after="0"/>
        <w:ind w:left="567"/>
        <w:jc w:val="both"/>
        <w:rPr>
          <w:i/>
          <w:iCs/>
          <w:sz w:val="20"/>
          <w:szCs w:val="18"/>
        </w:rPr>
      </w:pPr>
    </w:p>
    <w:p w14:paraId="1607D5BC" w14:textId="596CB8C6">
      <w:pPr>
        <w:pStyle w:val="P68B1DB1-P68B1DB1-Normal147"/>
        <w:widowControl w:val="0"/>
        <w:autoSpaceDE w:val="0"/>
        <w:autoSpaceDN w:val="0"/>
        <w:spacing w:after="0"/>
        <w:ind w:left="567"/>
        <w:jc w:val="both"/>
        <w:rPr>
          <w:i/>
          <w:iCs/>
          <w:sz w:val="20"/>
          <w:szCs w:val="18"/>
        </w:rPr>
      </w:pPr>
      <w:r>
        <w:t xml:space="preserve">26. Assim, a lei impugnada, que regula a rotulagem que indica a origem do azeite, contém regras que devem ser qualificadas de «especificações técnicas» na aceção da Diretiva 83/189.»</w:t>
      </w:r>
    </w:p>
    <w:p w14:paraId="459F3FCC" w14:textId="77777777">
      <w:pPr>
        <w:spacing w:after="0" w:line="240" w:lineRule="auto"/>
      </w:pPr>
    </w:p>
    <w:p w14:paraId="095F5F49" w14:textId="2E38BF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1" w:history="1">
        <w:r>
          <w:rPr>
            <w:color w:val="0000FF"/>
            <w:u w:val="single"/>
          </w:rPr>
          <w:t xml:space="preserve">Acórdão do Tribunal de Justiça de 12 de outubro de 2000</w:t>
        </w:r>
      </w:hyperlink>
      <w:r>
        <w:t xml:space="preserve"> no processo C-314/98, Snellers, n.os 37 a 39.</w:t>
      </w:r>
      <w:bookmarkEnd w:id="27"/>
    </w:p>
    <w:p w14:paraId="2AD735C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FFCEA8D" w14:textId="2B0D93B0">
      <w:pPr>
        <w:widowControl w:val="0"/>
        <w:tabs>
          <w:tab w:val="left" w:pos="403"/>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Uma «especificação técnica» deve referir-se ao produto enquanto tal. Um regulamento que fixa os critérios para determinar a data em que se considera que um veículo foi autorizado pela primeira vez a circular na via pública, para efeitos da emissão de um certificado de matrícula, não define nenhuma característica exigida ao próprio produto e não pode, portanto, ser qualificado de «regra técnica».</w:t>
      </w:r>
    </w:p>
    <w:p w14:paraId="4B51E0FD"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64BEEE86" w14:textId="77777777">
      <w:pPr>
        <w:pStyle w:val="P68B1DB1-P68B1DB1-Normal147"/>
        <w:widowControl w:val="0"/>
        <w:tabs>
          <w:tab w:val="left" w:pos="403"/>
        </w:tabs>
        <w:autoSpaceDE w:val="0"/>
        <w:autoSpaceDN w:val="0"/>
        <w:spacing w:after="0"/>
        <w:ind w:left="567"/>
        <w:jc w:val="both"/>
        <w:rPr>
          <w:i/>
          <w:iCs/>
          <w:sz w:val="20"/>
          <w:szCs w:val="18"/>
        </w:rPr>
      </w:pPr>
      <w:r>
        <w:t xml:space="preserve">«37. uma regulamentação que, como a que está em causa no processo principal, visa determinar a data em que um veículo é autorizado pela primeira vez na via pública não constitui uma especificação técnica na aceção da Diretiva 83/189 e não pode, portanto, ser qualificada de regra técnica abrangida pelo âmbito de aplicação desta diretiva.</w:t>
      </w:r>
    </w:p>
    <w:p w14:paraId="0BD17994" w14:textId="77777777">
      <w:pPr>
        <w:pStyle w:val="P68B1DB1-Normal14"/>
        <w:widowControl w:val="0"/>
        <w:tabs>
          <w:tab w:val="left" w:pos="403"/>
        </w:tabs>
        <w:autoSpaceDE w:val="0"/>
        <w:autoSpaceDN w:val="0"/>
        <w:spacing w:after="0"/>
        <w:ind w:left="567"/>
        <w:jc w:val="both"/>
        <w:rPr>
          <w:i/>
          <w:iCs/>
          <w:sz w:val="20"/>
          <w:szCs w:val="18"/>
        </w:rPr>
      </w:pPr>
    </w:p>
    <w:p w14:paraId="7E31CFA5" w14:textId="094AFB8A">
      <w:pPr>
        <w:pStyle w:val="P68B1DB1-P68B1DB1-Normal147"/>
        <w:widowControl w:val="0"/>
        <w:tabs>
          <w:tab w:val="left" w:pos="403"/>
        </w:tabs>
        <w:autoSpaceDE w:val="0"/>
        <w:autoSpaceDN w:val="0"/>
        <w:spacing w:after="0"/>
        <w:ind w:left="567"/>
        <w:jc w:val="both"/>
        <w:rPr>
          <w:i/>
          <w:iCs/>
          <w:sz w:val="20"/>
          <w:szCs w:val="18"/>
        </w:rPr>
      </w:pPr>
      <w:r>
        <w:t xml:space="preserve">38. O artigo 1.º, n.º 1, da Diretiva 83/189 prevê que, no que respeita a produtos como os que estão em causa no processo principal, uma especificação técnica na aceção desta diretiva é «uma especificação que consta de um documento que define as características exigidas de um produto. As especificações técnicas para efeitos da Diretiva 83/189 devem, portanto, referir-se ao produto enquanto tal; isto é, aliás, confirmado pela lista não exaustiva das especificações em causa, fornecida a título exemplificativo no artigo 1.º, n.º 1, da referida diretiva.</w:t>
      </w:r>
    </w:p>
    <w:p w14:paraId="231677E0" w14:textId="77777777">
      <w:pPr>
        <w:pStyle w:val="P68B1DB1-Normal14"/>
        <w:widowControl w:val="0"/>
        <w:tabs>
          <w:tab w:val="left" w:pos="403"/>
        </w:tabs>
        <w:autoSpaceDE w:val="0"/>
        <w:autoSpaceDN w:val="0"/>
        <w:spacing w:after="0"/>
        <w:ind w:left="567"/>
        <w:jc w:val="both"/>
        <w:rPr>
          <w:i/>
          <w:iCs/>
          <w:sz w:val="20"/>
          <w:szCs w:val="18"/>
        </w:rPr>
      </w:pPr>
    </w:p>
    <w:p w14:paraId="57F7E593" w14:textId="77777777">
      <w:pPr>
        <w:pStyle w:val="P68B1DB1-P68B1DB1-Normal147"/>
        <w:widowControl w:val="0"/>
        <w:tabs>
          <w:tab w:val="left" w:pos="403"/>
        </w:tabs>
        <w:autoSpaceDE w:val="0"/>
        <w:autoSpaceDN w:val="0"/>
        <w:spacing w:after="0"/>
        <w:ind w:left="567"/>
        <w:jc w:val="both"/>
        <w:rPr>
          <w:i/>
          <w:iCs/>
          <w:sz w:val="20"/>
          <w:szCs w:val="18"/>
        </w:rPr>
      </w:pPr>
      <w:r>
        <w:t xml:space="preserve">39. O regulamento estabelece uma série de critérios para determinar a data em que se considera que um veículo, na aceção da Wegenverkeerswet, foi autorizado pela primeira vez a utilizar a via pública, para efeitos da emissão de um certificado de matrícula. Por conseguinte, o regulamento não define nenhuma característica exigida ao produto enquanto tal.»</w:t>
      </w:r>
    </w:p>
    <w:p w14:paraId="5C2F2353" w14:textId="77777777">
      <w:pPr>
        <w:spacing w:after="0" w:line="240" w:lineRule="auto"/>
      </w:pPr>
    </w:p>
    <w:p w14:paraId="176B08B6" w14:textId="7FC0C14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22" w:history="1">
        <w:r>
          <w:rPr>
            <w:rStyle w:val="Hyperlink"/>
            <w:rFonts w:ascii="Times New Roman" w:hAnsi="Times New Roman" w:cs="Times New Roman" w:eastAsia="Times New Roman"/>
            <w:b/>
            <w:i/>
            <w:color w:val="0000FF"/>
            <w:szCs w:val="20"/>
          </w:rPr>
          <w:t xml:space="preserve">Acórdão do Tribunal de Justiça de 16 de novembro de 2000</w:t>
        </w:r>
      </w:hyperlink>
      <w:r>
        <w:rPr>
          <w:rFonts w:ascii="Times New Roman" w:hAnsi="Times New Roman" w:cs="Times New Roman" w:eastAsia="Times New Roman"/>
          <w:b/>
          <w:i/>
          <w:szCs w:val="20"/>
        </w:rPr>
        <w:t xml:space="preserve"> no processo C-37/99, Donkersteeg, n.os 30 e 31.</w:t>
      </w:r>
      <w:bookmarkEnd w:id="28"/>
    </w:p>
    <w:p w14:paraId="0039F4A1" w14:textId="77777777">
      <w:pPr>
        <w:widowControl w:val="0"/>
        <w:autoSpaceDE w:val="0"/>
        <w:autoSpaceDN w:val="0"/>
        <w:spacing w:after="0" w:line="240" w:lineRule="auto"/>
        <w:jc w:val="both"/>
        <w:rPr>
          <w:rFonts w:ascii="Times New Roman" w:hAnsi="Times New Roman" w:cs="Times New Roman" w:eastAsia="Times New Roman"/>
          <w:szCs w:val="20"/>
        </w:rPr>
      </w:pPr>
    </w:p>
    <w:p w14:paraId="4A6A750B" w14:textId="411010F6">
      <w:pPr>
        <w:pStyle w:val="P68B1DB1-P68B1DB1-Normal135"/>
        <w:widowControl w:val="0"/>
        <w:autoSpaceDE w:val="0"/>
        <w:autoSpaceDN w:val="0"/>
        <w:spacing w:after="0" w:line="240" w:lineRule="auto"/>
        <w:jc w:val="both"/>
        <w:rPr>
          <w:b w:val="0"/>
          <w:bCs/>
          <w:i w:val="0"/>
          <w:iCs/>
        </w:rPr>
      </w:pPr>
      <w:r>
        <w:t xml:space="preserve">Para os produtos agrícolas, uma «especificação técnica» é um texto que define as suas características ou métodos de produção exigidos. Uma regra que estabelece as condições de vacinação dos animais é uma regra de produção e, portanto, uma «especificação técnica». </w:t>
      </w:r>
    </w:p>
    <w:p w14:paraId="7118F572" w14:textId="77777777">
      <w:pPr>
        <w:widowControl w:val="0"/>
        <w:autoSpaceDE w:val="0"/>
        <w:autoSpaceDN w:val="0"/>
        <w:spacing w:after="0" w:line="240" w:lineRule="auto"/>
        <w:jc w:val="both"/>
        <w:rPr>
          <w:rFonts w:ascii="Times New Roman" w:hAnsi="Times New Roman" w:cs="Times New Roman" w:eastAsia="Times New Roman"/>
          <w:szCs w:val="20"/>
        </w:rPr>
      </w:pPr>
    </w:p>
    <w:p w14:paraId="658D0575" w14:textId="77777777">
      <w:pPr>
        <w:pStyle w:val="P68B1DB1-P68B1DB1-Normal147"/>
        <w:widowControl w:val="0"/>
        <w:autoSpaceDE w:val="0"/>
        <w:autoSpaceDN w:val="0"/>
        <w:spacing w:after="0" w:line="240" w:lineRule="auto"/>
        <w:ind w:left="567"/>
        <w:jc w:val="both"/>
        <w:rPr>
          <w:i/>
          <w:iCs/>
          <w:sz w:val="20"/>
          <w:szCs w:val="18"/>
        </w:rPr>
      </w:pPr>
      <w:r>
        <w:t xml:space="preserve">«30. Como foi recordado no n.º 20 do presente acórdão, em conformidade com o artigo 1.º, n.º 1, da diretiva, no que respeita aos produtos agrícolas, uma «especificação técnica» consta de um documento que define as características exigidas de um produto ou os seus métodos e procedimentos de produção.</w:t>
      </w:r>
    </w:p>
    <w:p w14:paraId="6E173AD5" w14:textId="77777777">
      <w:pPr>
        <w:pStyle w:val="P68B1DB1-Normal14"/>
        <w:widowControl w:val="0"/>
        <w:autoSpaceDE w:val="0"/>
        <w:autoSpaceDN w:val="0"/>
        <w:spacing w:after="0" w:line="240" w:lineRule="auto"/>
        <w:ind w:left="567"/>
        <w:jc w:val="both"/>
        <w:rPr>
          <w:i/>
          <w:iCs/>
          <w:sz w:val="20"/>
          <w:szCs w:val="18"/>
        </w:rPr>
      </w:pPr>
    </w:p>
    <w:p w14:paraId="0C38FBB6" w14:textId="77777777">
      <w:pPr>
        <w:pStyle w:val="P68B1DB1-P68B1DB1-Normal147"/>
        <w:widowControl w:val="0"/>
        <w:autoSpaceDE w:val="0"/>
        <w:autoSpaceDN w:val="0"/>
        <w:spacing w:after="0" w:line="240" w:lineRule="auto"/>
        <w:ind w:left="567"/>
        <w:jc w:val="both"/>
        <w:rPr>
          <w:i/>
          <w:iCs/>
          <w:sz w:val="20"/>
          <w:szCs w:val="18"/>
        </w:rPr>
      </w:pPr>
      <w:r>
        <w:t xml:space="preserve">31. A este respeito, impõe-se constatar que uma regra do tipo da que figura no artigo 2.º, n.º 1, do regulamento LMA constitui uma especificação técnica na aceção do artigo 1.º, n.º 1, da diretiva. Como acertadamente sustenta a Comissão, uma vez que as regras precisas e pormenorizadas relativas à vacinação contra a doença de Aujeszky estão ligadas à produção propriamente dita do produto agrícola em causa e devem ser respeitadas ao longo de todo o ciclo de produção, esta regra define, portanto, um «procedimento» na produção desse produto.»</w:t>
      </w:r>
    </w:p>
    <w:p w14:paraId="011D3230" w14:textId="77777777">
      <w:pPr>
        <w:spacing w:after="0" w:line="240" w:lineRule="auto"/>
      </w:pPr>
    </w:p>
    <w:p w14:paraId="581B1056" w14:textId="6342E1F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3" w:history="1">
        <w:r>
          <w:rPr>
            <w:color w:val="0000FF"/>
            <w:u w:val="single"/>
          </w:rPr>
          <w:t xml:space="preserve">Acórdão do Tribunal de Justiça de 8 de março de 2001</w:t>
        </w:r>
      </w:hyperlink>
      <w:r>
        <w:t xml:space="preserve"> no processo C-278/99, Van der Burg, n.º 20.</w:t>
      </w:r>
      <w:bookmarkEnd w:id="29"/>
    </w:p>
    <w:p w14:paraId="214E963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EE5EBFC" w14:textId="4A41B3F9">
      <w:pPr>
        <w:pStyle w:val="P68B1DB1-P68B1DB1-Normal135"/>
        <w:widowControl w:val="0"/>
        <w:tabs>
          <w:tab w:val="left" w:pos="461"/>
        </w:tabs>
        <w:autoSpaceDE w:val="0"/>
        <w:autoSpaceDN w:val="0"/>
        <w:spacing w:after="0" w:line="240" w:lineRule="auto"/>
        <w:jc w:val="both"/>
        <w:rPr>
          <w:b w:val="0"/>
          <w:bCs/>
          <w:i w:val="0"/>
          <w:iCs/>
        </w:rPr>
      </w:pPr>
      <w:r>
        <w:t xml:space="preserve">Um regulamento que se limita a proibir a publicidade comercial, mas que não fixa as características exigidas de um produto, não constitui uma «especificação técnica» e não pode, portanto, ser considerado uma «regra técnica».</w:t>
      </w:r>
    </w:p>
    <w:p w14:paraId="359B163D" w14:textId="77777777">
      <w:pPr>
        <w:widowControl w:val="0"/>
        <w:tabs>
          <w:tab w:val="left" w:pos="461"/>
        </w:tabs>
        <w:autoSpaceDE w:val="0"/>
        <w:autoSpaceDN w:val="0"/>
        <w:spacing w:after="0" w:line="240" w:lineRule="auto"/>
        <w:jc w:val="both"/>
        <w:rPr>
          <w:rFonts w:ascii="Times New Roman" w:hAnsi="Times New Roman" w:cs="Times New Roman" w:eastAsia="Times New Roman"/>
          <w:szCs w:val="20"/>
        </w:rPr>
      </w:pPr>
    </w:p>
    <w:p w14:paraId="19B0E706" w14:textId="76232F90">
      <w:pPr>
        <w:pStyle w:val="P68B1DB1-P68B1DB1-Normal1710"/>
        <w:widowControl w:val="0"/>
        <w:tabs>
          <w:tab w:val="left" w:pos="461"/>
        </w:tabs>
        <w:autoSpaceDE w:val="0"/>
        <w:autoSpaceDN w:val="0"/>
        <w:spacing w:after="0" w:line="240" w:lineRule="auto"/>
        <w:ind w:left="567"/>
        <w:jc w:val="both"/>
        <w:rPr>
          <w:i/>
          <w:iCs/>
          <w:sz w:val="20"/>
          <w:szCs w:val="18"/>
        </w:rPr>
      </w:pPr>
      <w:r>
        <w:t xml:space="preserve">«20. Nos termos do artigo 1.º, n.º 1, da Diretiva 83/189, para efeitos desta diretiva, entende-se por «especificação técnica» «uma especificação que consta de um documento que define as características exigidas de um produto». As especificações técnicas na aceção da Diretiva 83/189 devem, assim, referir-se ao produto enquanto tal (v. acórdão de 2000 de março de 0000, Snellers Auto, C-314/98, Colet., p. I-38, n.º). No entanto, uma legislação como o artigo C.11.1 (1) do decreto, que se limita a proibir um método de comercialização, não estabelece as características exigidas de um produto.»</w:t>
      </w:r>
    </w:p>
    <w:p w14:paraId="329B81E2" w14:textId="77777777">
      <w:pPr>
        <w:spacing w:after="0" w:line="240" w:lineRule="auto"/>
      </w:pPr>
    </w:p>
    <w:p w14:paraId="12D2977E" w14:textId="6E30277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4" w:history="1">
        <w:r>
          <w:rPr>
            <w:color w:val="0000FF"/>
            <w:u w:val="single"/>
          </w:rPr>
          <w:t xml:space="preserve">Acórdão do Tribunal de Justiça de 6 de junho de 2002</w:t>
        </w:r>
      </w:hyperlink>
      <w:r>
        <w:t xml:space="preserve"> no processo C-159/00, Sapod Audic, n.os 30 a 33.</w:t>
      </w:r>
      <w:bookmarkEnd w:id="30"/>
    </w:p>
    <w:p w14:paraId="340A6E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4A7B62" w14:textId="77777777">
      <w:pPr>
        <w:pStyle w:val="P68B1DB1-P68B1DB1-Normal135"/>
        <w:widowControl w:val="0"/>
        <w:tabs>
          <w:tab w:val="left" w:pos="443"/>
        </w:tabs>
        <w:autoSpaceDE w:val="0"/>
        <w:autoSpaceDN w:val="0"/>
        <w:spacing w:after="0" w:line="240" w:lineRule="auto"/>
        <w:jc w:val="both"/>
        <w:rPr>
          <w:b w:val="0"/>
          <w:bCs/>
          <w:i w:val="0"/>
          <w:iCs/>
        </w:rPr>
      </w:pPr>
      <w:r>
        <w:t xml:space="preserve">Uma disposição de direito nacional que prevê a obrigação de identificar uma embalagem constitui uma «regra técnica» a notificar, na medida em que implica a obrigação de marcar ou rotular essa embalagem.</w:t>
      </w:r>
    </w:p>
    <w:p w14:paraId="376C1334" w14:textId="77777777">
      <w:pPr>
        <w:widowControl w:val="0"/>
        <w:tabs>
          <w:tab w:val="left" w:pos="443"/>
        </w:tabs>
        <w:autoSpaceDE w:val="0"/>
        <w:autoSpaceDN w:val="0"/>
        <w:spacing w:after="0" w:line="240" w:lineRule="auto"/>
        <w:jc w:val="both"/>
        <w:rPr>
          <w:rFonts w:ascii="Times New Roman" w:hAnsi="Times New Roman" w:cs="Times New Roman" w:eastAsia="Times New Roman"/>
          <w:szCs w:val="20"/>
        </w:rPr>
      </w:pPr>
    </w:p>
    <w:p w14:paraId="482978FF" w14:textId="77777777">
      <w:pPr>
        <w:pStyle w:val="P68B1DB1-P68B1DB1-Normal147"/>
        <w:widowControl w:val="0"/>
        <w:tabs>
          <w:tab w:val="left" w:pos="443"/>
        </w:tabs>
        <w:autoSpaceDE w:val="0"/>
        <w:autoSpaceDN w:val="0"/>
        <w:spacing w:after="0"/>
        <w:ind w:left="567"/>
        <w:jc w:val="both"/>
        <w:rPr>
          <w:i/>
          <w:iCs/>
          <w:sz w:val="20"/>
          <w:szCs w:val="18"/>
        </w:rPr>
      </w:pPr>
      <w:r>
        <w:t xml:space="preserve">«30. Assim, a obrigação de identificação das embalagens prevista no artigo 4.º, segundo parágrafo, do Decreto n.º 92-377, na medida em que não parece implicar uma obrigação de marcação ou de rotulagem destas embalagens, não se refere necessariamente ao produto ou à sua embalagem enquanto tais. Assim interpretada, não se pode considerar que esta disposição estabelece as características exigidas de um produto na aceção do artigo 1.º, n.º 1, da Diretiva 83/189 e, portanto, não pode ser considerada uma especificação técnica (v., nomeadamente, acórdão de 2001 de julho de 2015, Van der Burg, C-278/99, ainda não publicado na Coletânea, n.º 20).</w:t>
      </w:r>
    </w:p>
    <w:p w14:paraId="7A13B6EF" w14:textId="77777777">
      <w:pPr>
        <w:pStyle w:val="P68B1DB1-Normal14"/>
        <w:widowControl w:val="0"/>
        <w:tabs>
          <w:tab w:val="left" w:pos="443"/>
        </w:tabs>
        <w:autoSpaceDE w:val="0"/>
        <w:autoSpaceDN w:val="0"/>
        <w:spacing w:after="0"/>
        <w:ind w:left="567"/>
        <w:jc w:val="both"/>
        <w:rPr>
          <w:i/>
          <w:iCs/>
          <w:sz w:val="20"/>
          <w:szCs w:val="18"/>
        </w:rPr>
      </w:pPr>
    </w:p>
    <w:p w14:paraId="615DE908" w14:textId="77777777">
      <w:pPr>
        <w:pStyle w:val="P68B1DB1-P68B1DB1-Normal147"/>
        <w:widowControl w:val="0"/>
        <w:tabs>
          <w:tab w:val="left" w:pos="443"/>
        </w:tabs>
        <w:autoSpaceDE w:val="0"/>
        <w:autoSpaceDN w:val="0"/>
        <w:spacing w:after="0"/>
        <w:ind w:left="567"/>
        <w:jc w:val="both"/>
        <w:rPr>
          <w:i/>
          <w:iCs/>
          <w:sz w:val="20"/>
          <w:szCs w:val="18"/>
        </w:rPr>
      </w:pPr>
      <w:r>
        <w:t xml:space="preserve">31.No entanto, há que observar que, no âmbito da repartição de competências prevista no artigo 234.º CE, compete ao órgão jurisdicional nacional interpretar o direito nacional, neste caso o artigo 4.º, segundo parágrafo, do Decreto n.º 92-377.</w:t>
      </w:r>
    </w:p>
    <w:p w14:paraId="6AC1BBA2" w14:textId="77777777">
      <w:pPr>
        <w:pStyle w:val="P68B1DB1-Normal14"/>
        <w:widowControl w:val="0"/>
        <w:tabs>
          <w:tab w:val="left" w:pos="443"/>
        </w:tabs>
        <w:autoSpaceDE w:val="0"/>
        <w:autoSpaceDN w:val="0"/>
        <w:spacing w:after="0"/>
        <w:ind w:left="567"/>
        <w:jc w:val="both"/>
        <w:rPr>
          <w:i/>
          <w:iCs/>
          <w:sz w:val="20"/>
          <w:szCs w:val="18"/>
        </w:rPr>
      </w:pPr>
    </w:p>
    <w:p w14:paraId="25482CFD" w14:textId="77777777">
      <w:pPr>
        <w:pStyle w:val="P68B1DB1-P68B1DB1-Normal147"/>
        <w:widowControl w:val="0"/>
        <w:tabs>
          <w:tab w:val="left" w:pos="443"/>
        </w:tabs>
        <w:autoSpaceDE w:val="0"/>
        <w:autoSpaceDN w:val="0"/>
        <w:spacing w:after="0"/>
        <w:ind w:left="567"/>
        <w:jc w:val="both"/>
        <w:rPr>
          <w:i/>
          <w:iCs/>
          <w:sz w:val="20"/>
          <w:szCs w:val="18"/>
        </w:rPr>
      </w:pPr>
      <w:r>
        <w:t xml:space="preserve">32. Assim, deve igualmente prever-se a hipótese de, tendo em conta o conjunto dos elementos de facto e de direito de que tem conhecimento, o órgão jurisdicional de reenvio chegar à conclusão de que o artigo 4.º, segundo parágrafo, do Decreto n.º 92-377 deve ser interpretado no sentido de que impõe aos produtores uma obrigação de marcação ou de rotulagem, se bem que não especifique qual o sinal que deve ser aposto.</w:t>
      </w:r>
    </w:p>
    <w:p w14:paraId="5CF2B868" w14:textId="77777777">
      <w:pPr>
        <w:pStyle w:val="P68B1DB1-Normal14"/>
        <w:widowControl w:val="0"/>
        <w:tabs>
          <w:tab w:val="left" w:pos="443"/>
        </w:tabs>
        <w:autoSpaceDE w:val="0"/>
        <w:autoSpaceDN w:val="0"/>
        <w:spacing w:after="0"/>
        <w:ind w:left="567"/>
        <w:jc w:val="both"/>
        <w:rPr>
          <w:i/>
          <w:iCs/>
          <w:sz w:val="20"/>
          <w:szCs w:val="18"/>
        </w:rPr>
      </w:pPr>
    </w:p>
    <w:p w14:paraId="66994718" w14:textId="77777777">
      <w:pPr>
        <w:pStyle w:val="P68B1DB1-P68B1DB1-Normal147"/>
        <w:widowControl w:val="0"/>
        <w:tabs>
          <w:tab w:val="left" w:pos="443"/>
        </w:tabs>
        <w:autoSpaceDE w:val="0"/>
        <w:autoSpaceDN w:val="0"/>
        <w:spacing w:after="0"/>
        <w:ind w:left="567"/>
        <w:jc w:val="both"/>
        <w:rPr>
          <w:i/>
          <w:iCs/>
          <w:sz w:val="20"/>
          <w:szCs w:val="18"/>
        </w:rPr>
      </w:pPr>
      <w:r>
        <w:t xml:space="preserve">33. Nesse caso, há que considerar que esta disposição constitui efetivamente uma especificação técnica na aceção da Diretiva 83/189 e que, por conseguinte, uma vez que a obrigação é imposta por decreto para a comercialização de produtos embalados em todo o território nacional, esta disposição constitui uma regra técnica.»</w:t>
      </w:r>
    </w:p>
    <w:p w14:paraId="21495157" w14:textId="77777777">
      <w:pPr>
        <w:spacing w:after="0" w:line="240" w:lineRule="auto"/>
      </w:pPr>
    </w:p>
    <w:p w14:paraId="14C2467B" w14:textId="611D935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5" w:history="1">
        <w:r>
          <w:rPr>
            <w:color w:val="0000FF"/>
            <w:u w:val="single"/>
          </w:rPr>
          <w:t xml:space="preserve">Acórdão de 8 de setembro de 2005</w:t>
        </w:r>
      </w:hyperlink>
      <w:r>
        <w:t xml:space="preserve">, Comissão/Portugal, C-500/03, n.º 30.</w:t>
      </w:r>
      <w:bookmarkEnd w:id="31"/>
    </w:p>
    <w:p w14:paraId="7C16A84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90F33F6" w14:textId="06F84E73">
      <w:pPr>
        <w:spacing w:after="0" w:line="240" w:lineRule="auto"/>
        <w:jc w:val="both"/>
        <w:rPr>
          <w:rFonts w:ascii="Times New Roman" w:hAnsi="Times New Roman" w:cs="Times New Roman" w:eastAsia="Times New Roman"/>
          <w:szCs w:val="20"/>
        </w:rPr>
        <w:pStyle w:val="P68B1DB1-Normal14"/>
      </w:pPr>
      <w:r>
        <w:t xml:space="preserve">Uma regra que estabelece o comprimento e a altura máximos das embarcações de recreio e limita a sua potência propulsora é uma «especificação técnica».</w:t>
      </w:r>
    </w:p>
    <w:p w14:paraId="37494660" w14:textId="77777777">
      <w:pPr>
        <w:spacing w:after="0" w:line="240" w:lineRule="auto"/>
        <w:jc w:val="both"/>
        <w:rPr>
          <w:rFonts w:ascii="Times New Roman" w:hAnsi="Times New Roman" w:cs="Times New Roman" w:eastAsia="Times New Roman"/>
          <w:szCs w:val="20"/>
        </w:rPr>
      </w:pPr>
    </w:p>
    <w:p w14:paraId="75D4A043" w14:textId="5A44D1CA">
      <w:pPr>
        <w:widowControl w:val="0"/>
        <w:tabs>
          <w:tab w:val="left" w:pos="467"/>
        </w:tabs>
        <w:autoSpaceDE w:val="0"/>
        <w:autoSpaceDN w:val="0"/>
        <w:spacing w:after="0" w:line="240" w:lineRule="auto"/>
        <w:ind w:left="567"/>
        <w:jc w:val="both"/>
        <w:rPr>
          <w:rFonts w:ascii="Times New Roman" w:hAnsi="Times New Roman" w:cs="Times New Roman" w:eastAsia="Times New Roman"/>
          <w:sz w:val="20"/>
          <w:szCs w:val="18"/>
        </w:rPr>
        <w:pStyle w:val="P68B1DB1-Normal11"/>
      </w:pPr>
      <w:r>
        <w:t xml:space="preserve">(Uma vez que o acórdão só está disponível em francês e português, o texto seguinte é uma tradução.)</w:t>
      </w:r>
    </w:p>
    <w:p w14:paraId="3C41A5EA" w14:textId="77777777">
      <w:pPr>
        <w:spacing w:after="0" w:line="240" w:lineRule="auto"/>
        <w:jc w:val="both"/>
        <w:rPr>
          <w:rFonts w:ascii="Times New Roman" w:hAnsi="Times New Roman" w:cs="Times New Roman" w:eastAsia="Times New Roman"/>
          <w:sz w:val="20"/>
          <w:szCs w:val="18"/>
        </w:rPr>
      </w:pPr>
    </w:p>
    <w:p w14:paraId="4AAF6423" w14:textId="3EE48C51">
      <w:pPr>
        <w:spacing w:after="0" w:line="240" w:lineRule="auto"/>
        <w:ind w:left="567"/>
        <w:jc w:val="both"/>
        <w:rPr>
          <w:i/>
          <w:iCs/>
          <w:sz w:val="20"/>
          <w:szCs w:val="20"/>
        </w:rPr>
        <w:pStyle w:val="P68B1DB1-Normal19"/>
      </w:pPr>
      <w:r>
        <w:t xml:space="preserve">«30. Resulta da redação do artigo 2.º, n.º 1, deste regulamento que este contém especificações técnicas, na aceção do artigo 1.º, ponto 3, da Diretiva 98/34, que constituem regras técnicas na aceção desta diretiva. As prescrições deste regulamento dizem respeito ao comprimento máximo e à altura e à limitação da potência propulsora das embarcações de recreio utilizadas para fins de navegação. Estas limitações técnicas aplicam-se a todas as lagoas de água públicas do serviço público em Portugal, com exceção das do rio Douro.»</w:t>
      </w:r>
    </w:p>
    <w:p w14:paraId="45A16E94" w14:textId="77777777">
      <w:pPr>
        <w:spacing w:after="0" w:line="240" w:lineRule="auto"/>
      </w:pPr>
    </w:p>
    <w:p w14:paraId="5D1BF1C4" w14:textId="698AC04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6" w:history="1">
        <w:r>
          <w:rPr>
            <w:color w:val="0000FF"/>
            <w:u w:val="single"/>
          </w:rPr>
          <w:t xml:space="preserve">Acórdão do Tribunal de Justiça de 8 de novembro de 2007</w:t>
        </w:r>
      </w:hyperlink>
      <w:r>
        <w:t xml:space="preserve"> no processo C-20/05, Schwibbert, n.os 35 a 37.</w:t>
      </w:r>
      <w:bookmarkEnd w:id="32"/>
    </w:p>
    <w:p w14:paraId="1416C9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939BFD9" w14:textId="4D52F64B">
      <w:pPr>
        <w:pStyle w:val="P68B1DB1-P68B1DB1-Normal135"/>
        <w:widowControl w:val="0"/>
        <w:tabs>
          <w:tab w:val="left" w:pos="429"/>
        </w:tabs>
        <w:autoSpaceDE w:val="0"/>
        <w:autoSpaceDN w:val="0"/>
        <w:spacing w:after="0" w:line="240" w:lineRule="auto"/>
        <w:jc w:val="both"/>
        <w:rPr>
          <w:b w:val="0"/>
          <w:bCs/>
          <w:i w:val="0"/>
          <w:iCs/>
        </w:rPr>
      </w:pPr>
      <w:r>
        <w:t xml:space="preserve">As disposições nacionais que introduzem a obrigação de apor um sinal distintivo nos produtos para efeitos da sua comercialização num Estado-Membro constituem uma «especificação técnica», uma vez que são exigências relativas à marcação e à rotulagem dos produtos.</w:t>
      </w:r>
    </w:p>
    <w:p w14:paraId="4781C797" w14:textId="77777777">
      <w:pPr>
        <w:widowControl w:val="0"/>
        <w:tabs>
          <w:tab w:val="left" w:pos="429"/>
        </w:tabs>
        <w:autoSpaceDE w:val="0"/>
        <w:autoSpaceDN w:val="0"/>
        <w:spacing w:after="0" w:line="240" w:lineRule="auto"/>
        <w:jc w:val="both"/>
        <w:rPr>
          <w:rFonts w:ascii="Times New Roman" w:hAnsi="Times New Roman" w:cs="Times New Roman" w:eastAsia="Times New Roman"/>
          <w:szCs w:val="20"/>
        </w:rPr>
      </w:pPr>
    </w:p>
    <w:p w14:paraId="58D2CAF0" w14:textId="38AC6134">
      <w:pPr>
        <w:pStyle w:val="P68B1DB1-Normal15"/>
        <w:widowControl w:val="0"/>
        <w:tabs>
          <w:tab w:val="left" w:pos="429"/>
        </w:tabs>
        <w:autoSpaceDE w:val="0"/>
        <w:autoSpaceDN w:val="0"/>
        <w:spacing w:after="0" w:line="240" w:lineRule="auto"/>
        <w:ind w:left="567"/>
        <w:jc w:val="both"/>
        <w:rPr>
          <w:i w:val="0"/>
          <w:iCs/>
        </w:rPr>
      </w:pPr>
      <w:r>
        <w:t xml:space="preserve">«35. Como o Tribunal de Justiça declarou, o conceito de especificação técnica pressupõe que a medida nacional se refira ao produto ou à sua embalagem enquanto tal e estabeleça, assim, uma das características exigidas de um produto (v., neste sentido, acórdãos de 2001 de julho de 2015, van der Burg, C-278/99, Colet., p. I-20, n.º; Processo C-390/99, Canal Satélite Digital, Coletânea 2002, p. I-607, n.º 45; e também Sapod Audic, n.º 30, e Lindberg, n.º 57).</w:t>
      </w:r>
    </w:p>
    <w:p w14:paraId="29C04649" w14:textId="77777777">
      <w:pPr>
        <w:pStyle w:val="P68B1DB1-Normal15"/>
        <w:widowControl w:val="0"/>
        <w:tabs>
          <w:tab w:val="left" w:pos="429"/>
        </w:tabs>
        <w:autoSpaceDE w:val="0"/>
        <w:autoSpaceDN w:val="0"/>
        <w:spacing w:after="0" w:line="240" w:lineRule="auto"/>
        <w:ind w:left="567"/>
        <w:jc w:val="both"/>
        <w:rPr>
          <w:i w:val="0"/>
          <w:iCs/>
        </w:rPr>
      </w:pPr>
    </w:p>
    <w:p w14:paraId="505523FA" w14:textId="38C71B2C">
      <w:pPr>
        <w:pStyle w:val="P68B1DB1-Normal15"/>
        <w:widowControl w:val="0"/>
        <w:tabs>
          <w:tab w:val="left" w:pos="429"/>
        </w:tabs>
        <w:autoSpaceDE w:val="0"/>
        <w:autoSpaceDN w:val="0"/>
        <w:spacing w:after="0" w:line="240" w:lineRule="auto"/>
        <w:ind w:left="567"/>
        <w:jc w:val="both"/>
        <w:rPr>
          <w:i w:val="0"/>
          <w:iCs/>
        </w:rPr>
      </w:pPr>
      <w:r>
        <w:t xml:space="preserve">36. No caso vertente, importa observar, como referiu a advogada-geral nos n.os 46 e 48 das suas conclusões, que a aposição do sinal distintivo «SIAE», que se destina a informar os consumidores e as autoridades nacionais sobre a legalidade das reproduções, se efetua no próprio suporte que contenha a obra de caráter intelectual, portanto, no produto em si mesmo. Daí não ser exato afirmar-se, como fizeram a Società Italiana degli Autori ed Editori e o Governo italiano, que esse sinal só diz respeito às obras intelectuais.</w:t>
      </w:r>
    </w:p>
    <w:p w14:paraId="6D521645" w14:textId="77777777">
      <w:pPr>
        <w:pStyle w:val="P68B1DB1-Normal15"/>
        <w:widowControl w:val="0"/>
        <w:tabs>
          <w:tab w:val="left" w:pos="429"/>
        </w:tabs>
        <w:autoSpaceDE w:val="0"/>
        <w:autoSpaceDN w:val="0"/>
        <w:spacing w:after="0" w:line="240" w:lineRule="auto"/>
        <w:ind w:left="567"/>
        <w:jc w:val="both"/>
        <w:rPr>
          <w:i w:val="0"/>
          <w:iCs/>
        </w:rPr>
      </w:pPr>
    </w:p>
    <w:p w14:paraId="012D36DA" w14:textId="1659A5D5">
      <w:pPr>
        <w:pStyle w:val="P68B1DB1-Normal15"/>
        <w:widowControl w:val="0"/>
        <w:tabs>
          <w:tab w:val="left" w:pos="429"/>
        </w:tabs>
        <w:autoSpaceDE w:val="0"/>
        <w:autoSpaceDN w:val="0"/>
        <w:spacing w:after="0" w:line="240" w:lineRule="auto"/>
        <w:ind w:left="567"/>
        <w:jc w:val="both"/>
      </w:pPr>
      <w:r>
        <w:t xml:space="preserve">37. Ora, esse sinal distintivo constitui uma «especificação técnica», na aceção do artigo 1.º, n.º 3, da Diretiva 98/34, uma vez que é abrangido pelas disposições aplicáveis aos produtos em causa no que respeita à marcação e à etiquetagem. Por conseguinte, uma vez que o respeito dessa especificação é obrigatório de jure para a comercialização desses produtos, a especificação constitui uma «regra técnica» na aceção do artigo 1.º, n.º 11, da referida diretiva (v., neste sentido, acórdão de 1997 de junho de 1753, Bic Benelux, C-13/96, ainda não publicado na Coletânea, n.º 23).»</w:t>
      </w:r>
    </w:p>
    <w:p w14:paraId="3E9DFE52" w14:textId="77777777">
      <w:pPr>
        <w:pStyle w:val="P68B1DB1-Normal15"/>
        <w:widowControl w:val="0"/>
        <w:tabs>
          <w:tab w:val="left" w:pos="429"/>
        </w:tabs>
        <w:autoSpaceDE w:val="0"/>
        <w:autoSpaceDN w:val="0"/>
        <w:spacing w:after="0" w:line="240" w:lineRule="auto"/>
        <w:ind w:left="567"/>
        <w:jc w:val="both"/>
      </w:pPr>
    </w:p>
    <w:p w14:paraId="4E326150" w14:textId="1B9A65A2">
      <w:pPr>
        <w:widowControl w:val="0"/>
        <w:autoSpaceDE w:val="0"/>
        <w:autoSpaceDN w:val="0"/>
        <w:spacing w:after="0" w:line="240" w:lineRule="auto"/>
        <w:jc w:val="both"/>
        <w:rPr>
          <w:rFonts w:ascii="Times New Roman" w:hAnsi="Times New Roman" w:cs="Times New Roman" w:eastAsia="Times New Roman"/>
          <w:b/>
          <w:i/>
          <w:szCs w:val="20"/>
        </w:rPr>
        <w:pStyle w:val="P68B1DB1-Normal13"/>
      </w:pPr>
      <w:hyperlink r:id="rId27" w:history="1">
        <w:r>
          <w:rPr>
            <w:color w:val="0000FF"/>
            <w:u w:val="single"/>
          </w:rPr>
          <w:t xml:space="preserve">Acórdão do Tribunal de Justiça de 14 de abril de 2011</w:t>
        </w:r>
      </w:hyperlink>
      <w:r>
        <w:t xml:space="preserve"> nos processos apensos C-42/10, C-45/10 e C-57/10, Vlaamse Dierenartsenvereniging e Janssens, n.os 68 a 70.</w:t>
      </w:r>
    </w:p>
    <w:p w14:paraId="7DCC10FA"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18B43BA3" w14:textId="6DE800EE">
      <w:pPr>
        <w:pStyle w:val="P68B1DB1-P68B1DB1-Normal135"/>
        <w:widowControl w:val="0"/>
        <w:tabs>
          <w:tab w:val="left" w:pos="431"/>
        </w:tabs>
        <w:autoSpaceDE w:val="0"/>
        <w:autoSpaceDN w:val="0"/>
        <w:spacing w:after="0" w:line="240" w:lineRule="auto"/>
        <w:jc w:val="both"/>
        <w:rPr>
          <w:b w:val="0"/>
          <w:bCs/>
          <w:i w:val="0"/>
          <w:iCs/>
        </w:rPr>
      </w:pPr>
      <w:r>
        <w:t xml:space="preserve">A diretiva não se aplica aos passaportes para animais de companhia que não podem ser classificados como «produtos» porque não podem ser objeto de transações comerciais. Por conseguinte, as disposições nacionais relativas aos passaportes para animais de companhia não constituem uma «especificação técnica» que deva ser comunicada à Comissão.</w:t>
      </w:r>
    </w:p>
    <w:p w14:paraId="55609695"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757DBF12" w14:textId="28188743">
      <w:pPr>
        <w:pStyle w:val="P68B1DB1-P68B1DB1-Normal147"/>
        <w:widowControl w:val="0"/>
        <w:tabs>
          <w:tab w:val="left" w:pos="403"/>
        </w:tabs>
        <w:autoSpaceDE w:val="0"/>
        <w:autoSpaceDN w:val="0"/>
        <w:spacing w:after="0" w:line="240" w:lineRule="auto"/>
        <w:ind w:left="567"/>
        <w:jc w:val="both"/>
        <w:rPr>
          <w:i/>
          <w:sz w:val="20"/>
          <w:szCs w:val="18"/>
        </w:rPr>
      </w:pPr>
      <w:r>
        <w:t xml:space="preserve">«68. [...] o Tribunal de Justiça teve ocasião de recordar que só estão abrangidos pela livre circulação de mercadorias os produtos avaliáveis em dinheiro e suscetíveis, enquanto tais, de ser objeto de transações comerciais (v., neste sentido, designadamente, acórdãos de 1968 de julho de 617, Comissão/Itália, 7/68, Colet., p. 626, 2006, e Comissão/Grécia, C-65/05, Colet., p. I-10341, n.os 23 a 25).</w:t>
      </w:r>
    </w:p>
    <w:p w14:paraId="741819C9" w14:textId="77777777">
      <w:pPr>
        <w:pStyle w:val="P68B1DB1-Normal14"/>
        <w:widowControl w:val="0"/>
        <w:tabs>
          <w:tab w:val="left" w:pos="403"/>
        </w:tabs>
        <w:autoSpaceDE w:val="0"/>
        <w:autoSpaceDN w:val="0"/>
        <w:spacing w:after="0" w:line="240" w:lineRule="auto"/>
        <w:ind w:left="567"/>
        <w:jc w:val="both"/>
        <w:rPr>
          <w:i/>
          <w:sz w:val="20"/>
          <w:szCs w:val="18"/>
        </w:rPr>
      </w:pPr>
    </w:p>
    <w:p w14:paraId="5BA224C9" w14:textId="68AC5503">
      <w:pPr>
        <w:pStyle w:val="P68B1DB1-P68B1DB1-Normal147"/>
        <w:widowControl w:val="0"/>
        <w:tabs>
          <w:tab w:val="left" w:pos="403"/>
        </w:tabs>
        <w:autoSpaceDE w:val="0"/>
        <w:autoSpaceDN w:val="0"/>
        <w:spacing w:after="0" w:line="240" w:lineRule="auto"/>
        <w:ind w:left="567"/>
        <w:jc w:val="both"/>
        <w:rPr>
          <w:i/>
          <w:sz w:val="20"/>
          <w:szCs w:val="18"/>
        </w:rPr>
      </w:pPr>
      <w:r>
        <w:t xml:space="preserve">69. Ora, é ponto assente que os passaportes para animais de companhia, uma vez que têm o número único e que identificam um animal específico, não podem ser, enquanto tais, objeto de transações comercias.</w:t>
      </w:r>
    </w:p>
    <w:p w14:paraId="766A1B18" w14:textId="77777777">
      <w:pPr>
        <w:pStyle w:val="P68B1DB1-Normal14"/>
        <w:widowControl w:val="0"/>
        <w:tabs>
          <w:tab w:val="left" w:pos="403"/>
        </w:tabs>
        <w:autoSpaceDE w:val="0"/>
        <w:autoSpaceDN w:val="0"/>
        <w:spacing w:after="0" w:line="240" w:lineRule="auto"/>
        <w:ind w:left="567"/>
        <w:jc w:val="both"/>
        <w:rPr>
          <w:i/>
          <w:sz w:val="20"/>
          <w:szCs w:val="18"/>
        </w:rPr>
      </w:pPr>
    </w:p>
    <w:p w14:paraId="5F9E4D05" w14:textId="4BF6B0DF">
      <w:pPr>
        <w:pStyle w:val="P68B1DB1-P68B1DB1-Normal147"/>
        <w:widowControl w:val="0"/>
        <w:tabs>
          <w:tab w:val="left" w:pos="403"/>
        </w:tabs>
        <w:autoSpaceDE w:val="0"/>
        <w:autoSpaceDN w:val="0"/>
        <w:spacing w:after="0" w:line="240" w:lineRule="auto"/>
        <w:ind w:left="567"/>
        <w:jc w:val="both"/>
        <w:rPr>
          <w:i/>
          <w:sz w:val="20"/>
          <w:szCs w:val="18"/>
        </w:rPr>
      </w:pPr>
      <w:r>
        <w:t xml:space="preserve">70. Estes passaportes não podem, portanto, ser qualificados de «produtos» na aceção da jurisprudência do Tribunal de Justiça; a Diretiva 98/34 também não lhes pode ser aplicável. Por conseguinte, especificações como as que figuram na regulamentação belga em causa no processo principal não podem ser qualificadas de especificações técnicas que, em conformidade com o artigo 8.º da referida diretiva, devem ser previamente comunicadas à Comissão e, na sua falta, não devem ser aplicadas pelo órgão jurisdicional nacional (v., neste sentido, acórdão de 2007 de julho de 9447, Schwibbert, C-20/05, ainda não publicado na Coletânea, n. os 33 e 44 e jurisprudência referida).»</w:t>
      </w:r>
    </w:p>
    <w:p w14:paraId="56FDA8D5" w14:textId="77777777">
      <w:pPr>
        <w:spacing w:after="0" w:line="240" w:lineRule="auto"/>
      </w:pPr>
    </w:p>
    <w:p w14:paraId="5C42E26C" w14:textId="7797D2A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8" w:history="1">
        <w:r>
          <w:rPr>
            <w:color w:val="0000FF"/>
            <w:u w:val="single"/>
          </w:rPr>
          <w:t xml:space="preserve">Acórdão de 9 de junho de 2011</w:t>
        </w:r>
      </w:hyperlink>
      <w:r>
        <w:t xml:space="preserve"> no processo C-361/10, Intercommunale Intermosane e Fédération de l’industrie et du gaz, n.os 14 a 18</w:t>
      </w:r>
      <w:bookmarkEnd w:id="33"/>
    </w:p>
    <w:p w14:paraId="0CF52A6B"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346914E7" w14:textId="1F11C7F6">
      <w:pPr>
        <w:pStyle w:val="P68B1DB1-P68B1DB1-Normal135"/>
        <w:widowControl w:val="0"/>
        <w:autoSpaceDE w:val="0"/>
        <w:autoSpaceDN w:val="0"/>
        <w:spacing w:after="0" w:line="240" w:lineRule="auto"/>
        <w:jc w:val="both"/>
        <w:rPr>
          <w:b w:val="0"/>
          <w:bCs/>
          <w:i w:val="0"/>
          <w:iCs/>
        </w:rPr>
      </w:pPr>
      <w:r>
        <w:t xml:space="preserve">As disposições nacionais que estabelecem prescrições mínimas para a construção de instalações elétricas e a segurança dos trabalhadores não constituem «especificações técnicas», uma vez que estabelecem objetivos gerais de segurança e proteção sem se referirem diretamente a um produto ou à sua embalagem e sem definirem as suas características. </w:t>
      </w:r>
    </w:p>
    <w:p w14:paraId="3E53A714"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3D76D8" w14:textId="3110737E">
      <w:pPr>
        <w:pStyle w:val="P68B1DB1-P68B1DB1-Normal147"/>
        <w:widowControl w:val="0"/>
        <w:autoSpaceDE w:val="0"/>
        <w:autoSpaceDN w:val="0"/>
        <w:spacing w:after="0" w:line="240" w:lineRule="auto"/>
        <w:ind w:left="567"/>
        <w:jc w:val="both"/>
        <w:rPr>
          <w:i/>
          <w:iCs/>
          <w:sz w:val="20"/>
          <w:szCs w:val="18"/>
        </w:rPr>
      </w:pPr>
      <w:r>
        <w:t xml:space="preserve">«14. [...] há que determinar se as disposições nacionais em causa no processo principal estão abrangidas pela primeira categoria de regras técnicas prevista no artigo 1.º, n.º 11, da Diretiva 98/34, a saber, o conceito de «especificação técnica».</w:t>
      </w:r>
    </w:p>
    <w:p w14:paraId="13050860" w14:textId="77777777">
      <w:pPr>
        <w:pStyle w:val="P68B1DB1-Normal14"/>
        <w:widowControl w:val="0"/>
        <w:autoSpaceDE w:val="0"/>
        <w:autoSpaceDN w:val="0"/>
        <w:spacing w:after="0" w:line="240" w:lineRule="auto"/>
        <w:ind w:left="567"/>
        <w:jc w:val="both"/>
        <w:rPr>
          <w:i/>
          <w:iCs/>
          <w:sz w:val="20"/>
          <w:szCs w:val="18"/>
        </w:rPr>
      </w:pPr>
    </w:p>
    <w:p w14:paraId="431EFE6D" w14:textId="5A6B8906">
      <w:pPr>
        <w:pStyle w:val="P68B1DB1-P68B1DB1-Normal147"/>
        <w:widowControl w:val="0"/>
        <w:autoSpaceDE w:val="0"/>
        <w:autoSpaceDN w:val="0"/>
        <w:spacing w:after="0" w:line="240" w:lineRule="auto"/>
        <w:ind w:left="567"/>
        <w:jc w:val="both"/>
        <w:rPr>
          <w:i/>
          <w:iCs/>
          <w:sz w:val="20"/>
          <w:szCs w:val="18"/>
        </w:rPr>
      </w:pPr>
      <w:r>
        <w:t xml:space="preserve">15. Resulta da jurisprudência que este conceito, definido no dito artigo 1.º, n.º 3, pressupõe que a medida nacional se refere necessariamente ao produto ou à sua embalagem enquanto tais e fixa, consequentemente, uma das características exigidas de um produto (v. acórdão Schwibbert, já referido, n.º 35 e jurisprudência referida).</w:t>
      </w:r>
    </w:p>
    <w:p w14:paraId="1713743E" w14:textId="77777777">
      <w:pPr>
        <w:pStyle w:val="P68B1DB1-Normal14"/>
        <w:widowControl w:val="0"/>
        <w:autoSpaceDE w:val="0"/>
        <w:autoSpaceDN w:val="0"/>
        <w:spacing w:after="0" w:line="240" w:lineRule="auto"/>
        <w:ind w:left="567"/>
        <w:jc w:val="both"/>
        <w:rPr>
          <w:i/>
          <w:iCs/>
          <w:sz w:val="20"/>
          <w:szCs w:val="18"/>
        </w:rPr>
      </w:pPr>
    </w:p>
    <w:p w14:paraId="605F1D6D" w14:textId="72688735">
      <w:pPr>
        <w:pStyle w:val="P68B1DB1-P68B1DB1-Normal147"/>
        <w:widowControl w:val="0"/>
        <w:autoSpaceDE w:val="0"/>
        <w:autoSpaceDN w:val="0"/>
        <w:spacing w:after="0" w:line="240" w:lineRule="auto"/>
        <w:ind w:left="567"/>
        <w:jc w:val="both"/>
        <w:rPr>
          <w:i/>
          <w:iCs/>
          <w:sz w:val="20"/>
          <w:szCs w:val="18"/>
        </w:rPr>
      </w:pPr>
      <w:r>
        <w:t xml:space="preserve">16. Quanto às disposições nacionais em causa no processo principal, deve recordar-se que as prescrições mínimas de segurança relativas à realização de certas instalações elétricas previstas por estas disposições visam garantir a segurança dessas instalações para proteger os trabalhadores que as utilizam.</w:t>
      </w:r>
    </w:p>
    <w:p w14:paraId="3BF8D390" w14:textId="77777777">
      <w:pPr>
        <w:pStyle w:val="P68B1DB1-Normal14"/>
        <w:widowControl w:val="0"/>
        <w:autoSpaceDE w:val="0"/>
        <w:autoSpaceDN w:val="0"/>
        <w:spacing w:after="0" w:line="240" w:lineRule="auto"/>
        <w:ind w:left="567"/>
        <w:jc w:val="both"/>
        <w:rPr>
          <w:i/>
          <w:iCs/>
          <w:sz w:val="20"/>
          <w:szCs w:val="18"/>
        </w:rPr>
      </w:pPr>
    </w:p>
    <w:p w14:paraId="53D9038B" w14:textId="44B3180B">
      <w:pPr>
        <w:pStyle w:val="P68B1DB1-P68B1DB1-Normal147"/>
        <w:widowControl w:val="0"/>
        <w:autoSpaceDE w:val="0"/>
        <w:autoSpaceDN w:val="0"/>
        <w:spacing w:after="0" w:line="240" w:lineRule="auto"/>
        <w:ind w:left="567"/>
        <w:jc w:val="both"/>
        <w:rPr>
          <w:i/>
          <w:iCs/>
          <w:sz w:val="20"/>
          <w:szCs w:val="18"/>
        </w:rPr>
      </w:pPr>
      <w:r>
        <w:t xml:space="preserve">17. Ora, impõe-se observar que essas prescrições mínimas comportam exigências e objetivos gerais em matéria de segurança e de proteção, sem se referirem necessariamente ao produto em causa ou à sua embalagem enquanto tais e, consequentemente, sem fixarem as características desse produto.</w:t>
      </w:r>
    </w:p>
    <w:p w14:paraId="4769C93B" w14:textId="77777777">
      <w:pPr>
        <w:pStyle w:val="P68B1DB1-Normal14"/>
        <w:widowControl w:val="0"/>
        <w:autoSpaceDE w:val="0"/>
        <w:autoSpaceDN w:val="0"/>
        <w:spacing w:after="0" w:line="240" w:lineRule="auto"/>
        <w:ind w:left="567"/>
        <w:jc w:val="both"/>
        <w:rPr>
          <w:i/>
          <w:iCs/>
          <w:sz w:val="20"/>
          <w:szCs w:val="18"/>
        </w:rPr>
      </w:pPr>
    </w:p>
    <w:p w14:paraId="4059BF30" w14:textId="7521DC11">
      <w:pPr>
        <w:pStyle w:val="P68B1DB1-P68B1DB1-Normal147"/>
        <w:widowControl w:val="0"/>
        <w:autoSpaceDE w:val="0"/>
        <w:autoSpaceDN w:val="0"/>
        <w:spacing w:after="0" w:line="240" w:lineRule="auto"/>
        <w:ind w:left="567"/>
        <w:jc w:val="both"/>
        <w:rPr>
          <w:bCs/>
          <w:i/>
          <w:iCs/>
          <w:sz w:val="20"/>
          <w:szCs w:val="18"/>
        </w:rPr>
      </w:pPr>
      <w:r>
        <w:t xml:space="preserve">18. Por conseguinte, as disposições nacionais em causa no processo principal não contêm especificações técnicas na aceção da Diretiva 98/34.»</w:t>
      </w:r>
    </w:p>
    <w:p w14:paraId="4E087DB6"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36CB90D3" w14:textId="0830F120">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9" w:history="1">
        <w:r>
          <w:rPr>
            <w:color w:val="0000FF"/>
            <w:u w:val="single"/>
          </w:rPr>
          <w:t xml:space="preserve">Acórdão do Tribunal de Justiça de 19 de julho de 2012</w:t>
        </w:r>
      </w:hyperlink>
      <w:r>
        <w:t xml:space="preserve"> nos processos C-213/11, C-214/11 e C-217/11, Fortuna e outros, n.os 28 a 30.</w:t>
      </w:r>
      <w:bookmarkEnd w:id="34"/>
    </w:p>
    <w:p w14:paraId="3A7FC31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26C64C2" w14:textId="77777777">
      <w:pPr>
        <w:pStyle w:val="P68B1DB1-P68B1DB1-Normal135"/>
        <w:widowControl w:val="0"/>
        <w:tabs>
          <w:tab w:val="left" w:pos="451"/>
        </w:tabs>
        <w:autoSpaceDE w:val="0"/>
        <w:autoSpaceDN w:val="0"/>
        <w:spacing w:after="0" w:line="240" w:lineRule="auto"/>
        <w:jc w:val="both"/>
        <w:rPr>
          <w:b w:val="0"/>
          <w:bCs/>
          <w:i w:val="0"/>
          <w:iCs/>
        </w:rPr>
      </w:pPr>
      <w:r>
        <w:t xml:space="preserve">As disposições nacionais que restringem a exploração de máquinas de jogo a baixo custo fora dos casinos não são «regras técnicas», uma vez que não se referem às características das máquinas de jogo nem à sua embalagem.</w:t>
      </w:r>
    </w:p>
    <w:p w14:paraId="236235AE"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18"/>
          <w:szCs w:val="14"/>
        </w:rPr>
      </w:pPr>
    </w:p>
    <w:p w14:paraId="09B20777" w14:textId="6018D3B7">
      <w:pPr>
        <w:pStyle w:val="P68B1DB1-P68B1DB1-Normal147"/>
        <w:widowControl w:val="0"/>
        <w:autoSpaceDE w:val="0"/>
        <w:autoSpaceDN w:val="0"/>
        <w:spacing w:after="0" w:line="240" w:lineRule="auto"/>
        <w:ind w:left="567"/>
        <w:jc w:val="both"/>
        <w:rPr>
          <w:i/>
          <w:iCs/>
          <w:sz w:val="20"/>
          <w:szCs w:val="18"/>
        </w:rPr>
      </w:pPr>
      <w:r>
        <w:t xml:space="preserve">«28. [...] para que uma medida nacional seja abrangida pela primeira categoria de regras técnicas referida no artigo 1.º, n.º 11, da Diretiva 98/34, ou seja, pelo conceito de «especificação técnica», essa medida deve necessariamente referir-se ao produto ou à sua embalagem enquanto tal e definir, assim, uma das características exigidas de um produto (v. acórdão Intercommunale Intermosane e Fédération de l’industrie et du gaz, já referido, n.º 15).</w:t>
      </w:r>
    </w:p>
    <w:p w14:paraId="0DD51D00" w14:textId="77777777">
      <w:pPr>
        <w:pStyle w:val="P68B1DB1-Normal14"/>
        <w:widowControl w:val="0"/>
        <w:autoSpaceDE w:val="0"/>
        <w:autoSpaceDN w:val="0"/>
        <w:spacing w:after="0" w:line="240" w:lineRule="auto"/>
        <w:ind w:left="567"/>
        <w:jc w:val="both"/>
        <w:rPr>
          <w:i/>
          <w:iCs/>
          <w:sz w:val="20"/>
          <w:szCs w:val="18"/>
        </w:rPr>
      </w:pPr>
    </w:p>
    <w:p w14:paraId="43C64864" w14:textId="4E72B44D">
      <w:pPr>
        <w:pStyle w:val="P68B1DB1-P68B1DB1-Normal147"/>
        <w:widowControl w:val="0"/>
        <w:autoSpaceDE w:val="0"/>
        <w:autoSpaceDN w:val="0"/>
        <w:spacing w:after="0" w:line="240" w:lineRule="auto"/>
        <w:ind w:left="567"/>
        <w:jc w:val="both"/>
        <w:rPr>
          <w:i/>
          <w:iCs/>
          <w:sz w:val="20"/>
          <w:szCs w:val="18"/>
        </w:rPr>
      </w:pPr>
      <w:r>
        <w:t xml:space="preserve">29. Ora, basta constatar que as disposições transitórias da lei dos jogos de fortuna ou azar dizem respeito às autorizações para o exercício de atividades de jogos automáticos com prémios reduzidos. Não se referem aos aparelhos de jogos com prémios reduzidos nem à sua embalagem enquanto tais e, consequentemente, não fixam as respetivas características.</w:t>
      </w:r>
    </w:p>
    <w:p w14:paraId="28D3F16E" w14:textId="77777777">
      <w:pPr>
        <w:pStyle w:val="P68B1DB1-Normal14"/>
        <w:widowControl w:val="0"/>
        <w:autoSpaceDE w:val="0"/>
        <w:autoSpaceDN w:val="0"/>
        <w:spacing w:after="0" w:line="240" w:lineRule="auto"/>
        <w:ind w:left="567"/>
        <w:jc w:val="both"/>
        <w:rPr>
          <w:i/>
          <w:iCs/>
          <w:sz w:val="20"/>
          <w:szCs w:val="18"/>
        </w:rPr>
      </w:pPr>
    </w:p>
    <w:p w14:paraId="65E1DF47" w14:textId="1076F250">
      <w:pPr>
        <w:pStyle w:val="P68B1DB1-P68B1DB1-Normal147"/>
        <w:widowControl w:val="0"/>
        <w:autoSpaceDE w:val="0"/>
        <w:autoSpaceDN w:val="0"/>
        <w:spacing w:after="0" w:line="240" w:lineRule="auto"/>
        <w:ind w:left="567"/>
        <w:jc w:val="both"/>
        <w:rPr>
          <w:bCs/>
          <w:i/>
          <w:iCs/>
          <w:sz w:val="20"/>
          <w:szCs w:val="18"/>
        </w:rPr>
      </w:pPr>
      <w:r>
        <w:t xml:space="preserve">30. Por conseguinte, as disposições nacionais em causa no processo principal não contêm especificações técnicas na aceção da Diretiva 98/34.»</w:t>
      </w:r>
    </w:p>
    <w:p w14:paraId="253F8A3A"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11A687F9" w14:textId="7673430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0" w:history="1">
        <w:r>
          <w:rPr>
            <w:b/>
            <w:i/>
            <w:color w:val="0000FF"/>
            <w:u w:val="single"/>
          </w:rPr>
          <w:t xml:space="preserve">Acórdão do Tribunal de Justiça de 10 de julho de 2014</w:t>
        </w:r>
      </w:hyperlink>
      <w:r>
        <w:rPr>
          <w:sz w:val="25"/>
        </w:rPr>
        <w:t xml:space="preserve">no processo</w:t>
      </w:r>
      <w:r>
        <w:rPr>
          <w:b/>
          <w:i/>
        </w:rPr>
        <w:t xml:space="preserve"> C-307/13,</w:t>
      </w:r>
      <w:r>
        <w:rPr>
          <w:b/>
          <w:i/>
        </w:rPr>
        <w:t xml:space="preserve">Ivansson e o.</w:t>
      </w:r>
      <w:r>
        <w:rPr>
          <w:b/>
          <w:i/>
        </w:rPr>
        <w:t xml:space="preserve">, n.os 19 a 23</w:t>
      </w:r>
      <w:r>
        <w:rPr>
          <w:sz w:val="25"/>
        </w:rPr>
        <w:t>.</w:t>
      </w:r>
      <w:bookmarkEnd w:id="35"/>
    </w:p>
    <w:p w14:paraId="3CBB181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9768B7" w14:textId="77777777">
      <w:pPr>
        <w:pStyle w:val="P68B1DB1-P68B1DB1-Normal135"/>
        <w:widowControl w:val="0"/>
        <w:tabs>
          <w:tab w:val="left" w:pos="396"/>
          <w:tab w:val="left" w:pos="407"/>
        </w:tabs>
        <w:autoSpaceDE w:val="0"/>
        <w:autoSpaceDN w:val="0"/>
        <w:spacing w:after="0" w:line="240" w:lineRule="auto"/>
        <w:jc w:val="both"/>
        <w:rPr>
          <w:b w:val="0"/>
          <w:bCs/>
          <w:i w:val="0"/>
          <w:iCs/>
        </w:rPr>
      </w:pPr>
      <w:r>
        <w:t xml:space="preserve">Uma regra que estabelece um objetivo geral de conforto das aves de capoeira e de qualidade das instalações de criação não é uma «especificação técnica», uma vez que não estabelece as características do produto e não é suficientemente precisa para definir um método de produção. </w:t>
      </w:r>
    </w:p>
    <w:p w14:paraId="7B99302F"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EDA7715" w14:textId="0C493BF1">
      <w:pPr>
        <w:pStyle w:val="P68B1DB1-P68B1DB1-Normal147"/>
        <w:widowControl w:val="0"/>
        <w:autoSpaceDE w:val="0"/>
        <w:autoSpaceDN w:val="0"/>
        <w:spacing w:after="0" w:line="240" w:lineRule="auto"/>
        <w:ind w:left="567"/>
        <w:jc w:val="both"/>
        <w:rPr>
          <w:i/>
          <w:iCs/>
          <w:sz w:val="20"/>
          <w:szCs w:val="18"/>
        </w:rPr>
      </w:pPr>
      <w:r>
        <w:t xml:space="preserve">«19. Há que precisar que, em conformidade com a jurisprudência, este conceito [de especificação técnica] pressupõe que a medida nacional se refira necessariamente ao produto ou à sua embalagem enquanto tal e estabeleça, assim, uma das características exigidas de um produto (v., neste sentido, acórdão Fortuna e o., já referido, n.º 28).</w:t>
      </w:r>
    </w:p>
    <w:p w14:paraId="5E172BC8" w14:textId="77777777">
      <w:pPr>
        <w:pStyle w:val="P68B1DB1-Normal14"/>
        <w:widowControl w:val="0"/>
        <w:autoSpaceDE w:val="0"/>
        <w:autoSpaceDN w:val="0"/>
        <w:spacing w:after="0" w:line="240" w:lineRule="auto"/>
        <w:ind w:left="567"/>
        <w:jc w:val="both"/>
        <w:rPr>
          <w:i/>
          <w:iCs/>
          <w:sz w:val="20"/>
          <w:szCs w:val="18"/>
        </w:rPr>
      </w:pPr>
    </w:p>
    <w:p w14:paraId="39F7789D" w14:textId="31D50226">
      <w:pPr>
        <w:pStyle w:val="P68B1DB1-P68B1DB1-Normal147"/>
        <w:widowControl w:val="0"/>
        <w:autoSpaceDE w:val="0"/>
        <w:autoSpaceDN w:val="0"/>
        <w:spacing w:after="0" w:line="240" w:lineRule="auto"/>
        <w:ind w:left="567"/>
        <w:jc w:val="both"/>
        <w:rPr>
          <w:i/>
          <w:iCs/>
          <w:sz w:val="20"/>
          <w:szCs w:val="18"/>
        </w:rPr>
      </w:pPr>
      <w:r>
        <w:t xml:space="preserve">20. Além disso, no que respeita aos produtos agrícolas, o Tribunal de Justiça precisou que uma especificação técnica consta de um documento que estabelece as características exigidas de um produto ou os seus métodos e procedimentos de produção (v., neste sentido, acórdão Donkersteeg, C-37/99, n.º 30).</w:t>
      </w:r>
    </w:p>
    <w:p w14:paraId="65DAFA85" w14:textId="77777777">
      <w:pPr>
        <w:pStyle w:val="P68B1DB1-Normal14"/>
        <w:widowControl w:val="0"/>
        <w:autoSpaceDE w:val="0"/>
        <w:autoSpaceDN w:val="0"/>
        <w:spacing w:after="0" w:line="240" w:lineRule="auto"/>
        <w:ind w:left="567"/>
        <w:jc w:val="both"/>
        <w:rPr>
          <w:i/>
          <w:iCs/>
          <w:sz w:val="20"/>
          <w:szCs w:val="18"/>
        </w:rPr>
      </w:pPr>
    </w:p>
    <w:p w14:paraId="1CC9B834" w14:textId="7551980C">
      <w:pPr>
        <w:pStyle w:val="P68B1DB1-P68B1DB1-Normal147"/>
        <w:widowControl w:val="0"/>
        <w:autoSpaceDE w:val="0"/>
        <w:autoSpaceDN w:val="0"/>
        <w:spacing w:after="0" w:line="240" w:lineRule="auto"/>
        <w:ind w:left="567"/>
        <w:jc w:val="both"/>
        <w:rPr>
          <w:i/>
          <w:iCs/>
          <w:sz w:val="20"/>
          <w:szCs w:val="18"/>
        </w:rPr>
      </w:pPr>
      <w:r>
        <w:t xml:space="preserve">21. Há que salientar, em primeiro lugar, que, embora o § 9 da DSF diga respeito ao conforto e à qualidade das instalações onde são mantidas galinhas destinadas à produção de ovos, a saber, as gaiolas melhoradas, esta disposição não define, no entanto, como salientou o Governo polaco, as características que os artigos em causa no processo principal devem apresentar.</w:t>
      </w:r>
    </w:p>
    <w:p w14:paraId="01AC6E59" w14:textId="77777777">
      <w:pPr>
        <w:pStyle w:val="P68B1DB1-Normal14"/>
        <w:widowControl w:val="0"/>
        <w:autoSpaceDE w:val="0"/>
        <w:autoSpaceDN w:val="0"/>
        <w:spacing w:after="0" w:line="240" w:lineRule="auto"/>
        <w:ind w:left="567"/>
        <w:jc w:val="both"/>
        <w:rPr>
          <w:i/>
          <w:iCs/>
          <w:sz w:val="20"/>
          <w:szCs w:val="18"/>
        </w:rPr>
      </w:pPr>
    </w:p>
    <w:p w14:paraId="4F11FC6F" w14:textId="24A20F05">
      <w:pPr>
        <w:pStyle w:val="P68B1DB1-P68B1DB1-Normal147"/>
        <w:widowControl w:val="0"/>
        <w:autoSpaceDE w:val="0"/>
        <w:autoSpaceDN w:val="0"/>
        <w:spacing w:after="0" w:line="240" w:lineRule="auto"/>
        <w:ind w:left="567"/>
        <w:jc w:val="both"/>
        <w:rPr>
          <w:i/>
          <w:iCs/>
          <w:sz w:val="20"/>
          <w:szCs w:val="18"/>
        </w:rPr>
      </w:pPr>
      <w:r>
        <w:t xml:space="preserve">22. Por outro lado, no pressuposto de que possa ser considerado que esta disposição diz respeito a um método de produção na medida em que visa, como referido no número anterior, a criação das galinhas poedeiras em galinheiros transformados, há todavia que salientar que a referida disposição se limita a mencionar de modo geral a exigência da existência de ninhos, poleiros e banhos de areia dentro dessas infraestruturas sem no entanto determinar especificadamente os diversos aspetos desse modo de criação. O § 9 do DSF não contém qualquer indicação relativa, por exemplo, à dimensão, ao número, à temperatura, à conservação ou ao funcionamento dessas instalações no que respeita à exposição das galinhas para produção de ovos à luz ou mesmo à alimentação e ao abeberamento. Na falta de especificação no § 9 do DSF, não se pode considerar que estabelece os métodos e procedimentos de produção.</w:t>
      </w:r>
    </w:p>
    <w:p w14:paraId="000E1FB3" w14:textId="77777777">
      <w:pPr>
        <w:pStyle w:val="P68B1DB1-Normal14"/>
        <w:widowControl w:val="0"/>
        <w:autoSpaceDE w:val="0"/>
        <w:autoSpaceDN w:val="0"/>
        <w:spacing w:after="0" w:line="240" w:lineRule="auto"/>
        <w:ind w:left="567"/>
        <w:jc w:val="both"/>
        <w:rPr>
          <w:i/>
          <w:iCs/>
          <w:sz w:val="20"/>
          <w:szCs w:val="18"/>
        </w:rPr>
      </w:pPr>
    </w:p>
    <w:p w14:paraId="38E2B353" w14:textId="549AB11B">
      <w:pPr>
        <w:pStyle w:val="P68B1DB1-P68B1DB1-Normal147"/>
        <w:widowControl w:val="0"/>
        <w:autoSpaceDE w:val="0"/>
        <w:autoSpaceDN w:val="0"/>
        <w:spacing w:after="0" w:line="240" w:lineRule="auto"/>
        <w:ind w:left="567"/>
        <w:jc w:val="both"/>
        <w:rPr>
          <w:i/>
          <w:iCs/>
          <w:sz w:val="20"/>
          <w:szCs w:val="18"/>
        </w:rPr>
      </w:pPr>
      <w:r>
        <w:t xml:space="preserve">23. Além disso, há que salientar que, ao precisar que «o sistema de alojamento deve ser tal que a taxa de mortalidade e as perturbações de comportamento nas galinhas sejam mantidas a um nível baixo», sem qualquer outra indicação, o § 9, primeiro parágrafo, do DSF limita-se a enunciar objetivos gerais relativos ao bem-estar das galinhas destinadas à produção de ovos, sem se referir necessariamente ao produto em causa e, portanto, sem fixar as características desse produto (v., por analogia, acórdão Intercommunale Intermosane e Fédération de l’Industrie et du gaz, C-361/10, n.º 17)».</w:t>
      </w:r>
    </w:p>
    <w:p w14:paraId="6C0651D1" w14:textId="77777777">
      <w:pPr>
        <w:pStyle w:val="P68B1DB1-Normal14"/>
        <w:widowControl w:val="0"/>
        <w:autoSpaceDE w:val="0"/>
        <w:autoSpaceDN w:val="0"/>
        <w:spacing w:after="0" w:line="240" w:lineRule="auto"/>
        <w:ind w:left="567"/>
        <w:jc w:val="both"/>
      </w:pPr>
    </w:p>
    <w:p w14:paraId="497D9E29" w14:textId="02A14E4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1" w:history="1">
        <w:r>
          <w:rPr>
            <w:color w:val="0000FF"/>
            <w:u w:val="single"/>
          </w:rPr>
          <w:t xml:space="preserve">Acórdão do Tribunal de Justiça de 27 de outubro de 2016</w:t>
        </w:r>
      </w:hyperlink>
      <w:r>
        <w:t xml:space="preserve"> no processo C-613/14, James Elliott Construction, n.º 67.</w:t>
      </w:r>
      <w:bookmarkEnd w:id="36"/>
    </w:p>
    <w:p w14:paraId="73295FA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46DAC4" w14:textId="10617266">
      <w:pPr>
        <w:pStyle w:val="P68B1DB1-P68B1DB1-Normal135"/>
        <w:widowControl w:val="0"/>
        <w:tabs>
          <w:tab w:val="left" w:pos="430"/>
        </w:tabs>
        <w:autoSpaceDE w:val="0"/>
        <w:autoSpaceDN w:val="0"/>
        <w:spacing w:after="0" w:line="240" w:lineRule="auto"/>
        <w:jc w:val="both"/>
        <w:rPr>
          <w:b w:val="0"/>
          <w:bCs/>
          <w:i w:val="0"/>
          <w:iCs/>
        </w:rPr>
      </w:pPr>
      <w:r>
        <w:t xml:space="preserve">As disposições nacionais que estabelecem condições contratuais implícitas relativas à qualidade dos produtos vendidos não constituem «especificações técnicas», uma vez que não definem as características do produto em causa.</w:t>
      </w:r>
    </w:p>
    <w:p w14:paraId="6818C835" w14:textId="77777777">
      <w:pPr>
        <w:pStyle w:val="P68B1DB1-Normal14"/>
        <w:widowControl w:val="0"/>
        <w:tabs>
          <w:tab w:val="left" w:pos="430"/>
        </w:tabs>
        <w:autoSpaceDE w:val="0"/>
        <w:autoSpaceDN w:val="0"/>
        <w:spacing w:after="0" w:line="240" w:lineRule="auto"/>
        <w:jc w:val="both"/>
        <w:rPr>
          <w:i/>
          <w:iCs/>
          <w:sz w:val="20"/>
          <w:szCs w:val="18"/>
        </w:rPr>
      </w:pPr>
    </w:p>
    <w:p w14:paraId="63638539" w14:textId="7DA96F1E">
      <w:pPr>
        <w:pStyle w:val="P68B1DB1-P68B1DB1-Normal147"/>
        <w:widowControl w:val="0"/>
        <w:tabs>
          <w:tab w:val="left" w:pos="430"/>
        </w:tabs>
        <w:autoSpaceDE w:val="0"/>
        <w:autoSpaceDN w:val="0"/>
        <w:spacing w:after="0" w:line="240" w:lineRule="auto"/>
        <w:ind w:left="567"/>
        <w:jc w:val="both"/>
        <w:rPr>
          <w:i/>
          <w:iCs/>
          <w:sz w:val="20"/>
          <w:szCs w:val="18"/>
        </w:rPr>
      </w:pPr>
      <w:r>
        <w:t>«</w:t>
      </w:r>
      <w:bookmarkStart w:id="37" w:name="point67"/>
      <w:r>
        <w:t>67</w:t>
      </w:r>
      <w:bookmarkEnd w:id="37"/>
      <w:r>
        <w:t xml:space="preserve">. No caso em apreço, verifica-se, por um lado, que disposições como as que estão em causa no processo principal, em si mesmas ou como interpretadas pelos órgãos jurisdicionais irlandeses, não estão abrangidas pelo conceito de «especificação técnica», na aceção do artigo 1.º, n.º 3, da Diretiva 98/34. Com efeito, este conceito abrange apenas as medidas nacionais que se referem a um produto ou à sua embalagem enquanto tal e que estabelecem, assim, uma das características exigidas de um produto (Acórdão de 10 de julho de 2014,</w:t>
        <w:noBreakHyphen/>
        <w:t xml:space="preserve">Ivansson e o., 307/13, n.º 19 e jurisprudência referida). Tal não é manifestamente o caso de um requisito que se aplica, salvo acordo em contrário das partes, em geral à venda de todos os produtos.»</w:t>
      </w:r>
    </w:p>
    <w:p w14:paraId="7BFACEDE" w14:textId="77777777">
      <w:pPr>
        <w:spacing w:after="0" w:line="240" w:lineRule="auto"/>
      </w:pPr>
    </w:p>
    <w:p w14:paraId="5FDF21D1" w14:textId="0085E99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2" w:history="1">
        <w:r>
          <w:rPr>
            <w:color w:val="0000FF"/>
            <w:u w:val="single"/>
          </w:rPr>
          <w:t xml:space="preserve">Acórdão do Tribunal de Justiça de 1 de fevereiro de 2017</w:t>
        </w:r>
      </w:hyperlink>
      <w:r>
        <w:t xml:space="preserve"> no processo C-144/16, Município de Palmela, n.º 30</w:t>
      </w:r>
      <w:bookmarkEnd w:id="38"/>
    </w:p>
    <w:p w14:paraId="0E2142D8" w14:textId="77777777">
      <w:pPr>
        <w:widowControl w:val="0"/>
        <w:tabs>
          <w:tab w:val="left" w:pos="396"/>
          <w:tab w:val="left" w:pos="435"/>
        </w:tabs>
        <w:autoSpaceDE w:val="0"/>
        <w:autoSpaceDN w:val="0"/>
        <w:spacing w:after="0" w:line="240" w:lineRule="auto"/>
        <w:jc w:val="both"/>
        <w:rPr>
          <w:rFonts w:ascii="Times New Roman" w:hAnsi="Times New Roman" w:cs="Times New Roman" w:eastAsia="Times New Roman"/>
          <w:szCs w:val="20"/>
        </w:rPr>
      </w:pPr>
    </w:p>
    <w:p w14:paraId="2D0E0BDF" w14:textId="77777777">
      <w:pPr>
        <w:pStyle w:val="P68B1DB1-P68B1DB1-Normal135"/>
        <w:widowControl w:val="0"/>
        <w:tabs>
          <w:tab w:val="left" w:pos="396"/>
          <w:tab w:val="left" w:pos="399"/>
        </w:tabs>
        <w:autoSpaceDE w:val="0"/>
        <w:autoSpaceDN w:val="0"/>
        <w:spacing w:after="0" w:line="240" w:lineRule="auto"/>
        <w:jc w:val="both"/>
        <w:rPr>
          <w:b w:val="0"/>
          <w:bCs/>
          <w:i w:val="0"/>
          <w:iCs/>
        </w:rPr>
      </w:pPr>
      <w:r>
        <w:t xml:space="preserve">Um regulamento que exige a exibição, numa zona de lazer, de informações sobre a capacidade máxima dessa zona não constitui uma «especificação técnica», uma vez que não estabelece as características de um produto.</w:t>
      </w:r>
    </w:p>
    <w:p w14:paraId="0EEA34B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49F52DFE" w14:textId="22C34708">
      <w:pPr>
        <w:pStyle w:val="P68B1DB1-P68B1DB1-Normal147"/>
        <w:widowControl w:val="0"/>
        <w:autoSpaceDE w:val="0"/>
        <w:autoSpaceDN w:val="0"/>
        <w:spacing w:after="0" w:line="240" w:lineRule="auto"/>
        <w:ind w:left="567"/>
        <w:jc w:val="both"/>
        <w:rPr>
          <w:i/>
          <w:iCs/>
          <w:sz w:val="20"/>
          <w:szCs w:val="18"/>
        </w:rPr>
      </w:pPr>
      <w:r>
        <w:t xml:space="preserve">«30. [...] tal disposição não está abrangida pela categoria das especificações técnicas na aceção do artigo 1.º, n.º 3, da Diretiva 98/34, na medida em que é pacífico que as disposições que estabelecem as exigências e os objetivos gerais relativos à segurança e à proteção, sem se referirem necessariamente ao produto em causa ou à sua embalagem enquanto tal e, portanto, sem fixar as características desse produto, não constituem especificações técnicas (v., neste sentido, Acórdão de 9 de junho de 2011, Intercommunale Intermosane e Fédération de l’industrie et du gaz, C-361/10, n.os 17 e 18).»</w:t>
      </w:r>
    </w:p>
    <w:p w14:paraId="5DF2371F" w14:textId="77777777">
      <w:pPr>
        <w:spacing w:after="0" w:line="240" w:lineRule="auto"/>
      </w:pPr>
    </w:p>
    <w:p w14:paraId="303995E7" w14:textId="23CEFD0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3" w:history="1">
        <w:r>
          <w:rPr>
            <w:color w:val="0000FF"/>
            <w:u w:val="single"/>
          </w:rPr>
          <w:t xml:space="preserve">Acórdão do Tribunal de Justiça de 26 de setembro de 2018</w:t>
        </w:r>
      </w:hyperlink>
      <w:r>
        <w:t xml:space="preserve"> no processo C-137/17, Van Gennip e o., n.º 38.</w:t>
      </w:r>
      <w:bookmarkEnd w:id="39"/>
    </w:p>
    <w:p w14:paraId="2C38792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8C12BA" w14:textId="71921C3D">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As disposições nacionais que subordinam a comercialização dos produtos à posse de uma autorização pelo comprador não estão abrangidas pelo conceito de «especificação técnica», uma vez que não definem as características do próprio produto ou da sua embalagem.</w:t>
      </w:r>
    </w:p>
    <w:p w14:paraId="51B72955" w14:textId="77777777">
      <w:pPr>
        <w:widowControl w:val="0"/>
        <w:tabs>
          <w:tab w:val="left" w:pos="404"/>
        </w:tabs>
        <w:autoSpaceDE w:val="0"/>
        <w:autoSpaceDN w:val="0"/>
        <w:spacing w:after="0" w:line="240" w:lineRule="auto"/>
        <w:jc w:val="both"/>
        <w:rPr>
          <w:rFonts w:ascii="Times New Roman" w:hAnsi="Times New Roman" w:cs="Times New Roman" w:eastAsia="Times New Roman"/>
          <w:sz w:val="20"/>
          <w:szCs w:val="18"/>
        </w:rPr>
      </w:pPr>
    </w:p>
    <w:p w14:paraId="7AB991D2" w14:textId="4B88FB97">
      <w:pPr>
        <w:pStyle w:val="P68B1DB1-P68B1DB1-Normal147"/>
        <w:widowControl w:val="0"/>
        <w:tabs>
          <w:tab w:val="left" w:pos="404"/>
        </w:tabs>
        <w:autoSpaceDE w:val="0"/>
        <w:autoSpaceDN w:val="0"/>
        <w:spacing w:after="0" w:line="240" w:lineRule="auto"/>
        <w:ind w:left="567"/>
        <w:jc w:val="both"/>
        <w:rPr>
          <w:i/>
          <w:iCs/>
          <w:sz w:val="20"/>
          <w:szCs w:val="18"/>
        </w:rPr>
      </w:pPr>
      <w:r>
        <w:t>«</w:t>
      </w:r>
      <w:bookmarkStart w:id="40" w:name="point38"/>
      <w:r>
        <w:t>38</w:t>
      </w:r>
      <w:bookmarkEnd w:id="40"/>
      <w:r>
        <w:t xml:space="preserve">. No que respeita, em primeiro lugar, ao conceito de «especificação técnica», importa recordar que este pressupõe que a medida nacional se refira necessariamente ao produto ou à sua embalagem enquanto tal e que, por conseguinte, estabeleça uma das características exigidas de um produto, como as dimensões, a denominação de venda, a rotulagem ou a marcação (Acórdão de 10 de julho de 2014, Ivansson e o.</w:t>
        <w:noBreakHyphen/>
        <w:t xml:space="preserve">, C 307/13, n.º 19 e jurisprudência referida). Ora, como salientou o advogado-geral no n.º 74 das suas conclusões, a legislação belga não se refere aos artigos de pirotecnia ou à sua embalagem enquanto tais, de modo que esta legislação não fixa uma das características exigidas desses produtos. Por conseguinte, esta regulamentação não constitui uma «especificação técnica», na aceção do artigo 1.º, ponto 3, da Diretiva 98/34.»</w:t>
      </w:r>
    </w:p>
    <w:p w14:paraId="3C1C0D5D" w14:textId="77777777">
      <w:pPr>
        <w:spacing w:after="0" w:line="240" w:lineRule="auto"/>
      </w:pPr>
    </w:p>
    <w:p w14:paraId="1B398E2A" w14:textId="0E921DB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4" w:anchor="ctx1" w:history="1">
        <w:r>
          <w:rPr>
            <w:color w:val="0000FF"/>
            <w:u w:val="single"/>
          </w:rPr>
          <w:t xml:space="preserve">Acórdão do Tribunal de Justiça de 28 de maio de 2020</w:t>
        </w:r>
      </w:hyperlink>
      <w:r>
        <w:t xml:space="preserve"> no processo C-727/17, ECO-WIND Construction, n.os 36 e 37.</w:t>
      </w:r>
      <w:bookmarkEnd w:id="41"/>
    </w:p>
    <w:p w14:paraId="0A0FB1E2" w14:textId="77777777">
      <w:pPr>
        <w:widowControl w:val="0"/>
        <w:autoSpaceDE w:val="0"/>
        <w:autoSpaceDN w:val="0"/>
        <w:spacing w:after="0" w:line="240" w:lineRule="auto"/>
        <w:jc w:val="both"/>
        <w:rPr>
          <w:rFonts w:ascii="Times New Roman" w:hAnsi="Times New Roman" w:cs="Times New Roman" w:eastAsia="Times New Roman"/>
          <w:szCs w:val="20"/>
        </w:rPr>
      </w:pPr>
    </w:p>
    <w:p w14:paraId="1727EFAA" w14:textId="2501EFD3">
      <w:pPr>
        <w:pStyle w:val="P68B1DB1-P68B1DB1-Normal135"/>
        <w:widowControl w:val="0"/>
        <w:autoSpaceDE w:val="0"/>
        <w:autoSpaceDN w:val="0"/>
        <w:spacing w:after="0" w:line="240" w:lineRule="auto"/>
        <w:jc w:val="both"/>
        <w:rPr>
          <w:b w:val="0"/>
          <w:bCs/>
          <w:i w:val="0"/>
          <w:iCs/>
        </w:rPr>
      </w:pPr>
      <w:r>
        <w:t xml:space="preserve">Um regulamento que impõe uma distância mínima para a instalação de turbinas eólicas não constitui uma «especificação técnica», uma vez que não estabelece as características do produto. </w:t>
      </w:r>
    </w:p>
    <w:p w14:paraId="722207F3" w14:textId="77777777">
      <w:pPr>
        <w:widowControl w:val="0"/>
        <w:autoSpaceDE w:val="0"/>
        <w:autoSpaceDN w:val="0"/>
        <w:spacing w:after="0" w:line="240" w:lineRule="auto"/>
        <w:jc w:val="both"/>
        <w:rPr>
          <w:rFonts w:ascii="Times New Roman" w:hAnsi="Times New Roman" w:cs="Times New Roman" w:eastAsia="Times New Roman"/>
          <w:szCs w:val="20"/>
        </w:rPr>
      </w:pPr>
    </w:p>
    <w:p w14:paraId="1E97E227" w14:textId="71BD8F6B">
      <w:pPr>
        <w:pStyle w:val="P68B1DB1-P68B1DB1-Normal1820"/>
        <w:widowControl w:val="0"/>
        <w:autoSpaceDE w:val="0"/>
        <w:autoSpaceDN w:val="0"/>
        <w:spacing w:after="0" w:line="240" w:lineRule="auto"/>
        <w:ind w:left="567"/>
        <w:jc w:val="both"/>
        <w:rPr>
          <w:sz w:val="18"/>
          <w:szCs w:val="18"/>
        </w:rPr>
      </w:pPr>
      <w:r>
        <w:t xml:space="preserve">«36. [...] no que respeita à eventual qualificação da mesma exigência como regra técnica com base no facto de esta estar abrangida pela categoria das «especificações técnicas», há que salientar que uma especificação técnica pressupõe que a medida nacional que a prescreve se refira ao produto ou à sua embalagem enquanto tal e que, por conseguinte, estabeleça uma das características exigidas para esse produto (Acórdãos de 21 de abril de 2005, Lindberg, C-267/03, n.º 57, e de 19 de julho de 2012, Fortuna e o., C-213/11, C-214/11 e C-217/11, n.º 28).</w:t>
      </w:r>
    </w:p>
    <w:p w14:paraId="43CBA2CC" w14:textId="77777777">
      <w:pPr>
        <w:pStyle w:val="P68B1DB1-Normal18"/>
        <w:widowControl w:val="0"/>
        <w:autoSpaceDE w:val="0"/>
        <w:autoSpaceDN w:val="0"/>
        <w:spacing w:after="0" w:line="240" w:lineRule="auto"/>
        <w:ind w:left="567"/>
        <w:jc w:val="both"/>
        <w:rPr>
          <w:sz w:val="18"/>
          <w:szCs w:val="18"/>
        </w:rPr>
      </w:pPr>
    </w:p>
    <w:p w14:paraId="76314186" w14:textId="0AD1E5B8">
      <w:pPr>
        <w:pStyle w:val="P68B1DB1-P68B1DB1-Normal1820"/>
        <w:widowControl w:val="0"/>
        <w:autoSpaceDE w:val="0"/>
        <w:autoSpaceDN w:val="0"/>
        <w:spacing w:after="0" w:line="240" w:lineRule="auto"/>
        <w:ind w:left="567"/>
        <w:jc w:val="both"/>
        <w:rPr>
          <w:iCs/>
          <w:sz w:val="18"/>
          <w:szCs w:val="18"/>
        </w:rPr>
      </w:pPr>
      <w:r>
        <w:t xml:space="preserve">37. Ora, no caso em apreço, a regulamentação em causa no processo principal limita-se a regulamentar a instalação das turbinas eólicas, fixando uma distância mínima a observar na sua implantação. Por conseguinte, essa regulamentação não se refere a um produto enquanto tal, no caso em apreço, o gerador eólico, e, por conseguinte, não estabelece nenhuma das características exigidas a esse produto na aceção do artigo 1.º, n.º 1, alínea f), da Diretiva 2015/1535, lido à luz do artigo 1.º, n.º 1, alínea c), desta diretiva.»</w:t>
      </w:r>
    </w:p>
    <w:p w14:paraId="5AABB494" w14:textId="77777777">
      <w:pPr>
        <w:spacing w:after="0" w:line="240" w:lineRule="auto"/>
      </w:pPr>
    </w:p>
    <w:p w14:paraId="083B7832" w14:textId="56CC78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5" w:history="1">
        <w:r>
          <w:rPr>
            <w:color w:val="0000FF"/>
            <w:u w:val="single"/>
          </w:rPr>
          <w:t xml:space="preserve">Acórdão do Tribunal de Justiça de 22 de outubro de 2020</w:t>
        </w:r>
      </w:hyperlink>
      <w:r>
        <w:t xml:space="preserve"> no processo C-275/19, Sportingbet e Internet Opportunity Entertainment, n.os 42 e 43.</w:t>
      </w:r>
      <w:bookmarkEnd w:id="42"/>
    </w:p>
    <w:p w14:paraId="6C7ED54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8C7F634" w14:textId="48937F16">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43" w:name="_Toc198043809"/>
      <w:r>
        <w:t xml:space="preserve">Uma legislação nacional que reserva a exploração de jogos de fortuna ou azar ao Estado e impõe a concessão de licenças apenas a empresas públicas não constitui uma «especificação técnica», uma vez que não define as características exigidas de um produto.</w:t>
      </w:r>
      <w:bookmarkEnd w:id="43"/>
    </w:p>
    <w:p w14:paraId="0A3D0FC5"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6392BB1A" w14:textId="67B2E488">
      <w:pPr>
        <w:pStyle w:val="P68B1DB1-P68B1DB1-Normal147"/>
        <w:widowControl w:val="0"/>
        <w:autoSpaceDE w:val="0"/>
        <w:autoSpaceDN w:val="0"/>
        <w:spacing w:after="0" w:line="240" w:lineRule="auto"/>
        <w:ind w:left="567"/>
        <w:jc w:val="both"/>
        <w:outlineLvl w:val="1"/>
        <w:rPr>
          <w:i/>
          <w:iCs/>
          <w:sz w:val="20"/>
          <w:szCs w:val="18"/>
        </w:rPr>
      </w:pPr>
      <w:bookmarkStart w:id="44" w:name="_Toc198043810"/>
      <w:r>
        <w:t xml:space="preserve">«42. Nos termos do artigo 1.º, n.º 1, da Diretiva 83/189, entende-se por «especificação técnica», na aceção desta diretiva, a especificação que consta de um documento que define as características exigidas de um produto, tais como os níveis de qualidade, de desempenho, de segurança ou de dimensões, incluindo as prescrições aplicáveis ao produto no que respeita à terminologia, aos símbolos, aos ensaios e métodos de ensaio, à embalagem, à marcação ou à rotulagem (v., neste sentido, Acórdão de 8 de março de 2001, van der Burg, C-278/99, n.º 20).</w:t>
      </w:r>
      <w:bookmarkEnd w:id="44"/>
    </w:p>
    <w:p w14:paraId="0F20B9AD" w14:textId="77777777">
      <w:pPr>
        <w:pStyle w:val="P68B1DB1-Normal14"/>
        <w:widowControl w:val="0"/>
        <w:autoSpaceDE w:val="0"/>
        <w:autoSpaceDN w:val="0"/>
        <w:spacing w:after="0" w:line="240" w:lineRule="auto"/>
        <w:ind w:left="567"/>
        <w:jc w:val="both"/>
        <w:outlineLvl w:val="1"/>
        <w:rPr>
          <w:i/>
          <w:iCs/>
          <w:sz w:val="20"/>
          <w:szCs w:val="18"/>
        </w:rPr>
      </w:pPr>
    </w:p>
    <w:p w14:paraId="757FE488" w14:textId="2F0812B7">
      <w:pPr>
        <w:pStyle w:val="P68B1DB1-P68B1DB1-Normal147"/>
        <w:widowControl w:val="0"/>
        <w:autoSpaceDE w:val="0"/>
        <w:autoSpaceDN w:val="0"/>
        <w:spacing w:after="0" w:line="240" w:lineRule="auto"/>
        <w:ind w:left="567"/>
        <w:jc w:val="both"/>
        <w:outlineLvl w:val="1"/>
        <w:rPr>
          <w:i/>
          <w:iCs/>
          <w:sz w:val="20"/>
          <w:szCs w:val="18"/>
        </w:rPr>
      </w:pPr>
      <w:bookmarkStart w:id="45" w:name="_Toc198043811"/>
      <w:r>
        <w:t xml:space="preserve">43. Uma vez que os artigos 3.º e 9.º do Decreto-Lei n.º 422/89 estabelecem regras de concessão para a exploração de jogos de fortuna ou azar ou de jogos de fortuna ou azar e as condições e zonas para o exercício dessa atividade, não se afigura que essas disposições digam respeito às características exigidas para um produto, na aceção do artigo 1.º, n.º 1, da Diretiva 83/189, pelo que não podem ser qualificadas de «regras técnicas», na aceção do artigo 1.º, n.º 5, desta diretiva.»</w:t>
      </w:r>
      <w:bookmarkEnd w:id="45"/>
    </w:p>
    <w:p w14:paraId="317449EC" w14:textId="20C2AD43">
      <w:pPr>
        <w:spacing w:after="0" w:line="240" w:lineRule="auto"/>
      </w:pPr>
      <w:r>
        <w:br w:type="page"/>
      </w:r>
    </w:p>
    <w:p w14:paraId="5544B741" w14:textId="1E79FEAA">
      <w:pPr>
        <w:pStyle w:val="P68B1DB1-Heading24"/>
        <w:numPr>
          <w:ilvl w:val="0"/>
          <w:numId w:val="35"/>
        </w:numPr>
        <w:spacing w:before="0" w:after="0"/>
        <w:jc w:val="center"/>
        <w:rPr>
          <w:bCs/>
          <w:color w:val="auto"/>
        </w:rPr>
      </w:pPr>
      <w:bookmarkStart w:id="46" w:name="_Ref194484250"/>
      <w:bookmarkStart w:id="47" w:name="_Toc203035668"/>
      <w:r>
        <w:t xml:space="preserve">Outros Requisitos</w:t>
      </w:r>
      <w:bookmarkEnd w:id="46"/>
      <w:bookmarkEnd w:id="47"/>
    </w:p>
    <w:p w14:paraId="48370E42" w14:textId="77777777">
      <w:pPr>
        <w:pStyle w:val="BodyText"/>
      </w:pPr>
    </w:p>
    <w:p w14:paraId="032AC50F" w14:textId="77777777">
      <w:pPr>
        <w:pStyle w:val="P68B1DB1-BodyText11"/>
        <w:ind w:left="567"/>
        <w:rPr>
          <w:i/>
        </w:rPr>
      </w:pPr>
      <w:r>
        <w:t xml:space="preserve">««outros requisitos», um requisito, que não seja uma especificação técnica, imposto a um produto para efeitos de proteção, em especial, dos consumidores ou do ambiente, e que afete o seu ciclo de vida após a sua colocação no mercado, tais como condições de utilização, reciclagem, reutilização ou eliminação, sempre que tais condições possam influenciar significativamente a composição ou a natureza do produto ou a sua comercialização;»</w:t>
      </w:r>
    </w:p>
    <w:p w14:paraId="1AD68414" w14:textId="77777777">
      <w:pPr>
        <w:pStyle w:val="BodyText"/>
        <w:ind w:left="567"/>
        <w:rPr>
          <w:i/>
          <w:iCs/>
        </w:rPr>
      </w:pPr>
    </w:p>
    <w:p w14:paraId="3295AC84" w14:textId="258D2B2D">
      <w:pPr>
        <w:pStyle w:val="BodyText"/>
        <w:ind w:left="1440"/>
        <w:jc w:val="right"/>
      </w:pPr>
      <w:r>
        <w:t xml:space="preserve">(Artigo 1.º, n.º 1, alínea d), da Diretiva (UE) 2015/1535)</w:t>
      </w:r>
    </w:p>
    <w:p w14:paraId="330805BE" w14:textId="77777777">
      <w:pPr>
        <w:spacing w:after="0" w:line="240" w:lineRule="auto"/>
      </w:pPr>
    </w:p>
    <w:p w14:paraId="55D10FEE" w14:textId="55169F6A">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6" w:history="1">
        <w:r>
          <w:rPr>
            <w:color w:val="0000FF"/>
            <w:u w:val="single"/>
          </w:rPr>
          <w:t xml:space="preserve">Acórdão de 21 de abril de 2005</w:t>
        </w:r>
      </w:hyperlink>
      <w:r>
        <w:t xml:space="preserve"> no processo C-267/03, Lindberg, n.os 68 a 78</w:t>
      </w:r>
      <w:bookmarkEnd w:id="48"/>
    </w:p>
    <w:p w14:paraId="505D095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3CD77B" w14:textId="14D45A80">
      <w:pPr>
        <w:pStyle w:val="P68B1DB1-P68B1DB1-Normal135"/>
        <w:widowControl w:val="0"/>
        <w:tabs>
          <w:tab w:val="left" w:pos="396"/>
          <w:tab w:val="left" w:pos="425"/>
        </w:tabs>
        <w:autoSpaceDE w:val="0"/>
        <w:autoSpaceDN w:val="0"/>
        <w:spacing w:after="0" w:line="240" w:lineRule="auto"/>
        <w:jc w:val="both"/>
        <w:rPr>
          <w:b w:val="0"/>
          <w:bCs/>
          <w:i w:val="0"/>
          <w:iCs/>
        </w:rPr>
      </w:pPr>
      <w:r>
        <w:t xml:space="preserve">Uma proibição nacional de determinados jogos de fortuna ou azar pode ser qualificada de «outra exigência» se for suscetível de influenciar a composição, a natureza ou a comercialização do produto. No entanto, se a proibição não deixar margem para a utilização do produto, será descrita como uma disposição de proibição (ver parte I, subparte e «Disposições de proibição» do presente documento).</w:t>
      </w:r>
    </w:p>
    <w:p w14:paraId="652340FB"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1480B8F9" w14:textId="6F01164B">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«68. [...] há que considerar que uma medida nacional como a proibição em causa no processo principal parece estar especificamente abrangida pela expressão «outras exigências» inserida pela Diretiva 94/10 na Diretiva 83/189 para alargar o seu âmbito de aplicação e que, por conseguinte, não está abrangida pela categoria das especificações técnicas.</w:t>
      </w:r>
    </w:p>
    <w:p w14:paraId="2944EF7E"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54A46FBE" w14:textId="533DD288">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69. Com efeito, trata-se de uma exigência imposta relativamente a um produto, a saber, máquinas de jogos automáticas, essencialmente por motivos de proteção dos consumidores, no caso vertente, os jogadores em causa.</w:t>
      </w:r>
    </w:p>
    <w:p w14:paraId="435FA3FD"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7230431" w14:textId="24C978CF">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70. Nestas condições, uma proibição tal como a prevista pelas disposições pertinentes da lei relativa às lotarias, alterada, incide sobre a utilização de um produto na aceção do artigo 1.º, n.º 9, da Diretiva 83/189.</w:t>
      </w:r>
    </w:p>
    <w:p w14:paraId="25649921"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F534BDA" w14:textId="11B53D06">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71. Além disso, a exigência em causa no processo principal não é imposta às máquinas de jogos com vista à sua comercialização, antes visa o seu ciclo de vida após a colocação no mercado na aceção da definição do conceito de «outra exigência» previsto no artigo 1.º, n.º 3, da Diretiva 83/189.</w:t>
      </w:r>
    </w:p>
    <w:p w14:paraId="59919AE6"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1F045F1" w14:textId="2B5F018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72. Para poder ser qualificada de «outra exigência» na aceção do artigo 1.º, n.º 3, da Diretiva 83/189, uma exigência como a proibição de utilização das máquinas de jogos automáticas em causa no processo principal deve constituir uma «condição», relativa, no caso vertente, à utilização do produto em causa, que pode influenciar de forma significativa a composição, a natureza ou a comercialização do produto.</w:t>
      </w:r>
    </w:p>
    <w:p w14:paraId="39B806F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3F01875" w14:textId="05AA70B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73. No entanto, coloca-se então a questão de saber se a referida proibição deve ser qualificada de «condição» relativa à utilização do produto em causa ou se se trata, pelo contrário, de uma medida nacional que pertence à terceira categoria de regras técnicas mencionada no artigo 1.º, n.º 9, da Diretiva 83/189, que também foi introduzida nesta pela Diretiva 94/10, ou seja, a que inclui designadamente as «disposições legislativas [...] dos Estados-Membros destinadas a proibir [...] a utilização de um produto».</w:t>
      </w:r>
    </w:p>
    <w:p w14:paraId="0CE71B7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91591B4" w14:textId="6B2734B5">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74. A questão de saber se uma medida nacional, tal como a que está em causa no processo principal, pertence a uma ou outra dessas duas categorias de regras técnicas depende do alcance da proibição que essa medida impõe.</w:t>
      </w:r>
    </w:p>
    <w:p w14:paraId="6B836853"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2B46325D" w14:textId="0B46917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75. A este respeito, é significativo que, contrariamente à segunda categoria constituída por outras exigências na aceção do artigo 1.º, n.º 3, esta terceira categoria de regra técnica definida no artigo 1.º, n.º 9, da Diretiva 83/189 não inclua a condição segundo a qual a proibição em causa deve ser suscetível de influenciar significativamente a composição ou a natureza do produto ou a sua comercialização.</w:t>
      </w:r>
    </w:p>
    <w:p w14:paraId="3F06D727"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0478C3F2" w14:textId="527C7CD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76. Esta terceira categoria de regras técnicas que visam uma proibição, designadamente de utilização, deve consistir em medidas com um alcance que ultrapasse claramente uma limitação de determinadas utilizações possíveis do produto em causa e que não se limitem, portanto, a uma simples restrição da sua utilização.</w:t>
      </w:r>
    </w:p>
    <w:p w14:paraId="2801C70C"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73DF0AC" w14:textId="160B2A71">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77. Tal como o advogado-geral referiu no n.º 70 das suas conclusões, esta categoria de regras técnicas visa mais especialmente medidas nacionais que não permitem nenhuma utilização para além da utilização puramente marginal que pode razoavelmente ser esperada do produto em causa. Compete ao órgão jurisdicional de reenvio verificar se tal é o caso no que respeita à proibição que a disposição nacional em causa no processo principal inclui.</w:t>
      </w:r>
    </w:p>
    <w:p w14:paraId="4E46E41B"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0A9AFAF" w14:textId="62EB4C4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78. Se se provar, na sequência dessa verificação, que assim não sucede no caso do processo principal, a referida disposição nacional pode ser qualificada de «outra exigência», uma vez que é ponto assente que a observação de tal exigência é obrigatória de jure para a utilização do produto no Estado-Membro em causa na aceção do artigo 1.º, n.º 9, da Diretiva 83/189. Todavia, nesse caso, cabe igualmente ao órgão jurisdicional de reenvio verificar se a proibição em causa pode influenciar significativamente a composição ou a natureza do produto ou a sua comercialização na aceção do artigo 1.º, n.º 3,.»</w:t>
      </w:r>
    </w:p>
    <w:p w14:paraId="58C5982D" w14:textId="77777777">
      <w:pPr>
        <w:widowControl w:val="0"/>
        <w:autoSpaceDE w:val="0"/>
        <w:autoSpaceDN w:val="0"/>
        <w:spacing w:after="0" w:line="240" w:lineRule="auto"/>
        <w:jc w:val="both"/>
        <w:outlineLvl w:val="1"/>
      </w:pPr>
    </w:p>
    <w:p w14:paraId="2F6BDAC1" w14:textId="2FA8E91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7" w:history="1">
        <w:r>
          <w:rPr>
            <w:color w:val="0000FF"/>
            <w:u w:val="single"/>
          </w:rPr>
          <w:t xml:space="preserve">Acórdão de 9 de junho de 2011</w:t>
        </w:r>
      </w:hyperlink>
      <w:r>
        <w:t xml:space="preserve"> no processo C-361/10, Intercommunale Intermosane e Fédération de l’industrie et du gaz, n.os 20 e 21</w:t>
      </w:r>
      <w:bookmarkEnd w:id="49"/>
    </w:p>
    <w:p w14:paraId="57B3E0E0"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C6C525" w14:textId="4FA3F43D">
      <w:pPr>
        <w:pStyle w:val="P68B1DB1-P68B1DB1-Normal135"/>
        <w:widowControl w:val="0"/>
        <w:autoSpaceDE w:val="0"/>
        <w:autoSpaceDN w:val="0"/>
        <w:spacing w:after="0" w:line="240" w:lineRule="auto"/>
        <w:jc w:val="both"/>
        <w:rPr>
          <w:b w:val="0"/>
          <w:bCs/>
          <w:i w:val="0"/>
          <w:iCs/>
        </w:rPr>
      </w:pPr>
      <w:r>
        <w:t xml:space="preserve">As disposições nacionais que estabelecem prescrições mínimas para a construção de instalações elétricas e para a segurança dos trabalhadores não podem ser qualificadas de «outras exigências», uma vez que o seu caráter geral não permite influenciar significativamente a composição, a natureza ou a comercialização dos produtos em causa.</w:t>
      </w:r>
    </w:p>
    <w:p w14:paraId="2685F921" w14:textId="77777777">
      <w:pPr>
        <w:pStyle w:val="P68B1DB1-Normal14"/>
        <w:widowControl w:val="0"/>
        <w:autoSpaceDE w:val="0"/>
        <w:autoSpaceDN w:val="0"/>
        <w:spacing w:after="0" w:line="240" w:lineRule="auto"/>
        <w:ind w:left="567"/>
        <w:jc w:val="both"/>
      </w:pPr>
    </w:p>
    <w:p w14:paraId="7CB334E9" w14:textId="5A4E49E5">
      <w:pPr>
        <w:pStyle w:val="P68B1DB1-P68B1DB1-Normal147"/>
        <w:widowControl w:val="0"/>
        <w:autoSpaceDE w:val="0"/>
        <w:autoSpaceDN w:val="0"/>
        <w:spacing w:after="0" w:line="240" w:lineRule="auto"/>
        <w:ind w:left="567"/>
        <w:jc w:val="both"/>
        <w:rPr>
          <w:i/>
          <w:iCs/>
          <w:sz w:val="20"/>
          <w:szCs w:val="18"/>
        </w:rPr>
      </w:pPr>
      <w:r>
        <w:t xml:space="preserve">«20. Segundo a jurisprudência, para poderem ser qualificadas de «outra [s] exigência [s]», na aceção do artigo 1.º, n.º 4, da Diretiva 98/34, as prescrições mínimas previstas pelas referidas disposições devem constituir as «condições» que podem influenciar de forma significativa a composição, a natureza ou a comercialização do produto em causa (v., neste sentido, acórdão Lindberg, já referido, n.º 72).</w:t>
      </w:r>
    </w:p>
    <w:p w14:paraId="0201CB41" w14:textId="77777777">
      <w:pPr>
        <w:pStyle w:val="P68B1DB1-Normal14"/>
        <w:widowControl w:val="0"/>
        <w:autoSpaceDE w:val="0"/>
        <w:autoSpaceDN w:val="0"/>
        <w:spacing w:after="0" w:line="240" w:lineRule="auto"/>
        <w:ind w:left="567"/>
        <w:jc w:val="both"/>
        <w:rPr>
          <w:i/>
          <w:iCs/>
          <w:sz w:val="20"/>
          <w:szCs w:val="18"/>
        </w:rPr>
      </w:pPr>
    </w:p>
    <w:p w14:paraId="19DF32CA" w14:textId="1B626E8C">
      <w:pPr>
        <w:pStyle w:val="P68B1DB1-P68B1DB1-Normal147"/>
        <w:widowControl w:val="0"/>
        <w:autoSpaceDE w:val="0"/>
        <w:autoSpaceDN w:val="0"/>
        <w:spacing w:after="0" w:line="240" w:lineRule="auto"/>
        <w:ind w:left="567"/>
        <w:jc w:val="both"/>
        <w:rPr>
          <w:bCs/>
          <w:i/>
          <w:iCs/>
          <w:sz w:val="20"/>
          <w:szCs w:val="18"/>
        </w:rPr>
      </w:pPr>
      <w:r>
        <w:t xml:space="preserve">21. Tendo em conta o caráter geral das referidas exigências, estas não podem constituir tais condições nem, por conseguinte, ser qualificadas de «outras exigências», na aceção do artigo 1.º, n.º 4, da diretiva.»</w:t>
      </w:r>
    </w:p>
    <w:p w14:paraId="22AC2F60" w14:textId="77777777">
      <w:pPr>
        <w:spacing w:after="0" w:line="240" w:lineRule="auto"/>
      </w:pPr>
    </w:p>
    <w:p w14:paraId="42A24500" w14:textId="38331AD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8" w:history="1">
        <w:r>
          <w:rPr>
            <w:color w:val="0000FF"/>
            <w:u w:val="single"/>
          </w:rPr>
          <w:t xml:space="preserve">Acórdão do Tribunal de Justiça de 19 de julho de 2012</w:t>
        </w:r>
      </w:hyperlink>
      <w:r>
        <w:t xml:space="preserve"> nos processos C-213/11, C-214/11 e C-217/11, Fortuna e outros, n.os 35, 36 e 40.</w:t>
      </w:r>
      <w:bookmarkEnd w:id="50"/>
    </w:p>
    <w:p w14:paraId="663DE3A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F531831" w14:textId="1178CA17">
      <w:pPr>
        <w:pStyle w:val="P68B1DB1-P68B1DB1-Normal135"/>
        <w:widowControl w:val="0"/>
        <w:tabs>
          <w:tab w:val="left" w:pos="451"/>
        </w:tabs>
        <w:autoSpaceDE w:val="0"/>
        <w:autoSpaceDN w:val="0"/>
        <w:spacing w:after="0" w:line="240" w:lineRule="auto"/>
        <w:jc w:val="both"/>
        <w:rPr>
          <w:b w:val="0"/>
          <w:bCs/>
          <w:i w:val="0"/>
          <w:iCs/>
        </w:rPr>
      </w:pPr>
      <w:r>
        <w:t xml:space="preserve">As disposições nacionais que limitam a exploração de máquinas de jogo fora dos casinos podem ser qualificadas de «outros requisitos» e, por conseguinte, de «regras técnicas», se influenciarem significativamente a natureza ou a comercialização dos produtos em causa. </w:t>
      </w:r>
    </w:p>
    <w:p w14:paraId="61D3F52D"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20"/>
          <w:szCs w:val="16"/>
        </w:rPr>
      </w:pPr>
    </w:p>
    <w:p w14:paraId="1B71B669" w14:textId="30006E3D">
      <w:pPr>
        <w:pStyle w:val="P68B1DB1-P68B1DB1-Normal147"/>
        <w:widowControl w:val="0"/>
        <w:tabs>
          <w:tab w:val="left" w:pos="451"/>
        </w:tabs>
        <w:autoSpaceDE w:val="0"/>
        <w:autoSpaceDN w:val="0"/>
        <w:spacing w:after="0" w:line="240" w:lineRule="auto"/>
        <w:ind w:left="567"/>
        <w:jc w:val="both"/>
        <w:rPr>
          <w:i/>
          <w:sz w:val="20"/>
          <w:szCs w:val="18"/>
        </w:rPr>
      </w:pPr>
      <w:r>
        <w:t xml:space="preserve">«35. [...] o Tribunal de Justiça declarou que, para poderem ser qualificadas de «outras exigências», na aceção do artigo 1.º, n.º 4, da Diretiva 98/34, as medidas nacionais em causa devem constituir «condições» suscetíveis de influenciar significativamente a composição, a natureza ou a comercialização do produto em causa (v., neste sentido, acórdãos, já referidos, Lindberg, n.º 72, e Intercommunale Intermosane e Fédération de l’industrie et du gaz, n.º 20).</w:t>
      </w:r>
    </w:p>
    <w:p w14:paraId="746FA5AB" w14:textId="77777777">
      <w:pPr>
        <w:pStyle w:val="P68B1DB1-Normal14"/>
        <w:widowControl w:val="0"/>
        <w:tabs>
          <w:tab w:val="left" w:pos="451"/>
        </w:tabs>
        <w:autoSpaceDE w:val="0"/>
        <w:autoSpaceDN w:val="0"/>
        <w:spacing w:after="0" w:line="240" w:lineRule="auto"/>
        <w:ind w:left="567"/>
        <w:jc w:val="both"/>
        <w:rPr>
          <w:i/>
          <w:sz w:val="20"/>
          <w:szCs w:val="18"/>
        </w:rPr>
      </w:pPr>
    </w:p>
    <w:p w14:paraId="7A3394EB" w14:textId="0B6B76F9">
      <w:pPr>
        <w:pStyle w:val="P68B1DB1-P68B1DB1-Normal147"/>
        <w:widowControl w:val="0"/>
        <w:tabs>
          <w:tab w:val="left" w:pos="451"/>
        </w:tabs>
        <w:autoSpaceDE w:val="0"/>
        <w:autoSpaceDN w:val="0"/>
        <w:spacing w:after="0" w:line="240" w:lineRule="auto"/>
        <w:ind w:left="567"/>
        <w:jc w:val="both"/>
        <w:rPr>
          <w:i/>
          <w:sz w:val="20"/>
          <w:szCs w:val="18"/>
        </w:rPr>
      </w:pPr>
      <w:r>
        <w:t xml:space="preserve">36. A este respeito, há que salientar que as disposições transitórias da lei dos jogos de fortuna ou azar impõem condições suscetíveis de afetar a comercialização dos aparelhos de jogos automáticos com prémios reduzidos. A proibição de emitir, prorrogar ou alterar autorizações para atividades relacionadas com jogos automáticos com prémios reduzidos fora dos casinos é suscetível de afetar diretamente o comércio de máquinas de jogo com prémios reduzidos.»</w:t>
      </w:r>
    </w:p>
    <w:p w14:paraId="27E4E8B1" w14:textId="77777777">
      <w:pPr>
        <w:widowControl w:val="0"/>
        <w:tabs>
          <w:tab w:val="left" w:pos="451"/>
        </w:tabs>
        <w:autoSpaceDE w:val="0"/>
        <w:autoSpaceDN w:val="0"/>
        <w:spacing w:after="0" w:line="240" w:lineRule="auto"/>
        <w:ind w:left="567"/>
        <w:jc w:val="both"/>
        <w:rPr>
          <w:rFonts w:ascii="Times New Roman" w:hAnsi="Times New Roman" w:cs="Times New Roman" w:eastAsia="Times New Roman"/>
          <w:i/>
          <w:sz w:val="18"/>
          <w:szCs w:val="14"/>
        </w:rPr>
      </w:pPr>
    </w:p>
    <w:p w14:paraId="13BFA8BE" w14:textId="303CF5F4">
      <w:pPr>
        <w:pStyle w:val="P68B1DB1-P68B1DB1-Normal147"/>
        <w:widowControl w:val="0"/>
        <w:tabs>
          <w:tab w:val="left" w:pos="451"/>
        </w:tabs>
        <w:autoSpaceDE w:val="0"/>
        <w:autoSpaceDN w:val="0"/>
        <w:spacing w:after="0" w:line="240" w:lineRule="auto"/>
        <w:ind w:left="567"/>
        <w:jc w:val="both"/>
        <w:rPr>
          <w:i/>
          <w:sz w:val="20"/>
          <w:szCs w:val="18"/>
        </w:rPr>
      </w:pPr>
      <w:r>
        <w:t xml:space="preserve">«40. [...] há que responder às questões submetidas que o artigo 1.º, n.º 11, da Diretiva 98/34 deve ser interpretado no sentido de que disposições nacionais, como as da Lei relativa aos jogos de fortuna ou azar, que podem ter por efeito limitar, ou mesmo tornar impossível progressivamente, a exploração de jogos automáticos com prémios reduzidos em qualquer outro lugar que não os casinos e as salas de jogos, são suscetíveis de constituir «regras técnicas», na aceção desta disposição, cujos projetos devem ser objeto da comunicação prevista no artigo 8.º, n.º 1, primeiro parágrafo, desta diretiva, na medida em que se demonstre que essas disposições constituem condições suscetíveis de influenciar significativamente a natureza ou a comercialização do produto em causa, o que cabe ao órgão jurisdicional de reenvio verificar.»</w:t>
      </w:r>
    </w:p>
    <w:p w14:paraId="3AB93DB7" w14:textId="77777777">
      <w:pPr>
        <w:spacing w:after="0" w:line="240" w:lineRule="auto"/>
      </w:pPr>
    </w:p>
    <w:p w14:paraId="6F817443" w14:textId="50BA543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9" w:history="1">
        <w:r>
          <w:rPr>
            <w:b/>
            <w:i/>
            <w:color w:val="0000FF"/>
            <w:u w:val="single"/>
          </w:rPr>
          <w:t xml:space="preserve">Acórdão do Tribunal de Justiça de 10 de julho de 2014</w:t>
        </w:r>
      </w:hyperlink>
      <w:r>
        <w:rPr>
          <w:sz w:val="25"/>
        </w:rPr>
        <w:t xml:space="preserve">no processo</w:t>
      </w:r>
      <w:r>
        <w:rPr>
          <w:b/>
          <w:i/>
        </w:rPr>
        <w:t xml:space="preserve"> C-307/13,</w:t>
      </w:r>
      <w:r>
        <w:rPr>
          <w:b/>
          <w:i/>
        </w:rPr>
        <w:t xml:space="preserve">Ivansson e o.</w:t>
      </w:r>
      <w:r>
        <w:rPr>
          <w:b/>
          <w:i/>
        </w:rPr>
        <w:t xml:space="preserve">, n.os 26 a 28</w:t>
      </w:r>
      <w:r>
        <w:rPr>
          <w:sz w:val="25"/>
        </w:rPr>
        <w:t>.</w:t>
      </w:r>
      <w:bookmarkEnd w:id="51"/>
    </w:p>
    <w:p w14:paraId="545625E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7F9CB0B" w14:textId="6B35A590">
      <w:pPr>
        <w:pStyle w:val="P68B1DB1-P68B1DB1-Normal135"/>
        <w:widowControl w:val="0"/>
        <w:tabs>
          <w:tab w:val="left" w:pos="396"/>
          <w:tab w:val="left" w:pos="407"/>
        </w:tabs>
        <w:autoSpaceDE w:val="0"/>
        <w:autoSpaceDN w:val="0"/>
        <w:spacing w:after="0" w:line="240" w:lineRule="auto"/>
        <w:jc w:val="both"/>
        <w:rPr>
          <w:b w:val="0"/>
          <w:bCs/>
          <w:i w:val="0"/>
          <w:iCs/>
        </w:rPr>
      </w:pPr>
      <w:r>
        <w:t xml:space="preserve">Uma regra que estabeleça um objetivo geral de conforto das aves de capoeira e de qualidade das instalações de criação não é um «outro requisito», uma vez que a sua natureza geral não é suscetível de afetar a composição, a natureza ou a comercialização do produto final. </w:t>
      </w:r>
    </w:p>
    <w:p w14:paraId="14EF2596"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581B4FF" w14:textId="624DB181">
      <w:pPr>
        <w:pStyle w:val="P68B1DB1-P68B1DB1-Normal147"/>
        <w:spacing w:after="0" w:line="240" w:lineRule="auto"/>
        <w:ind w:left="567"/>
        <w:jc w:val="both"/>
        <w:rPr>
          <w:i/>
          <w:iCs/>
          <w:sz w:val="20"/>
          <w:szCs w:val="18"/>
        </w:rPr>
      </w:pPr>
      <w:r>
        <w:t xml:space="preserve">«26. [...] o Tribunal de Justiça já declarou que, para serem qualificadas de «outras exigências», na aceção do artigo 1.º, n.º 4, da Diretiva 98/34, as medidas nacionais em causa devem constituir «condições» suscetíveis de influenciar significativamente a composição ou a natureza do produto em causa ou a sua comercialização (v. acórdão Fortuna e o., já referido, n.º 35 e jurisprudência referida).</w:t>
      </w:r>
    </w:p>
    <w:p w14:paraId="4C097BBE" w14:textId="77777777">
      <w:pPr>
        <w:pStyle w:val="P68B1DB1-Normal14"/>
        <w:spacing w:after="0" w:line="240" w:lineRule="auto"/>
        <w:ind w:left="567"/>
        <w:jc w:val="both"/>
        <w:rPr>
          <w:i/>
          <w:iCs/>
          <w:sz w:val="20"/>
          <w:szCs w:val="18"/>
        </w:rPr>
      </w:pPr>
    </w:p>
    <w:p w14:paraId="22DD1173" w14:textId="5E72285F">
      <w:pPr>
        <w:pStyle w:val="P68B1DB1-P68B1DB1-Normal147"/>
        <w:spacing w:after="0" w:line="240" w:lineRule="auto"/>
        <w:ind w:left="567"/>
        <w:jc w:val="both"/>
        <w:rPr>
          <w:i/>
          <w:iCs/>
          <w:sz w:val="20"/>
          <w:szCs w:val="18"/>
        </w:rPr>
      </w:pPr>
      <w:r>
        <w:t xml:space="preserve">27. O Tribunal de Justiça também declarou que, quando as disposições de uma medida nacional têm caráter geral, não podem constituir tais condições nem, consequentemente, ser qualificadas de «outras exigências», na aceção do artigo 1.º, n.º 4, da diretiva (v., neste sentido, acórdão Intercommunale Intermosane e Fédération de l’Industrie et du gaz, já referido, n.º 21).</w:t>
      </w:r>
    </w:p>
    <w:p w14:paraId="15F3320F" w14:textId="77777777">
      <w:pPr>
        <w:pStyle w:val="P68B1DB1-Normal14"/>
        <w:spacing w:after="0" w:line="240" w:lineRule="auto"/>
        <w:ind w:left="567"/>
        <w:jc w:val="both"/>
        <w:rPr>
          <w:i/>
          <w:iCs/>
          <w:sz w:val="20"/>
          <w:szCs w:val="18"/>
        </w:rPr>
      </w:pPr>
    </w:p>
    <w:p w14:paraId="2DD435A7" w14:textId="30F8D24A">
      <w:pPr>
        <w:pStyle w:val="P68B1DB1-P68B1DB1-Normal147"/>
        <w:spacing w:after="0" w:line="240" w:lineRule="auto"/>
        <w:ind w:left="567"/>
        <w:jc w:val="both"/>
        <w:rPr>
          <w:bCs/>
          <w:i/>
          <w:iCs/>
          <w:sz w:val="20"/>
          <w:szCs w:val="18"/>
        </w:rPr>
      </w:pPr>
      <w:r>
        <w:t xml:space="preserve">28. A formulação muito geral do § 9 do DSF, como foi recordado nos n.os 22 e 23 do presente acórdão, opõe-se, assim, a que se considere que esta disposição impõe condições à composição ou à natureza dos produtos em causa ou à sua comercialização.»</w:t>
      </w:r>
    </w:p>
    <w:p w14:paraId="411B1718" w14:textId="77777777">
      <w:pPr>
        <w:spacing w:after="0" w:line="240" w:lineRule="auto"/>
        <w:rPr>
          <w:rFonts w:ascii="Times New Roman" w:hAnsi="Times New Roman" w:cs="Times New Roman" w:eastAsia="Times New Roman"/>
          <w:bCs/>
          <w:i/>
          <w:sz w:val="20"/>
          <w:szCs w:val="16"/>
        </w:rPr>
      </w:pPr>
    </w:p>
    <w:p w14:paraId="4751BBE0" w14:textId="22592B0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0" w:anchor="ctx1" w:history="1">
        <w:r>
          <w:rPr>
            <w:color w:val="0000FF"/>
            <w:u w:val="single"/>
          </w:rPr>
          <w:t xml:space="preserve">Acórdão do Tribunal de Justiça de 11 de junho de 2015</w:t>
        </w:r>
      </w:hyperlink>
      <w:r>
        <w:t xml:space="preserve"> no processo C-98/14, Berlington Hungary e o., n.os 98 e 99.</w:t>
      </w:r>
      <w:bookmarkEnd w:id="52"/>
    </w:p>
    <w:p w14:paraId="25A1572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998E6F5" w14:textId="77777777">
      <w:pPr>
        <w:pStyle w:val="P68B1DB1-P68B1DB1-Normal135"/>
        <w:widowControl w:val="0"/>
        <w:tabs>
          <w:tab w:val="left" w:pos="396"/>
          <w:tab w:val="left" w:pos="449"/>
        </w:tabs>
        <w:autoSpaceDE w:val="0"/>
        <w:autoSpaceDN w:val="0"/>
        <w:spacing w:after="0" w:line="240" w:lineRule="auto"/>
        <w:jc w:val="both"/>
        <w:rPr>
          <w:b w:val="0"/>
          <w:bCs/>
          <w:i w:val="0"/>
          <w:iCs/>
        </w:rPr>
      </w:pPr>
      <w:r>
        <w:t xml:space="preserve">As disposições nacionais que proíbem a exploração de máquinas de jogo fora dos casinos constituem «outros requisitos», uma vez que podem influenciar significativamente a natureza ou a comercialização dessas máquinas.</w:t>
      </w:r>
    </w:p>
    <w:p w14:paraId="39E1078A"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08EB1E5D" w14:textId="2E1379BD">
      <w:pPr>
        <w:pStyle w:val="P68B1DB1-P68B1DB1-Normal147"/>
        <w:widowControl w:val="0"/>
        <w:tabs>
          <w:tab w:val="left" w:pos="396"/>
          <w:tab w:val="left" w:pos="449"/>
        </w:tabs>
        <w:autoSpaceDE w:val="0"/>
        <w:autoSpaceDN w:val="0"/>
        <w:spacing w:after="0" w:line="240" w:lineRule="auto"/>
        <w:ind w:left="567"/>
        <w:jc w:val="both"/>
        <w:rPr>
          <w:i/>
          <w:iCs/>
          <w:sz w:val="20"/>
          <w:szCs w:val="18"/>
        </w:rPr>
      </w:pPr>
      <w:bookmarkStart w:id="53" w:name="point98"/>
      <w:r>
        <w:t>«</w:t>
      </w:r>
      <w:bookmarkEnd w:id="53"/>
      <w:r>
        <w:t xml:space="preserve">98. [...] o Tribunal de Justiça já declarou que uma medida nacional que limita a organização de determinados jogos de fortuna ou azar apenas aos casinos constitui uma «regra técnica», na aceção do artigo 1.º, n.º 11, da diretiva, na medida em que possa influenciar significativamente a natureza ou a comercialização dos produtos utilizados nesse contexto (v., neste sentido, acórdãos Comissão/Grécia, C-65/05, n.º 61, e Fortuna e o., processos apensos C-213/11, C-214/11 e C-217/11, n.os 24 e 40).</w:t>
      </w:r>
    </w:p>
    <w:p w14:paraId="3EF89879" w14:textId="77777777">
      <w:pPr>
        <w:pStyle w:val="P68B1DB1-Normal14"/>
        <w:widowControl w:val="0"/>
        <w:tabs>
          <w:tab w:val="left" w:pos="396"/>
          <w:tab w:val="left" w:pos="449"/>
        </w:tabs>
        <w:autoSpaceDE w:val="0"/>
        <w:autoSpaceDN w:val="0"/>
        <w:spacing w:after="0" w:line="240" w:lineRule="auto"/>
        <w:ind w:left="567"/>
        <w:jc w:val="both"/>
        <w:rPr>
          <w:i/>
          <w:iCs/>
          <w:sz w:val="20"/>
          <w:szCs w:val="18"/>
        </w:rPr>
      </w:pPr>
    </w:p>
    <w:p w14:paraId="61FE26C2" w14:textId="47FD8C72">
      <w:pPr>
        <w:pStyle w:val="P68B1DB1-P68B1DB1-Normal147"/>
        <w:widowControl w:val="0"/>
        <w:tabs>
          <w:tab w:val="left" w:pos="396"/>
          <w:tab w:val="left" w:pos="449"/>
        </w:tabs>
        <w:autoSpaceDE w:val="0"/>
        <w:autoSpaceDN w:val="0"/>
        <w:spacing w:after="0" w:line="240" w:lineRule="auto"/>
        <w:ind w:left="567"/>
        <w:jc w:val="both"/>
        <w:rPr>
          <w:i/>
          <w:iCs/>
          <w:sz w:val="20"/>
          <w:szCs w:val="18"/>
        </w:rPr>
      </w:pPr>
      <w:r>
        <w:t xml:space="preserve">99. No entanto, uma proibição de explorar máquinas de jogo fora dos casinos, como a introduzida pela Lei de alteração de 2012, pode influenciar significativamente a natureza ou a comercialização dessas máquinas, que constituem produtos suscetíveis de serem abrangidos pelo artigo 34.º TFUE (v. acórdão Läärä e o., C-124/97, n.os 20 e 24), reduzindo os pontos de venda em que podem ser utilizados.»</w:t>
      </w:r>
    </w:p>
    <w:p w14:paraId="6E21C148" w14:textId="77777777">
      <w:pPr>
        <w:pStyle w:val="P68B1DB1-Normal14"/>
        <w:widowControl w:val="0"/>
        <w:tabs>
          <w:tab w:val="left" w:pos="396"/>
          <w:tab w:val="left" w:pos="449"/>
        </w:tabs>
        <w:autoSpaceDE w:val="0"/>
        <w:autoSpaceDN w:val="0"/>
        <w:spacing w:after="0" w:line="240" w:lineRule="auto"/>
        <w:ind w:left="567"/>
        <w:jc w:val="both"/>
      </w:pPr>
    </w:p>
    <w:p w14:paraId="2000DB13" w14:textId="27A949A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1" w:history="1">
        <w:r>
          <w:rPr>
            <w:color w:val="0000FF"/>
            <w:u w:val="single"/>
          </w:rPr>
          <w:t xml:space="preserve">Acórdão do Tribunal de Justiça de 13 de outubro de 2016</w:t>
        </w:r>
      </w:hyperlink>
      <w:r>
        <w:t xml:space="preserve">, Naczelnik Urzędu Celnego I w, C-303/15, n.os 25 a 30</w:t>
      </w:r>
      <w:bookmarkEnd w:id="54"/>
    </w:p>
    <w:p w14:paraId="5BE11B60"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65E429E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Uma disposição que subordina o exercício das atividades de jogo à posse de uma licença de exploração de casinos não constitui um «outro requisito». Com efeito, embora as disposições que limitam a organização dos jogos de fortuna ou azar aos casinos possam afetar significativamente a comercialização dos produtos conexos através da redução dos seus canais de distribuição, as regras que regem as condições de estabelecimento das empresas não são suscetíveis de afetar de forma significativa a natureza ou a comercialização dos produtos utilizados.</w:t>
      </w:r>
    </w:p>
    <w:p w14:paraId="7D28A90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 w:val="20"/>
          <w:szCs w:val="18"/>
        </w:rPr>
      </w:pPr>
    </w:p>
    <w:p w14:paraId="1BE98C7F" w14:textId="7F54B5A4">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«25. Por último, para determinar se o artigo 6.º, n.º 1, da Lei relativa aos jogos de fortuna ou azar está abrangido pelo âmbito de aplicação do artigo 1.º, n.º 4, da Diretiva 98/34 ou do artigo 1.º, n.º 11, desta diretiva, há que verificar se essa disposição é suscetível de influenciar significativamente a composição, a natureza ou a comercialização do produto em causa, no caso em apreço, as máquinas de jogo, enquanto «condição» relativa à utilização do produto em causa, ou se se trata de uma medida nacional pertencente à categoria de proibições referida no artigo 1.º, n.º 11, desta diretiva.</w:t>
      </w:r>
    </w:p>
    <w:p w14:paraId="69BFAFE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9CB89CD" w14:textId="3DFDE1A5">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26. A este respeito, importa recordar que é o artigo 14.º, n.º 1, da Lei dos jogos de fortuna ou azar que limita a organização de jogos de roleta, de cartas, de dados e em máquinas de jogo em casinos. Esta disposição foi notificada à Comissão como «regra técnica», tendo em conta que o Tribunal de Justiça já declarou, por um lado, que uma medida nacional que reserva a organização de determinados jogos de fortuna ou azar apenas aos casinos constitui uma «regra técnica», na aceção do artigo 1.º, n.º 11, da Diretiva 98/34, na medida em que pode influenciar significativamente a natureza ou a comercialização dos produtos utilizados nesse contexto e, por outro, que uma proibição de explorar certos produtos fora dos casinos pode influenciar significativamente a comercialização desses produtos, reduzindo os pontos de venda em que podem ser utilizados (v., neste sentido, Acórdão de 11 de junho de 2015, Berlington Hungary e o., C-98/14, EU:C:98:99, n.os e).</w:t>
      </w:r>
    </w:p>
    <w:p w14:paraId="107284B9"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145A5B71" w14:textId="6CEF0E10">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27. Em contrapartida, o artigo 6.º, n.º 1, desta lei, que prevê que é necessária uma licença para a exploração de casinos para a organização de jogos de roleta, jogos de cartas, jogos de dados e máquinas de jogos automáticos, não foi notificado.</w:t>
      </w:r>
    </w:p>
    <w:p w14:paraId="6972B44C"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07BB4ED" w14:textId="2BEC0401">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28.O argumento da Comissão segundo o qual a estreita ligação entre as duas disposições do direito nacional em causa implica a impossibilidade de isolar o artigo 14.º, n.º 1, da Lei dos Jogos de Chance do artigo 6.º, n.º 1, desta lei, não pode ser acolhido. Com efeito, conforme salientou o advogado-geral nos n.os 38 a 44 das suas conclusões, o artigo 6.º, n.º 1, da referida lei e o artigo 14.º, n.º 1, da mesma lei têm funções e âmbitos de aplicação diferentes. O elemento descritivo que figura no artigo 6.º, n.º 1, dessa lei, que serve para indicar a licença em causa como licença «de exploração de casinos», não altera esta conclusão.</w:t>
      </w:r>
    </w:p>
    <w:p w14:paraId="54D8E8D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2068C2E4" w14:textId="0FD51152">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29. Por conseguinte, há que considerar que o artigo 6.º, n.º 1, da Lei relativa aos jogos de fortuna ou azar não pode ser considerado abrangido pela categoria de «outros requisitos», na aceção do artigo 1.º, n.º 4, da Diretiva 98/34, uma vez que a autorização exigida por esta disposição de direito nacional para a organização de jogos de fortuna ou azar constitui uma condição imposta para a atividade de organização desses jogos, distinta do artigo 14.º, n.º 1, desta lei, que impõe condições para os produtos em causa, proibindo a sua utilização fora dos casinos.</w:t>
      </w:r>
    </w:p>
    <w:p w14:paraId="6E096F4E"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AFFF24D" w14:textId="079610FD">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30. Além disso, segundo jurisprudência constante, não constituem regras técnicas na aceção do artigo 1.º, n.º 11, da Diretiva 98/34 as disposições de direito nacional que se limitam a estabelecer condições para o estabelecimento ou a prestação de serviços por empresas, como as disposições que subordinam o exercício de uma atividade profissional a uma autorização prévia (v., neste sentido, Acórdão de 4 de fevereiro de 2016, Ince, C-336/14, n.º 76 e jurisprudência referida).»</w:t>
      </w:r>
    </w:p>
    <w:p w14:paraId="47FF74A0" w14:textId="77777777">
      <w:pPr>
        <w:spacing w:after="0" w:line="240" w:lineRule="auto"/>
        <w:rPr>
          <w:sz w:val="20"/>
          <w:szCs w:val="20"/>
        </w:rPr>
      </w:pPr>
    </w:p>
    <w:p w14:paraId="2E29F352" w14:textId="7C1F042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2" w:history="1">
        <w:r>
          <w:rPr>
            <w:color w:val="0000FF"/>
            <w:u w:val="single"/>
          </w:rPr>
          <w:t xml:space="preserve">Acórdão do Tribunal de Justiça de 27 de outubro de 2016</w:t>
        </w:r>
      </w:hyperlink>
      <w:r>
        <w:t xml:space="preserve"> no processo C-613/14, James Elliott Construction, n.os 67 a 69.</w:t>
      </w:r>
      <w:bookmarkEnd w:id="55"/>
    </w:p>
    <w:p w14:paraId="1A68586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ED19EDB" w14:textId="566C76FE">
      <w:pPr>
        <w:widowControl w:val="0"/>
        <w:tabs>
          <w:tab w:val="left" w:pos="430"/>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As disposições nacionais que estabelecem condições contratuais implícitas relativas à qualidade comercializável, à aptidão para o uso ou à qualidade dos produtos vendidos não constituem «outras exigências», uma vez que a sua natureza geral as torna pouco suscetíveis de influenciar significativamente a composição, a natureza ou a comercialização dos produtos em causa.</w:t>
      </w:r>
    </w:p>
    <w:p w14:paraId="030038CF" w14:textId="77777777">
      <w:pPr>
        <w:widowControl w:val="0"/>
        <w:tabs>
          <w:tab w:val="left" w:pos="430"/>
        </w:tabs>
        <w:autoSpaceDE w:val="0"/>
        <w:autoSpaceDN w:val="0"/>
        <w:spacing w:after="0" w:line="240" w:lineRule="auto"/>
        <w:jc w:val="both"/>
        <w:rPr>
          <w:rFonts w:ascii="Times New Roman" w:hAnsi="Times New Roman" w:cs="Times New Roman" w:eastAsia="Times New Roman"/>
          <w:sz w:val="20"/>
          <w:szCs w:val="18"/>
        </w:rPr>
      </w:pPr>
    </w:p>
    <w:p w14:paraId="3AC7F779" w14:textId="3E2215BE">
      <w:pPr>
        <w:pStyle w:val="P68B1DB1-P68B1DB1-Normal147"/>
        <w:widowControl w:val="0"/>
        <w:tabs>
          <w:tab w:val="left" w:pos="430"/>
        </w:tabs>
        <w:autoSpaceDE w:val="0"/>
        <w:autoSpaceDN w:val="0"/>
        <w:spacing w:after="0" w:line="240" w:lineRule="auto"/>
        <w:ind w:left="567"/>
        <w:jc w:val="both"/>
        <w:rPr>
          <w:i/>
          <w:iCs/>
          <w:sz w:val="20"/>
          <w:szCs w:val="18"/>
        </w:rPr>
      </w:pPr>
      <w:r>
        <w:t xml:space="preserve">«67. No caso em apreço, verifica-se, por um lado, que disposições como as que estão em causa no processo principal, em si mesmas ou como interpretadas pelos órgãos jurisdicionais irlandeses, não estão abrangidas pelo conceito de «especificação técnica», na aceção do artigo 1.º, n.º 3, da Diretiva 98/34. Com efeito, este conceito abrange apenas as medidas nacionais que se referem a um produto ou à sua embalagem enquanto tal e estabelecem, assim, uma das características exigidas de um produto (Acórdão de 10 de julho de 2014, Ivansson e o., C-307/13, n.º 19 e jurisprudência referida). Ora, isso não é manifestamente o caso de uma exigência que se aplica, com exclusão da vontade contrária das partes, de maneira geral, na venda de qualquer produto.</w:t>
      </w:r>
    </w:p>
    <w:p w14:paraId="246DB47A" w14:textId="77777777">
      <w:pPr>
        <w:pStyle w:val="P68B1DB1-Normal14"/>
        <w:widowControl w:val="0"/>
        <w:tabs>
          <w:tab w:val="left" w:pos="430"/>
        </w:tabs>
        <w:autoSpaceDE w:val="0"/>
        <w:autoSpaceDN w:val="0"/>
        <w:spacing w:after="0" w:line="240" w:lineRule="auto"/>
        <w:ind w:left="567"/>
        <w:jc w:val="both"/>
        <w:rPr>
          <w:i/>
          <w:iCs/>
          <w:sz w:val="20"/>
          <w:szCs w:val="18"/>
        </w:rPr>
      </w:pPr>
    </w:p>
    <w:p w14:paraId="1FB165CB" w14:textId="02F7A50F">
      <w:pPr>
        <w:pStyle w:val="P68B1DB1-P68B1DB1-Normal147"/>
        <w:widowControl w:val="0"/>
        <w:tabs>
          <w:tab w:val="left" w:pos="430"/>
        </w:tabs>
        <w:autoSpaceDE w:val="0"/>
        <w:autoSpaceDN w:val="0"/>
        <w:spacing w:after="0" w:line="240" w:lineRule="auto"/>
        <w:ind w:left="567"/>
        <w:jc w:val="both"/>
        <w:rPr>
          <w:i/>
          <w:iCs/>
          <w:sz w:val="20"/>
          <w:szCs w:val="18"/>
        </w:rPr>
      </w:pPr>
      <w:r>
        <w:t xml:space="preserve">68. Por outro lado, e pela mesma razão, estas disposições não podem ser qualificadas de «outras exigências», na aceção do artigo 1.º, n.º 4, da Diretiva 98/34.</w:t>
      </w:r>
    </w:p>
    <w:p w14:paraId="739ADC6F" w14:textId="77777777">
      <w:pPr>
        <w:pStyle w:val="P68B1DB1-Normal14"/>
        <w:widowControl w:val="0"/>
        <w:tabs>
          <w:tab w:val="left" w:pos="430"/>
        </w:tabs>
        <w:autoSpaceDE w:val="0"/>
        <w:autoSpaceDN w:val="0"/>
        <w:spacing w:after="0" w:line="240" w:lineRule="auto"/>
        <w:ind w:left="567"/>
        <w:jc w:val="both"/>
        <w:rPr>
          <w:i/>
          <w:iCs/>
          <w:sz w:val="20"/>
          <w:szCs w:val="18"/>
        </w:rPr>
      </w:pPr>
    </w:p>
    <w:p w14:paraId="1707774D" w14:textId="76CDFE30">
      <w:pPr>
        <w:pStyle w:val="P68B1DB1-P68B1DB1-Normal147"/>
        <w:widowControl w:val="0"/>
        <w:tabs>
          <w:tab w:val="left" w:pos="430"/>
        </w:tabs>
        <w:autoSpaceDE w:val="0"/>
        <w:autoSpaceDN w:val="0"/>
        <w:spacing w:after="0" w:line="240" w:lineRule="auto"/>
        <w:ind w:left="567"/>
        <w:jc w:val="both"/>
        <w:rPr>
          <w:i/>
          <w:iCs/>
          <w:sz w:val="20"/>
          <w:szCs w:val="18"/>
        </w:rPr>
      </w:pPr>
      <w:r>
        <w:t xml:space="preserve">69. A este respeito, o Tribunal de Justiça precisou que, para serem qualificadas de «outras exigências» na aceção desta disposição, as medidas nacionais em causa devem constituir condições suscetíveis de influenciar significativamente a composição ou a natureza do produto em causa ou a sua comercialização, uma vez que as exigências de caráter geral não podem constituir tais condições nem, consequentemente, ser qualificadas de «outras exigências» (v. Acórdão de 10 de julho de 2014, Ivansson e o., C-307/13, n.os 26 e 27 e jurisprudência referida).»</w:t>
      </w:r>
    </w:p>
    <w:p w14:paraId="14788AE2" w14:textId="77777777">
      <w:pPr>
        <w:pStyle w:val="P68B1DB1-Normal14"/>
        <w:widowControl w:val="0"/>
        <w:tabs>
          <w:tab w:val="left" w:pos="430"/>
        </w:tabs>
        <w:autoSpaceDE w:val="0"/>
        <w:autoSpaceDN w:val="0"/>
        <w:spacing w:after="0" w:line="240" w:lineRule="auto"/>
        <w:ind w:left="567"/>
        <w:jc w:val="both"/>
      </w:pPr>
    </w:p>
    <w:p w14:paraId="6F74C5A2" w14:textId="059511E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3" w:history="1">
        <w:r>
          <w:rPr>
            <w:color w:val="0000FF"/>
            <w:u w:val="single"/>
          </w:rPr>
          <w:t xml:space="preserve">Acórdão do Tribunal de Justiça de 1 de fevereiro de 2017</w:t>
        </w:r>
      </w:hyperlink>
      <w:r>
        <w:t xml:space="preserve"> no processo C-144/16, Município de Palmela, n.os 23 e 33.</w:t>
      </w:r>
      <w:bookmarkEnd w:id="56"/>
    </w:p>
    <w:p w14:paraId="6DCEC74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BF7FCE" w14:textId="77777777">
      <w:pPr>
        <w:pStyle w:val="P68B1DB1-P68B1DB1-Normal135"/>
        <w:widowControl w:val="0"/>
        <w:tabs>
          <w:tab w:val="left" w:pos="396"/>
          <w:tab w:val="left" w:pos="435"/>
        </w:tabs>
        <w:autoSpaceDE w:val="0"/>
        <w:autoSpaceDN w:val="0"/>
        <w:spacing w:after="0" w:line="240" w:lineRule="auto"/>
        <w:jc w:val="both"/>
        <w:rPr>
          <w:b w:val="0"/>
          <w:bCs/>
          <w:i w:val="0"/>
          <w:iCs/>
        </w:rPr>
      </w:pPr>
      <w:r>
        <w:t xml:space="preserve">Uma disposição que estabeleça requisitos de embalagem impostos a um produto por razões de proteção dos consumidores é um «outro requisito», uma vez que diz respeito ao ciclo de vida dos produtos após a sua colocação no mercado e influencia significativamente a sua composição e comercialização.</w:t>
      </w:r>
    </w:p>
    <w:p w14:paraId="3D96BE4E" w14:textId="77777777">
      <w:pPr>
        <w:widowControl w:val="0"/>
        <w:tabs>
          <w:tab w:val="left" w:pos="396"/>
          <w:tab w:val="left" w:pos="435"/>
        </w:tabs>
        <w:autoSpaceDE w:val="0"/>
        <w:autoSpaceDN w:val="0"/>
        <w:spacing w:after="0" w:line="240" w:lineRule="auto"/>
        <w:ind w:hanging="142"/>
        <w:jc w:val="both"/>
        <w:rPr>
          <w:rFonts w:ascii="Times New Roman" w:hAnsi="Times New Roman" w:cs="Times New Roman" w:eastAsia="Times New Roman"/>
          <w:bCs/>
          <w:iCs/>
          <w:szCs w:val="20"/>
        </w:rPr>
      </w:pPr>
    </w:p>
    <w:p w14:paraId="5B0F8037" w14:textId="25CE703A">
      <w:pPr>
        <w:pStyle w:val="P68B1DB1-P68B1DB1-Normal135"/>
        <w:widowControl w:val="0"/>
        <w:tabs>
          <w:tab w:val="left" w:pos="396"/>
          <w:tab w:val="left" w:pos="399"/>
        </w:tabs>
        <w:autoSpaceDE w:val="0"/>
        <w:autoSpaceDN w:val="0"/>
        <w:spacing w:after="0" w:line="240" w:lineRule="auto"/>
        <w:jc w:val="both"/>
        <w:rPr>
          <w:b w:val="0"/>
          <w:bCs/>
          <w:i w:val="0"/>
          <w:iCs/>
        </w:rPr>
      </w:pPr>
      <w:r>
        <w:t xml:space="preserve">Por outro lado, um regulamento que exija informações sobre a capacidade máxima de uma zona de lazer a exibir em vários locais dessa zona não constitui uma «outra exigência» devido à sua natureza geral.</w:t>
      </w:r>
    </w:p>
    <w:p w14:paraId="7CB69B90" w14:textId="77777777">
      <w:pPr>
        <w:widowControl w:val="0"/>
        <w:tabs>
          <w:tab w:val="left" w:pos="396"/>
          <w:tab w:val="left" w:pos="399"/>
        </w:tabs>
        <w:autoSpaceDE w:val="0"/>
        <w:autoSpaceDN w:val="0"/>
        <w:spacing w:after="0" w:line="240" w:lineRule="auto"/>
        <w:ind w:hanging="142"/>
        <w:jc w:val="both"/>
        <w:rPr>
          <w:rFonts w:ascii="Times New Roman" w:hAnsi="Times New Roman" w:cs="Times New Roman" w:eastAsia="Times New Roman"/>
          <w:szCs w:val="20"/>
        </w:rPr>
      </w:pPr>
    </w:p>
    <w:p w14:paraId="047ADE80" w14:textId="3A89FEEF">
      <w:pPr>
        <w:pStyle w:val="P68B1DB1-P68B1DB1-Normal1421"/>
        <w:widowControl w:val="0"/>
        <w:tabs>
          <w:tab w:val="left" w:pos="396"/>
          <w:tab w:val="left" w:pos="399"/>
        </w:tabs>
        <w:autoSpaceDE w:val="0"/>
        <w:autoSpaceDN w:val="0"/>
        <w:spacing w:after="0" w:line="240" w:lineRule="auto"/>
        <w:ind w:left="567" w:hanging="142"/>
        <w:jc w:val="both"/>
        <w:rPr>
          <w:i/>
          <w:iCs/>
        </w:rPr>
      </w:pPr>
      <w:r>
        <w:tab/>
        <w:t>«</w:t>
      </w:r>
      <w:bookmarkStart w:id="57" w:name="point23"/>
      <w:r>
        <w:t>23</w:t>
      </w:r>
      <w:bookmarkEnd w:id="57"/>
      <w:r>
        <w:t xml:space="preserve">. No que respeita ao artigo 16.º, n.º 1, e (2), do Regulamento PRA, conforme alterado pelo Decreto-Lei n.º 119/2009, há que salientar, como salientou o órgão jurisdicional de reenvio, que este constitui uma regra técnica na aceção das Diretivas 83/189 e 98/34, na medida em que esta disposição prevê exigências impostas a um produto, a fim de proteger os consumidores, que afetam o seu ciclo de vida após a sua colocação no mercado e influenciam significativamente a composição e a comercialização desse produto. Por conseguinte, esta disposição está abrangida pela categoria de «outros requisitos», na aceção tanto do artigo 1.º, n.º 3, da Diretiva 83/189 como do artigo 1.º, n.º 4, da Diretiva 98/34.»</w:t>
      </w:r>
    </w:p>
    <w:p w14:paraId="78B67949"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0B57ECD8" w14:textId="7EBBFF11">
      <w:pPr>
        <w:pStyle w:val="P68B1DB1-P68B1DB1-Normal1421"/>
        <w:widowControl w:val="0"/>
        <w:autoSpaceDE w:val="0"/>
        <w:autoSpaceDN w:val="0"/>
        <w:spacing w:after="0" w:line="240" w:lineRule="auto"/>
        <w:ind w:left="567"/>
        <w:jc w:val="both"/>
        <w:rPr>
          <w:i/>
          <w:iCs/>
        </w:rPr>
      </w:pPr>
      <w:r>
        <w:t>«</w:t>
      </w:r>
      <w:bookmarkStart w:id="58" w:name="point33"/>
      <w:r>
        <w:t>33</w:t>
      </w:r>
      <w:bookmarkEnd w:id="58"/>
      <w:r>
        <w:t xml:space="preserve">. [...] uma disposição como a que está em causa no processo principal não constitui uma «outra exigência», na aceção do artigo 1.º, n.º 4, da Diretiva 98/34, tendo em conta o caráter geral das exigências que enuncia (v., neste sentido, Acórdão de 9 de junho de 2011, Intercommunale Intermosane e Fédération de l’industrie et</w:t>
        <w:noBreakHyphen/>
        <w:t xml:space="preserve">du gaz, 361/10, n.º 21). Em contrapartida, não contém proibições que o possam incluir na categoria das proibições enunciadas no artigo 1.º, n.º 11, da referida diretiva.»</w:t>
      </w:r>
    </w:p>
    <w:p w14:paraId="4725CFBE" w14:textId="77777777">
      <w:pPr>
        <w:spacing w:after="0" w:line="240" w:lineRule="auto"/>
      </w:pPr>
    </w:p>
    <w:bookmarkStart w:id="59" w:name="_Hlk193299811"/>
    <w:p w14:paraId="109F8B7C" w14:textId="6B0FA9E0">
      <w:pPr>
        <w:pStyle w:val="P68B1DB1-P68B1DB1-Normal1622"/>
        <w:widowControl w:val="0"/>
        <w:autoSpaceDE w:val="0"/>
        <w:autoSpaceDN w:val="0"/>
        <w:spacing w:after="0" w:line="240" w:lineRule="auto"/>
        <w:jc w:val="both"/>
        <w:outlineLvl w:val="1"/>
        <w:rPr>
          <w:b/>
          <w:bCs/>
          <w:i/>
          <w:iCs/>
          <w:sz w:val="22"/>
          <w:szCs w:val="22"/>
        </w:rPr>
      </w:pPr>
      <w:r>
        <w:fldChar w:fldCharType="begin"/>
      </w:r>
      <w:r>
        <w:rPr>
          <w:b/>
          <w:bCs/>
          <w:i/>
          <w:iCs/>
          <w:sz w:val="22"/>
          <w:szCs w:val="22"/>
        </w:rPr>
        <w:instrText>HYPERLINK "https://curia.europa.eu/juris/document/document.jsf?text=&amp;docid=206117&amp;pageIndex=0&amp;doclang=EN&amp;mode=lst&amp;dir=&amp;occ=first&amp;part=1&amp;cid=9777324"</w:instrText>
      </w:r>
      <w:r>
        <w:rPr>
          <w:b/>
          <w:bCs/>
          <w:i/>
          <w:iCs/>
          <w:sz w:val="22"/>
          <w:szCs w:val="22"/>
        </w:rPr>
      </w:r>
      <w:r>
        <w:rPr>
          <w:b/>
          <w:bCs/>
          <w:i/>
          <w:iCs/>
          <w:sz w:val="22"/>
          <w:szCs w:val="22"/>
        </w:rPr>
        <w:fldChar w:fldCharType="separate"/>
      </w:r>
      <w:bookmarkStart w:id="60" w:name="_Toc198043820"/>
      <w:r>
        <w:rPr>
          <w:b/>
          <w:bCs/>
          <w:i/>
          <w:iCs/>
          <w:color w:val="0000FF"/>
          <w:sz w:val="22"/>
          <w:szCs w:val="22"/>
          <w:u w:val="single"/>
        </w:rPr>
        <w:t xml:space="preserve">Acórdão do Tribunal de Justiça de 26 de setembro de 2018 no processo C-137/17,</w:t>
      </w:r>
      <w:r>
        <w:rPr>
          <w:b/>
          <w:bCs/>
          <w:i/>
          <w:iCs/>
          <w:color w:val="0000FF"/>
          <w:sz w:val="22"/>
          <w:szCs w:val="22"/>
          <w:u w:val="single"/>
        </w:rPr>
        <w:fldChar w:fldCharType="end"/>
        <w:t xml:space="preserve">Van Gennip e o., n.os 39 e 40.</w:t>
      </w:r>
      <w:bookmarkEnd w:id="60"/>
    </w:p>
    <w:p w14:paraId="53B6D74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86CD632" w14:textId="77777777">
      <w:pPr>
        <w:pStyle w:val="P68B1DB1-P68B1DB1-Normal135"/>
        <w:widowControl w:val="0"/>
        <w:tabs>
          <w:tab w:val="left" w:pos="404"/>
        </w:tabs>
        <w:autoSpaceDE w:val="0"/>
        <w:autoSpaceDN w:val="0"/>
        <w:spacing w:after="0" w:line="240" w:lineRule="auto"/>
        <w:jc w:val="both"/>
        <w:rPr>
          <w:b w:val="0"/>
          <w:bCs/>
          <w:i w:val="0"/>
          <w:iCs/>
        </w:rPr>
      </w:pPr>
      <w:r>
        <w:t xml:space="preserve">As disposições nacionais que subordinam a comercialização de produtos à condição de o comprador dispor de uma autorização não estão abrangidas pelo conceito de «outras exigências», uma vez que se trata de uma condição imposta não aos produtos, mas aos compradores.</w:t>
      </w:r>
    </w:p>
    <w:bookmarkEnd w:id="59"/>
    <w:p w14:paraId="7262001F"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34AB9BCD" w14:textId="723202BE">
      <w:pPr>
        <w:pStyle w:val="P68B1DB1-P68B1DB1-Normal147"/>
        <w:widowControl w:val="0"/>
        <w:tabs>
          <w:tab w:val="left" w:pos="404"/>
        </w:tabs>
        <w:autoSpaceDE w:val="0"/>
        <w:autoSpaceDN w:val="0"/>
        <w:spacing w:after="0" w:line="240" w:lineRule="auto"/>
        <w:ind w:left="567"/>
        <w:jc w:val="both"/>
        <w:rPr>
          <w:i/>
          <w:iCs/>
          <w:sz w:val="20"/>
          <w:szCs w:val="18"/>
        </w:rPr>
      </w:pPr>
      <w:r>
        <w:t xml:space="preserve">«39. [...] no que respeita à categoria de «outras exigências», há que salientar que, para poder ser qualificada de «outras exigências», na aceção do artigo 1.º, ponto 4, da Diretiva 98/34, uma medida nacional deve constituir uma «condição» suscetível de influenciar significativamente a composição, a natureza ou a comercialização do produto em causa (Acórdão de 13 de outubro de 2016, M. e S., C-303/15, n.º 20 e jurisprudência referida).</w:t>
      </w:r>
    </w:p>
    <w:p w14:paraId="3684C8BC" w14:textId="77777777">
      <w:pPr>
        <w:pStyle w:val="P68B1DB1-Normal14"/>
        <w:widowControl w:val="0"/>
        <w:tabs>
          <w:tab w:val="left" w:pos="404"/>
        </w:tabs>
        <w:autoSpaceDE w:val="0"/>
        <w:autoSpaceDN w:val="0"/>
        <w:spacing w:after="0" w:line="240" w:lineRule="auto"/>
        <w:ind w:left="567"/>
        <w:jc w:val="both"/>
        <w:rPr>
          <w:i/>
          <w:iCs/>
          <w:sz w:val="20"/>
          <w:szCs w:val="18"/>
        </w:rPr>
      </w:pPr>
    </w:p>
    <w:p w14:paraId="1F15B628" w14:textId="0E023F78">
      <w:pPr>
        <w:pStyle w:val="P68B1DB1-P68B1DB1-Normal147"/>
        <w:widowControl w:val="0"/>
        <w:tabs>
          <w:tab w:val="left" w:pos="404"/>
        </w:tabs>
        <w:autoSpaceDE w:val="0"/>
        <w:autoSpaceDN w:val="0"/>
        <w:spacing w:after="0" w:line="240" w:lineRule="auto"/>
        <w:ind w:left="567"/>
        <w:jc w:val="both"/>
        <w:rPr>
          <w:i/>
          <w:iCs/>
          <w:sz w:val="20"/>
          <w:szCs w:val="18"/>
        </w:rPr>
      </w:pPr>
      <w:r>
        <w:t xml:space="preserve">40. A este respeito, há que salientar, à semelhança do advogado-geral no n.º 76 das suas conclusões, que a legislação belga faz depender a venda de artigos de pirotecnia com mais de 1 kg de substâncias pirotécnicas da obtenção de uma autorização pelo comprador. Portanto, a autorização exigida constitui uma condição Assim, a autorização exigida não constitui um requisito para o produto em causa, mas para os potenciais compradores e, indiretamente, para os operadores económicos que vendem artigos de pirotecnia (v., neste sentido, Acórdãos de 21 de abril de 2005, Lindberg, C-267/03, n.º 87, e de 13 de outubro de 2016, M. e S., C-303/15, n.º 29).»</w:t>
      </w:r>
    </w:p>
    <w:p w14:paraId="1EF9D88D" w14:textId="77777777">
      <w:pPr>
        <w:spacing w:after="0" w:line="240" w:lineRule="auto"/>
      </w:pPr>
    </w:p>
    <w:p w14:paraId="71F55FA7" w14:textId="4326F27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4" w:anchor="ctx1" w:history="1">
        <w:r>
          <w:rPr>
            <w:color w:val="0000FF"/>
            <w:u w:val="single"/>
          </w:rPr>
          <w:t xml:space="preserve">Acórdão do Tribunal de Justiça de 28 de maio de 2020</w:t>
        </w:r>
      </w:hyperlink>
      <w:r>
        <w:t xml:space="preserve"> no processo C-727/17, ECO-WIND Construction, n.os 40 e 41.</w:t>
      </w:r>
      <w:bookmarkEnd w:id="61"/>
    </w:p>
    <w:p w14:paraId="6D637FFA" w14:textId="77777777">
      <w:pPr>
        <w:widowControl w:val="0"/>
        <w:autoSpaceDE w:val="0"/>
        <w:autoSpaceDN w:val="0"/>
        <w:spacing w:after="0" w:line="240" w:lineRule="auto"/>
        <w:jc w:val="both"/>
        <w:rPr>
          <w:rFonts w:ascii="Times New Roman" w:hAnsi="Times New Roman" w:cs="Times New Roman" w:eastAsia="Times New Roman"/>
          <w:szCs w:val="20"/>
        </w:rPr>
      </w:pPr>
    </w:p>
    <w:p w14:paraId="1D3192D5" w14:textId="77777777">
      <w:pPr>
        <w:pStyle w:val="P68B1DB1-P68B1DB1-Normal135"/>
        <w:widowControl w:val="0"/>
        <w:autoSpaceDE w:val="0"/>
        <w:autoSpaceDN w:val="0"/>
        <w:spacing w:after="0" w:line="240" w:lineRule="auto"/>
        <w:jc w:val="both"/>
        <w:rPr>
          <w:b w:val="0"/>
          <w:bCs/>
          <w:i w:val="0"/>
          <w:iCs/>
        </w:rPr>
      </w:pPr>
      <w:r>
        <w:t xml:space="preserve">Um regulamento que impõe uma distância mínima para a instalação de turbinas eólicas não se enquadra na categoria de «outros requisitos», uma vez que o seu impacto na comercialização dos produtos em causa não é suficientemente direto.</w:t>
      </w:r>
    </w:p>
    <w:p w14:paraId="11DAB658" w14:textId="77777777">
      <w:pPr>
        <w:widowControl w:val="0"/>
        <w:autoSpaceDE w:val="0"/>
        <w:autoSpaceDN w:val="0"/>
        <w:spacing w:after="0" w:line="240" w:lineRule="auto"/>
        <w:jc w:val="both"/>
        <w:rPr>
          <w:rFonts w:ascii="Times New Roman" w:hAnsi="Times New Roman" w:cs="Times New Roman" w:eastAsia="Times New Roman"/>
          <w:szCs w:val="20"/>
        </w:rPr>
      </w:pPr>
    </w:p>
    <w:p w14:paraId="0E9213F5" w14:textId="153822EB">
      <w:pPr>
        <w:pStyle w:val="P68B1DB1-BodyText19"/>
        <w:ind w:left="567"/>
        <w:rPr>
          <w:iCs/>
        </w:rPr>
      </w:pPr>
      <w:r>
        <w:t xml:space="preserve">«40. [...] resulta de jurisprudência constante que esta categoria inclui uma regulamentação que prevê uma condição suscetível de influenciar de forma significativa a composição, a natureza ou a comercialização de um produto (Acórdãos de 21 de abril de 2005, Lindberg, C-267/03, n.os 69 a 72, e de 19 de julho de 2012, Fortuna e o., C-213/11, C-214/11 e C-217/11, n.º 35), sendo estas «outras exigências» as que decorrem da tomada em consideração do ciclo de vida do produto em causa após a sua colocação no mercado e relativas, nomeadamente, à sua utilização.</w:t>
      </w:r>
    </w:p>
    <w:p w14:paraId="15144425" w14:textId="77777777">
      <w:pPr>
        <w:pStyle w:val="P68B1DB1-BodyText19"/>
        <w:ind w:left="567"/>
        <w:rPr>
          <w:iCs/>
        </w:rPr>
      </w:pPr>
    </w:p>
    <w:p w14:paraId="45870460" w14:textId="6B88BEBE">
      <w:pPr>
        <w:pStyle w:val="P68B1DB1-BodyText19"/>
        <w:ind w:left="567"/>
        <w:rPr>
          <w:iCs/>
        </w:rPr>
      </w:pPr>
      <w:r>
        <w:t xml:space="preserve">41. Ora, no caso em apreço, à semelhança da apreciação que figura no n.º 37 do presente acórdão, há que salientar que a exigência de uma distância mínima entre a instalação eólica e os edifícios com função de habitação não tem uma relação direta com a composição, a natureza ou a comercialização de um produto, como um aerogerador. A este respeito, admitindo que esta exigência conduz a limitar os locais elegíveis para a instalação de turbinas eólicas e, portanto, que tem um A este respeito, mesmo que essa exigência conduzisse a uma restrição dos locais adequados para a instalação de turbinas eólicas e, por conseguinte, tivesse um efeito na comercialização dos geradores eólicos, esse efeito não seria suficientemente direto para que essa exigência fosse abrangida pela categoria de «outros requisitos» prevista no artigo 1.º, n.º 1, alínea f), da Diretiva 2015/1535.»</w:t>
      </w:r>
    </w:p>
    <w:p w14:paraId="67BFB4E8" w14:textId="77777777">
      <w:pPr>
        <w:spacing w:after="0" w:line="240" w:lineRule="auto"/>
      </w:pPr>
    </w:p>
    <w:p w14:paraId="408C26E9" w14:textId="6A65B0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5" w:history="1">
        <w:r>
          <w:rPr>
            <w:rStyle w:val="Hyperlink"/>
            <w:rFonts w:ascii="Times New Roman" w:hAnsi="Times New Roman" w:cs="Times New Roman" w:eastAsia="Times New Roman"/>
            <w:b/>
            <w:i/>
            <w:color w:val="0000FF"/>
            <w:szCs w:val="20"/>
          </w:rPr>
          <w:t xml:space="preserve">Acórdão de 4 de novembro de 2022</w:t>
        </w:r>
      </w:hyperlink>
      <w:r>
        <w:rPr>
          <w:rFonts w:ascii="Times New Roman" w:hAnsi="Times New Roman" w:cs="Times New Roman" w:eastAsia="Times New Roman"/>
          <w:b/>
          <w:i/>
          <w:szCs w:val="20"/>
        </w:rPr>
        <w:t xml:space="preserve"> no processo</w:t>
        <w:noBreakHyphen/>
        <w:t xml:space="preserve">658/21, Phytofar, n.os 36 a 42</w:t>
      </w:r>
      <w:bookmarkEnd w:id="62"/>
    </w:p>
    <w:p w14:paraId="5BBD916F" w14:textId="77777777">
      <w:pPr>
        <w:widowControl w:val="0"/>
        <w:autoSpaceDE w:val="0"/>
        <w:autoSpaceDN w:val="0"/>
        <w:spacing w:after="0" w:line="240" w:lineRule="auto"/>
        <w:jc w:val="both"/>
        <w:rPr>
          <w:rFonts w:ascii="Times New Roman" w:hAnsi="Times New Roman" w:cs="Times New Roman" w:eastAsia="Times New Roman"/>
          <w:szCs w:val="20"/>
        </w:rPr>
      </w:pPr>
    </w:p>
    <w:p w14:paraId="12813288" w14:textId="64B11198">
      <w:pPr>
        <w:pStyle w:val="P68B1DB1-P68B1DB1-Normal135"/>
        <w:widowControl w:val="0"/>
        <w:autoSpaceDE w:val="0"/>
        <w:autoSpaceDN w:val="0"/>
        <w:spacing w:after="0" w:line="240" w:lineRule="auto"/>
        <w:jc w:val="both"/>
        <w:outlineLvl w:val="1"/>
        <w:rPr>
          <w:b w:val="0"/>
          <w:bCs/>
          <w:i w:val="0"/>
          <w:iCs/>
          <w:sz w:val="20"/>
        </w:rPr>
      </w:pPr>
      <w:bookmarkStart w:id="63" w:name="_Toc198043823"/>
      <w:r>
        <w:t xml:space="preserve">Uma legislação que proíba as pessoas que não são titulares de uma autorização para profissionais de utilizarem pesticidas que contêm glifosato é suscetível de constituir um «outro requisito», uma vez que pode influenciar significativamente a comercialização do glifosato. A importância desta influência é apreciada à luz do volume de compras dos produtos em causa e da evolução dos hábitos de venda.</w:t>
      </w:r>
      <w:bookmarkEnd w:id="63"/>
    </w:p>
    <w:p w14:paraId="017C51C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19599530" w14:textId="17AE1EBB">
      <w:pPr>
        <w:spacing w:after="0" w:line="240" w:lineRule="auto"/>
        <w:ind w:left="567"/>
        <w:jc w:val="both"/>
        <w:rPr>
          <w:rFonts w:ascii="Times New Roman" w:hAnsi="Times New Roman" w:cs="Times New Roman"/>
          <w:i/>
          <w:sz w:val="20"/>
          <w:szCs w:val="20"/>
        </w:rPr>
        <w:pStyle w:val="P68B1DB1-Normal20"/>
      </w:pPr>
      <w:r>
        <w:t xml:space="preserve">«36. No caso em apreço, resulta, antes de mais, do preâmbulo da Decisão de 14 de julho de 2017 que a proibição que estabelece é imposta para proteger a saúde humana e o ambiente.</w:t>
      </w:r>
    </w:p>
    <w:p w14:paraId="1CBD02C5" w14:textId="77777777">
      <w:pPr>
        <w:spacing w:after="0" w:line="240" w:lineRule="auto"/>
        <w:ind w:left="567"/>
        <w:jc w:val="both"/>
        <w:rPr>
          <w:rFonts w:ascii="Times New Roman" w:hAnsi="Times New Roman" w:cs="Times New Roman"/>
          <w:i/>
          <w:sz w:val="20"/>
          <w:szCs w:val="20"/>
        </w:rPr>
      </w:pPr>
    </w:p>
    <w:p w14:paraId="1A20049E" w14:textId="08504F01">
      <w:pPr>
        <w:spacing w:after="0" w:line="240" w:lineRule="auto"/>
        <w:ind w:left="567"/>
        <w:jc w:val="both"/>
        <w:rPr>
          <w:rFonts w:ascii="Times New Roman" w:hAnsi="Times New Roman" w:cs="Times New Roman"/>
          <w:i/>
          <w:sz w:val="20"/>
          <w:szCs w:val="20"/>
        </w:rPr>
        <w:pStyle w:val="P68B1DB1-Normal20"/>
      </w:pPr>
      <w:r>
        <w:t xml:space="preserve">37. Em seguida, há que salientar que essa proibição diz respeito ao ciclo de vida dos pesticidas que contêm glifosato após a sua introdução no mercado, mediante a fixação de uma condição ligada à utilização desses produtos, na medida em que, em terrenos para uso privado, só os profissionais titulares de uma licença fitossanitária estão autorizados a utilizá-los.</w:t>
      </w:r>
    </w:p>
    <w:p w14:paraId="595DD057" w14:textId="77777777">
      <w:pPr>
        <w:spacing w:after="0" w:line="240" w:lineRule="auto"/>
        <w:ind w:left="567"/>
        <w:jc w:val="both"/>
        <w:rPr>
          <w:rFonts w:ascii="Times New Roman" w:hAnsi="Times New Roman" w:cs="Times New Roman"/>
          <w:i/>
          <w:sz w:val="20"/>
          <w:szCs w:val="20"/>
        </w:rPr>
      </w:pPr>
    </w:p>
    <w:p w14:paraId="7F0E7EDE" w14:textId="698ECA01">
      <w:pPr>
        <w:spacing w:after="0" w:line="240" w:lineRule="auto"/>
        <w:ind w:left="567"/>
        <w:jc w:val="both"/>
        <w:rPr>
          <w:rFonts w:ascii="Times New Roman" w:hAnsi="Times New Roman" w:cs="Times New Roman"/>
          <w:i/>
          <w:sz w:val="20"/>
          <w:szCs w:val="20"/>
        </w:rPr>
        <w:pStyle w:val="P68B1DB1-Normal20"/>
      </w:pPr>
      <w:r>
        <w:t xml:space="preserve">38. Por último, não se pode deixar de observar que tal medida de proibição é suscetível de influenciar a comercialização dos produtos em causa.</w:t>
      </w:r>
    </w:p>
    <w:p w14:paraId="6A260A53" w14:textId="77777777">
      <w:pPr>
        <w:spacing w:after="0" w:line="240" w:lineRule="auto"/>
        <w:ind w:left="567"/>
        <w:jc w:val="both"/>
        <w:rPr>
          <w:rFonts w:ascii="Times New Roman" w:hAnsi="Times New Roman" w:cs="Times New Roman"/>
          <w:i/>
          <w:sz w:val="20"/>
          <w:szCs w:val="20"/>
        </w:rPr>
      </w:pPr>
    </w:p>
    <w:p w14:paraId="5066FFC6" w14:textId="1BDD0139">
      <w:pPr>
        <w:spacing w:after="0" w:line="240" w:lineRule="auto"/>
        <w:ind w:left="567"/>
        <w:jc w:val="both"/>
        <w:rPr>
          <w:rFonts w:ascii="Times New Roman" w:hAnsi="Times New Roman" w:cs="Times New Roman"/>
          <w:i/>
          <w:sz w:val="20"/>
          <w:szCs w:val="20"/>
        </w:rPr>
        <w:pStyle w:val="P68B1DB1-Normal20"/>
      </w:pPr>
      <w:r>
        <w:t xml:space="preserve">39. Com efeito, essa medida implica o desaparecimento de uma categoria de potenciais adquirentes de pesticidas que contêm glifosato, a saber, os particulares que pretendam utilizar eles próprios esses pesticidas, sem recorrer aos serviços profissionais titulares da licença fitossanitária necessária. Tal restrição à possibilidade de utilizar pesticidas que contêm glifosato afeta, assim, a sua comercialização (v., por analogia, Acórdão de 13 de outubro de 2016, M. e S., C-303/15, n.º 26 e jurisprudência referida).</w:t>
      </w:r>
    </w:p>
    <w:p w14:paraId="1A6F1ECE" w14:textId="77777777">
      <w:pPr>
        <w:spacing w:after="0" w:line="240" w:lineRule="auto"/>
        <w:ind w:left="567"/>
        <w:jc w:val="both"/>
        <w:rPr>
          <w:rFonts w:ascii="Times New Roman" w:hAnsi="Times New Roman" w:cs="Times New Roman"/>
          <w:i/>
          <w:sz w:val="20"/>
          <w:szCs w:val="20"/>
        </w:rPr>
      </w:pPr>
    </w:p>
    <w:p w14:paraId="33FD9071" w14:textId="2955C650">
      <w:pPr>
        <w:spacing w:after="0" w:line="240" w:lineRule="auto"/>
        <w:ind w:left="567"/>
        <w:jc w:val="both"/>
        <w:rPr>
          <w:rFonts w:ascii="Times New Roman" w:hAnsi="Times New Roman" w:cs="Times New Roman"/>
          <w:i/>
          <w:sz w:val="20"/>
          <w:szCs w:val="20"/>
        </w:rPr>
        <w:pStyle w:val="P68B1DB1-Normal20"/>
      </w:pPr>
      <w:r>
        <w:t xml:space="preserve">40. Todavia, como refere a Comissão nas suas observações escritas, para que a medida introduzida pela Decisão de 14 de julho de 2017 possa ser qualificada de «regra técnica», abrangida pela categoria de «outras exigências», na aceção do artigo 1.º, n.º 1, alínea d), e alínea f), da Diretiva 2015/1535, a comercialização de pesticidas que contenham glifosato deve ser «significativamente» influenciada por essa medida.</w:t>
      </w:r>
    </w:p>
    <w:p w14:paraId="219AFD18" w14:textId="77777777">
      <w:pPr>
        <w:spacing w:after="0" w:line="240" w:lineRule="auto"/>
        <w:ind w:left="567"/>
        <w:jc w:val="both"/>
        <w:rPr>
          <w:rFonts w:ascii="Times New Roman" w:hAnsi="Times New Roman" w:cs="Times New Roman"/>
          <w:i/>
          <w:sz w:val="20"/>
          <w:szCs w:val="20"/>
        </w:rPr>
      </w:pPr>
    </w:p>
    <w:p w14:paraId="51EC447B" w14:textId="2F0134D7">
      <w:pPr>
        <w:spacing w:after="0" w:line="240" w:lineRule="auto"/>
        <w:ind w:left="567"/>
        <w:jc w:val="both"/>
        <w:rPr>
          <w:rFonts w:ascii="Times New Roman" w:hAnsi="Times New Roman" w:cs="Times New Roman"/>
          <w:i/>
          <w:sz w:val="20"/>
          <w:szCs w:val="20"/>
        </w:rPr>
        <w:pStyle w:val="P68B1DB1-Normal20"/>
      </w:pPr>
      <w:r>
        <w:t xml:space="preserve">41. Cabe ao órgão jurisdicional de reenvio verificar se é isso que acontece no caso em apreço.</w:t>
      </w:r>
    </w:p>
    <w:p w14:paraId="700BF673" w14:textId="77777777">
      <w:pPr>
        <w:spacing w:after="0" w:line="240" w:lineRule="auto"/>
        <w:ind w:left="567"/>
        <w:jc w:val="both"/>
        <w:rPr>
          <w:rFonts w:ascii="Times New Roman" w:hAnsi="Times New Roman" w:cs="Times New Roman"/>
          <w:i/>
          <w:sz w:val="20"/>
          <w:szCs w:val="20"/>
        </w:rPr>
      </w:pPr>
    </w:p>
    <w:p w14:paraId="15FA9CD4" w14:textId="12DBE6E1">
      <w:pPr>
        <w:spacing w:after="0" w:line="240" w:lineRule="auto"/>
        <w:ind w:left="567"/>
        <w:jc w:val="both"/>
        <w:rPr>
          <w:rFonts w:ascii="Times New Roman" w:hAnsi="Times New Roman" w:cs="Times New Roman"/>
          <w:i/>
          <w:sz w:val="20"/>
          <w:szCs w:val="20"/>
        </w:rPr>
        <w:pStyle w:val="P68B1DB1-Normal20"/>
      </w:pPr>
      <w:r>
        <w:t xml:space="preserve">42. Nessa apreciação, o órgão jurisdicional de reenvio poderá ter em conta, nomeadamente, o volume global das vendas de pesticidas que contêm glifosato no território da Região da Flandres e a alteração dos hábitos de compra de cada categoria de adquirentes, com base na frequência das suas aquisições e na quantidade de produto adquirido, bem como a alteração quanto aos locais de compra e aos canais de distribuição. Neste contexto, esse órgão jurisdicional pode tomar em consideração em que medida, por um lado, a procura dos utilizadores profissionais substitui a das pessoas que utilizam os serviços dos utilizadores profissionais e, por outro, os utilizadores individuais obtêm agora pesticidas sem glifosato em vez dos que contêm essa substância.»</w:t>
      </w:r>
    </w:p>
    <w:p w14:paraId="4A5F3F04" w14:textId="77777777">
      <w:pPr>
        <w:spacing w:after="0" w:line="240" w:lineRule="auto"/>
        <w:ind w:left="567"/>
        <w:jc w:val="both"/>
      </w:pPr>
    </w:p>
    <w:p w14:paraId="430159AA" w14:textId="501CF88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6" w:history="1">
        <w:r>
          <w:rPr>
            <w:rStyle w:val="Hyperlink"/>
            <w:rFonts w:ascii="Times New Roman" w:hAnsi="Times New Roman" w:cs="Times New Roman" w:eastAsia="Times New Roman"/>
            <w:b/>
            <w:i/>
            <w:color w:val="0000FF"/>
            <w:szCs w:val="20"/>
          </w:rPr>
          <w:t xml:space="preserve">Acórdão do Tribunal de Justiça de 9 de março de 2023</w:t>
        </w:r>
      </w:hyperlink>
      <w:r>
        <w:rPr>
          <w:rFonts w:ascii="Times New Roman" w:hAnsi="Times New Roman" w:cs="Times New Roman" w:eastAsia="Times New Roman"/>
          <w:b/>
          <w:i/>
          <w:szCs w:val="20"/>
        </w:rPr>
        <w:t xml:space="preserve"> no processo C-604/21, Vapo Atlantic, n.os 40 e 41.</w:t>
      </w:r>
      <w:bookmarkEnd w:id="64"/>
    </w:p>
    <w:p w14:paraId="25D9A71A" w14:textId="77777777">
      <w:pPr>
        <w:widowControl w:val="0"/>
        <w:autoSpaceDE w:val="0"/>
        <w:autoSpaceDN w:val="0"/>
        <w:spacing w:after="0" w:line="240" w:lineRule="auto"/>
        <w:jc w:val="both"/>
        <w:rPr>
          <w:rFonts w:ascii="Times New Roman" w:hAnsi="Times New Roman" w:cs="Times New Roman" w:eastAsia="Times New Roman"/>
          <w:szCs w:val="20"/>
        </w:rPr>
      </w:pPr>
    </w:p>
    <w:p w14:paraId="68D99C30" w14:textId="07845CAB">
      <w:pPr>
        <w:widowControl w:val="0"/>
        <w:autoSpaceDE w:val="0"/>
        <w:autoSpaceDN w:val="0"/>
        <w:spacing w:after="0" w:line="240" w:lineRule="auto"/>
        <w:jc w:val="both"/>
        <w:outlineLvl w:val="1"/>
        <w:rPr>
          <w:rFonts w:ascii="Times New Roman" w:hAnsi="Times New Roman" w:cs="Times New Roman" w:eastAsia="Times New Roman"/>
          <w:bCs/>
          <w:iCs/>
          <w:szCs w:val="20"/>
        </w:rPr>
        <w:pStyle w:val="P68B1DB1-Normal14"/>
      </w:pPr>
      <w:bookmarkStart w:id="65" w:name="_Toc198043825"/>
      <w:r>
        <w:t xml:space="preserve">A legislação nacional que exige que os operadores que introduzem combustíveis para motores no consumo contribuam para o cumprimento dos objetivos de incorporação de biocombustíveis nos carburantes e cuja violação possa conduzir a sanções financeiras pode influenciar significativamente a comercialização dos combustíveis. Constitui, portanto, uma «outra exigência».</w:t>
      </w:r>
      <w:bookmarkEnd w:id="65"/>
    </w:p>
    <w:p w14:paraId="397991C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F49CA88" w14:textId="0C6B3003">
      <w:pPr>
        <w:pStyle w:val="P68B1DB1-Normal20"/>
        <w:widowControl w:val="0"/>
        <w:autoSpaceDE w:val="0"/>
        <w:autoSpaceDN w:val="0"/>
        <w:spacing w:after="0" w:line="240" w:lineRule="auto"/>
        <w:ind w:left="567"/>
        <w:jc w:val="both"/>
        <w:outlineLvl w:val="1"/>
      </w:pPr>
      <w:bookmarkStart w:id="66" w:name="_Toc198043826"/>
      <w:r>
        <w:t xml:space="preserve">«40. No caso em apreço, as questões do órgão jurisdicional de reenvio têm por objeto uma legislação nacional que exige aos operadores económicos que procedem à introdução no consumo de combustíveis rodoviários, com exceção do GPL e do gás natural, que contribuam para o cumprimento dos objetivos de incorporação de biocombustíveis nas quantidades anuais de combustíveis rodoviários por si introduzidos no consumo, a saber, um objetivo de 10 % relativamente ao ano de 2020. Mesmo que essa legislação não especifique o tipo de combustível rodoviário visado, não fixe a percentagem de biocombustível que deve ser fisicamente incorporado nos combustíveis rodoviários, nem especifique o tipo de biocombustível a incorporar, o requisito que prevê, adotado para efeitos de proteção do ambiente, visa o ciclo de vida dos combustíveis rodoviários após a sua colocação no mercado e pode influenciar significativamente a comercialização dos referidos produtos, na medida em que o incumprimento da obrigação de incorporação de biocombustíveis prevista é suscetível de implicar a imposição de uma compensação financeira.</w:t>
      </w:r>
      <w:bookmarkEnd w:id="66"/>
    </w:p>
    <w:p w14:paraId="4CEBAF3A" w14:textId="77777777">
      <w:pPr>
        <w:pStyle w:val="P68B1DB1-Normal20"/>
        <w:widowControl w:val="0"/>
        <w:autoSpaceDE w:val="0"/>
        <w:autoSpaceDN w:val="0"/>
        <w:spacing w:after="0" w:line="240" w:lineRule="auto"/>
        <w:ind w:left="567"/>
        <w:jc w:val="both"/>
        <w:outlineLvl w:val="1"/>
      </w:pPr>
    </w:p>
    <w:p w14:paraId="08AE2C99" w14:textId="38734870">
      <w:pPr>
        <w:pStyle w:val="P68B1DB1-Normal20"/>
        <w:widowControl w:val="0"/>
        <w:autoSpaceDE w:val="0"/>
        <w:autoSpaceDN w:val="0"/>
        <w:spacing w:after="0" w:line="240" w:lineRule="auto"/>
        <w:ind w:left="567"/>
        <w:jc w:val="both"/>
        <w:outlineLvl w:val="1"/>
        <w:rPr>
          <w:iCs/>
        </w:rPr>
      </w:pPr>
      <w:bookmarkStart w:id="67" w:name="_Toc198043827"/>
      <w:r>
        <w:t xml:space="preserve">41. Daqui resulta que uma legislação nacional que fixa um objetivo de incorporação de 10 % de biocombustíveis nos carburantes introduzidos no consumo por um operador económico relativamente a 2020 está abrangida pelo conceito de «outros requisitos», na aceção do artigo 1.º, n.º 4, da Diretiva 98/34, e constitui, assim, uma «regra técnica» na aceção do artigo 1.º, n.º 11, desta diretiva.»</w:t>
      </w:r>
      <w:bookmarkEnd w:id="67"/>
    </w:p>
    <w:p w14:paraId="6064CE7D" w14:textId="77777777">
      <w:pPr>
        <w:pStyle w:val="P68B1DB1-BodyText10"/>
        <w:rPr>
          <w:bCs/>
        </w:rPr>
      </w:pPr>
    </w:p>
    <w:p w14:paraId="3F05E4B7" w14:textId="77777777">
      <w:pPr>
        <w:spacing w:after="0" w:line="278" w:lineRule="auto"/>
        <w:rPr>
          <w:rFonts w:ascii="Times New Roman" w:hAnsi="Times New Roman" w:cs="Times New Roman" w:eastAsia="Times New Roman"/>
          <w:b/>
          <w:sz w:val="24"/>
          <w:szCs w:val="20"/>
        </w:rPr>
      </w:pPr>
      <w:r>
        <w:br w:type="page"/>
      </w:r>
    </w:p>
    <w:p w14:paraId="39F57DA0" w14:textId="51AFFAF0">
      <w:pPr>
        <w:pStyle w:val="P68B1DB1-Heading24"/>
        <w:numPr>
          <w:ilvl w:val="0"/>
          <w:numId w:val="35"/>
        </w:numPr>
        <w:spacing w:before="0" w:after="0"/>
        <w:jc w:val="center"/>
        <w:rPr>
          <w:bCs/>
          <w:color w:val="auto"/>
        </w:rPr>
      </w:pPr>
      <w:bookmarkStart w:id="68" w:name="_Ref196314214"/>
      <w:bookmarkStart w:id="69" w:name="_Toc203035669"/>
      <w:r>
        <w:t xml:space="preserve">Regras em matéria de serviços</w:t>
      </w:r>
      <w:bookmarkEnd w:id="5"/>
      <w:bookmarkEnd w:id="68"/>
      <w:bookmarkEnd w:id="69"/>
    </w:p>
    <w:p w14:paraId="19E12A03" w14:textId="77777777">
      <w:pPr>
        <w:pStyle w:val="BodyText"/>
      </w:pPr>
    </w:p>
    <w:p w14:paraId="6D8B2150" w14:textId="77777777">
      <w:pPr>
        <w:pStyle w:val="P68B1DB1-BodyText11"/>
        <w:ind w:left="567"/>
        <w:rPr>
          <w:iCs/>
        </w:rPr>
      </w:pPr>
      <w:r>
        <w:t xml:space="preserve">«regra relativa aos serviços», um requisito de caráter geral relativo ao acesso às atividades de serviços na aceção da alínea b) e ao seu exercício, nomeadamente as disposições relativas ao prestador de serviços, aos serviços e ao destinatário de serviços, com exclusão das regras que não visem especificamente os serviços definidos nessa alínea. </w:t>
      </w:r>
    </w:p>
    <w:p w14:paraId="7C9B8AC3" w14:textId="77777777">
      <w:pPr>
        <w:pStyle w:val="P68B1DB1-BodyText11"/>
        <w:ind w:left="567"/>
        <w:rPr>
          <w:iCs/>
        </w:rPr>
      </w:pPr>
    </w:p>
    <w:p w14:paraId="46FCE36C" w14:textId="0D89DACC">
      <w:pPr>
        <w:pStyle w:val="P68B1DB1-BodyText11"/>
        <w:ind w:left="567"/>
        <w:rPr>
          <w:iCs/>
        </w:rPr>
      </w:pPr>
      <w:r>
        <w:t xml:space="preserve">Para efeitos desta definição: </w:t>
      </w:r>
    </w:p>
    <w:p w14:paraId="0FA17B64" w14:textId="77777777">
      <w:pPr>
        <w:pStyle w:val="P68B1DB1-BodyText11"/>
        <w:ind w:left="567"/>
        <w:rPr>
          <w:iCs/>
        </w:rPr>
      </w:pPr>
    </w:p>
    <w:p w14:paraId="5287D99C" w14:textId="40B4253E">
      <w:pPr>
        <w:pStyle w:val="P68B1DB1-BodyText11"/>
        <w:numPr>
          <w:ilvl w:val="0"/>
          <w:numId w:val="30"/>
        </w:numPr>
        <w:rPr>
          <w:iCs/>
        </w:rPr>
      </w:pPr>
      <w:r>
        <w:t xml:space="preserve">considera-se que uma regra tem em vista especificamente os serviços da sociedade da informação sempre que, no que diz respeito à sua motivação e ao texto do seu articulado, tenha como finalidade e objeto específicos, na totalidade ou em determinadas disposições pontuais, regulamentar de modo explícito e circunscrito esses serviços; </w:t>
      </w:r>
    </w:p>
    <w:p w14:paraId="112BC54B" w14:textId="13ACB17B">
      <w:pPr>
        <w:pStyle w:val="P68B1DB1-BodyText11"/>
        <w:numPr>
          <w:ilvl w:val="0"/>
          <w:numId w:val="30"/>
        </w:numPr>
        <w:rPr>
          <w:iCs/>
        </w:rPr>
      </w:pPr>
      <w:r>
        <w:t xml:space="preserve">não se considera que uma regra se destine especificamente aos serviços da sociedade da informação se apenas afetar esses serviços de forma implícita ou incidental;»</w:t>
      </w:r>
    </w:p>
    <w:p w14:paraId="573C811F" w14:textId="77777777">
      <w:pPr>
        <w:pStyle w:val="BodyText"/>
        <w:ind w:left="567"/>
        <w:rPr>
          <w:i/>
          <w:iCs/>
        </w:rPr>
      </w:pPr>
    </w:p>
    <w:p w14:paraId="2735376A" w14:textId="709F0465">
      <w:pPr>
        <w:pStyle w:val="BodyText"/>
        <w:ind w:left="1440"/>
        <w:jc w:val="right"/>
      </w:pPr>
      <w:r>
        <w:t xml:space="preserve">(Artigo 1.º, n.º 1, alínea e), da Diretiva (UE) 2015/1535)</w:t>
      </w:r>
    </w:p>
    <w:p w14:paraId="2412BA9D" w14:textId="7742CFA6">
      <w:pPr>
        <w:spacing w:after="0" w:line="240" w:lineRule="auto"/>
      </w:pPr>
    </w:p>
    <w:p w14:paraId="047B2ADB" w14:textId="17E336C2">
      <w:pPr>
        <w:spacing w:after="0" w:line="240" w:lineRule="auto"/>
        <w:ind w:left="567"/>
        <w:jc w:val="both"/>
        <w:rPr>
          <w:rFonts w:ascii="Times New Roman" w:hAnsi="Times New Roman" w:cs="Times New Roman"/>
          <w:i/>
          <w:sz w:val="24"/>
          <w:szCs w:val="24"/>
        </w:rPr>
        <w:pStyle w:val="P68B1DB1-Normal12"/>
      </w:pPr>
      <w:r>
        <w:t xml:space="preserve">«serviço», qualquer serviço da sociedade da informação, isto é, qualquer serviço prestado normalmente mediante remuneração, à distância, por via eletrónica e mediante pedido individual de um destinatário de serviços. </w:t>
      </w:r>
    </w:p>
    <w:p w14:paraId="0A07BEF1" w14:textId="77777777">
      <w:pPr>
        <w:spacing w:after="0" w:line="240" w:lineRule="auto"/>
        <w:ind w:left="567"/>
        <w:jc w:val="both"/>
        <w:rPr>
          <w:rFonts w:ascii="Times New Roman" w:hAnsi="Times New Roman" w:cs="Times New Roman"/>
          <w:i/>
          <w:sz w:val="24"/>
          <w:szCs w:val="24"/>
        </w:rPr>
      </w:pPr>
    </w:p>
    <w:p w14:paraId="0427D520" w14:textId="77777777">
      <w:pPr>
        <w:spacing w:after="0" w:line="240" w:lineRule="auto"/>
        <w:ind w:left="567"/>
        <w:jc w:val="both"/>
        <w:rPr>
          <w:rFonts w:ascii="Times New Roman" w:hAnsi="Times New Roman" w:cs="Times New Roman"/>
          <w:i/>
          <w:sz w:val="24"/>
          <w:szCs w:val="24"/>
        </w:rPr>
        <w:pStyle w:val="P68B1DB1-Normal12"/>
      </w:pPr>
      <w:r>
        <w:t xml:space="preserve">Para efeitos desta definição: </w:t>
      </w:r>
    </w:p>
    <w:p w14:paraId="14B11324" w14:textId="77777777">
      <w:pPr>
        <w:spacing w:after="0" w:line="240" w:lineRule="auto"/>
        <w:ind w:left="567"/>
        <w:jc w:val="both"/>
        <w:rPr>
          <w:rFonts w:ascii="Times New Roman" w:hAnsi="Times New Roman" w:cs="Times New Roman"/>
          <w:i/>
          <w:sz w:val="24"/>
          <w:szCs w:val="24"/>
        </w:rPr>
      </w:pPr>
    </w:p>
    <w:p w14:paraId="0727DDA2" w14:textId="77777777">
      <w:pPr>
        <w:spacing w:after="0" w:line="240" w:lineRule="auto"/>
        <w:ind w:left="1440"/>
        <w:jc w:val="both"/>
        <w:rPr>
          <w:rFonts w:ascii="Times New Roman" w:hAnsi="Times New Roman" w:cs="Times New Roman"/>
          <w:i/>
          <w:sz w:val="24"/>
          <w:szCs w:val="24"/>
        </w:rPr>
        <w:pStyle w:val="P68B1DB1-Normal12"/>
      </w:pPr>
      <w:r>
        <w:t xml:space="preserve">I) «à distância», o serviço prestado sem que as partes estejam simultaneamente presentes; </w:t>
      </w:r>
    </w:p>
    <w:p w14:paraId="21A0956B" w14:textId="56365680">
      <w:pPr>
        <w:spacing w:after="0" w:line="240" w:lineRule="auto"/>
        <w:ind w:left="1440"/>
        <w:jc w:val="both"/>
        <w:rPr>
          <w:rFonts w:ascii="Times New Roman" w:hAnsi="Times New Roman" w:cs="Times New Roman"/>
          <w:i/>
          <w:sz w:val="24"/>
          <w:szCs w:val="24"/>
        </w:rPr>
        <w:pStyle w:val="P68B1DB1-Normal12"/>
      </w:pPr>
      <w:r>
        <w:t xml:space="preserve">II) «por via eletrónica», o serviço enviado inicialmente e recebido no destino através de equipamento eletrónico de processamento (incluindo a compressão digital) e de armazenamento de dados, e inteiramente transmitido, transportado e recebido por cabo, rádio, meios óticos ou outros meios eletromagnéticos; </w:t>
      </w:r>
    </w:p>
    <w:p w14:paraId="5C56E529" w14:textId="12F1F1E7">
      <w:pPr>
        <w:spacing w:after="0" w:line="240" w:lineRule="auto"/>
        <w:ind w:left="1440"/>
        <w:jc w:val="both"/>
        <w:rPr>
          <w:rFonts w:ascii="Times New Roman" w:hAnsi="Times New Roman" w:cs="Times New Roman"/>
          <w:i/>
          <w:sz w:val="24"/>
          <w:szCs w:val="24"/>
        </w:rPr>
        <w:pStyle w:val="P68B1DB1-Normal12"/>
      </w:pPr>
      <w:r>
        <w:t xml:space="preserve">III) «a pedido individual de um destinatário de serviços», o serviço é prestado através da transmissão de dados mediante pedido individual. </w:t>
      </w:r>
    </w:p>
    <w:p w14:paraId="514F222E" w14:textId="77777777">
      <w:pPr>
        <w:spacing w:after="0" w:line="240" w:lineRule="auto"/>
        <w:jc w:val="both"/>
        <w:rPr>
          <w:rFonts w:ascii="Times New Roman" w:hAnsi="Times New Roman" w:cs="Times New Roman"/>
          <w:i/>
          <w:sz w:val="24"/>
          <w:szCs w:val="24"/>
        </w:rPr>
      </w:pPr>
    </w:p>
    <w:p w14:paraId="11E4DACC" w14:textId="7501B95E">
      <w:pPr>
        <w:spacing w:after="0" w:line="240" w:lineRule="auto"/>
        <w:ind w:left="567"/>
        <w:jc w:val="both"/>
        <w:rPr>
          <w:rFonts w:ascii="Times New Roman" w:hAnsi="Times New Roman" w:cs="Times New Roman"/>
          <w:i/>
          <w:sz w:val="24"/>
          <w:szCs w:val="24"/>
        </w:rPr>
        <w:pStyle w:val="P68B1DB1-Normal12"/>
      </w:pPr>
      <w:r>
        <w:t xml:space="preserve">O anexo I contém uma lista indicativa dos serviços não abrangidos por esta definição;»</w:t>
      </w:r>
    </w:p>
    <w:p w14:paraId="1FF17DD0" w14:textId="77777777">
      <w:pPr>
        <w:spacing w:after="0" w:line="240" w:lineRule="auto"/>
        <w:ind w:left="567"/>
        <w:jc w:val="both"/>
        <w:rPr>
          <w:rFonts w:ascii="Times New Roman" w:hAnsi="Times New Roman" w:cs="Times New Roman"/>
          <w:i/>
          <w:iCs/>
          <w:sz w:val="24"/>
          <w:szCs w:val="24"/>
        </w:rPr>
      </w:pPr>
    </w:p>
    <w:p w14:paraId="6EAE1680" w14:textId="066C5520">
      <w:pPr>
        <w:pStyle w:val="BodyText"/>
        <w:ind w:left="1440"/>
        <w:jc w:val="right"/>
      </w:pPr>
      <w:r>
        <w:t xml:space="preserve">(Artigo 1.º, n.º 1, alínea b), da Diretiva (UE) 2015/1535)</w:t>
      </w:r>
    </w:p>
    <w:p w14:paraId="3979F0D8" w14:textId="77777777">
      <w:pPr>
        <w:spacing w:after="0" w:line="240" w:lineRule="auto"/>
        <w:ind w:left="567"/>
        <w:jc w:val="both"/>
        <w:rPr>
          <w:rFonts w:ascii="Times New Roman" w:hAnsi="Times New Roman" w:cs="Times New Roman"/>
          <w:i/>
          <w:iCs/>
          <w:sz w:val="24"/>
          <w:szCs w:val="24"/>
        </w:rPr>
      </w:pPr>
    </w:p>
    <w:p w14:paraId="325579F5" w14:textId="5717D74C">
      <w:pPr>
        <w:pStyle w:val="P68B1DB1-Normal12"/>
        <w:spacing w:after="0" w:line="240" w:lineRule="auto"/>
        <w:ind w:left="567"/>
        <w:jc w:val="both"/>
        <w:rPr>
          <w:iCs/>
        </w:rPr>
      </w:pPr>
      <w:r>
        <w:t xml:space="preserve">«Lista indicativa dos serviços não abrangidos pelo artigo 1.º, n.º 1, alínea b), segundo parágrafo </w:t>
      </w:r>
    </w:p>
    <w:p w14:paraId="2833D888" w14:textId="77777777">
      <w:pPr>
        <w:spacing w:after="0" w:line="240" w:lineRule="auto"/>
        <w:ind w:left="567"/>
        <w:jc w:val="both"/>
        <w:rPr>
          <w:rFonts w:ascii="Times New Roman" w:hAnsi="Times New Roman" w:cs="Times New Roman"/>
          <w:i/>
          <w:iCs/>
          <w:sz w:val="24"/>
          <w:szCs w:val="24"/>
        </w:rPr>
      </w:pPr>
    </w:p>
    <w:p w14:paraId="45BC8C0F" w14:textId="59EDD8A8">
      <w:pPr>
        <w:pStyle w:val="P68B1DB1-ListParagraph21"/>
        <w:numPr>
          <w:ilvl w:val="0"/>
          <w:numId w:val="33"/>
        </w:numPr>
        <w:spacing w:after="0" w:line="240" w:lineRule="auto"/>
        <w:jc w:val="center"/>
        <w:rPr>
          <w:rFonts w:ascii="Times New Roman" w:hAnsi="Times New Roman" w:cs="Times New Roman"/>
          <w:i/>
          <w:sz w:val="24"/>
          <w:szCs w:val="24"/>
        </w:rPr>
      </w:pPr>
      <w:r>
        <w:t xml:space="preserve">Serviços que não são prestados «à distância»</w:t>
      </w:r>
    </w:p>
    <w:p w14:paraId="0869B267" w14:textId="77777777">
      <w:pPr>
        <w:pStyle w:val="ListParagraph"/>
        <w:spacing w:after="0" w:line="240" w:lineRule="auto"/>
        <w:ind w:left="927"/>
        <w:rPr>
          <w:rFonts w:ascii="Times New Roman" w:hAnsi="Times New Roman" w:cs="Times New Roman"/>
          <w:i/>
          <w:sz w:val="24"/>
          <w:szCs w:val="24"/>
        </w:rPr>
      </w:pPr>
    </w:p>
    <w:p w14:paraId="15316F3F" w14:textId="637F4A7C">
      <w:pPr>
        <w:spacing w:after="0" w:line="240" w:lineRule="auto"/>
        <w:ind w:left="567"/>
        <w:rPr>
          <w:rFonts w:ascii="Times New Roman" w:hAnsi="Times New Roman" w:cs="Times New Roman"/>
          <w:i/>
          <w:sz w:val="24"/>
          <w:szCs w:val="24"/>
        </w:rPr>
        <w:pStyle w:val="P68B1DB1-Normal12"/>
      </w:pPr>
      <w:r>
        <w:t xml:space="preserve">Serviços prestados na presença física do prestador e do destinatário, mesmo que impliquem a utilização de dispositivos eletrónicos: </w:t>
      </w:r>
    </w:p>
    <w:p w14:paraId="3362CCDE" w14:textId="74A453DA">
      <w:pPr>
        <w:spacing w:after="0" w:line="240" w:lineRule="auto"/>
        <w:ind w:left="1287"/>
        <w:rPr>
          <w:rFonts w:ascii="Times New Roman" w:hAnsi="Times New Roman" w:cs="Times New Roman"/>
          <w:i/>
          <w:sz w:val="24"/>
          <w:szCs w:val="24"/>
        </w:rPr>
        <w:pStyle w:val="P68B1DB1-Normal12"/>
      </w:pPr>
      <w:r>
        <w:t xml:space="preserve">a) Exames médicos ou tratamentos médicos em cirurgia de um médico utilizando equipamento eletrónico em que o doente esteja fisicamente presente; </w:t>
      </w:r>
    </w:p>
    <w:p w14:paraId="705A25A8" w14:textId="77777777">
      <w:pPr>
        <w:spacing w:after="0" w:line="240" w:lineRule="auto"/>
        <w:ind w:left="567" w:firstLine="720"/>
        <w:rPr>
          <w:rFonts w:ascii="Times New Roman" w:hAnsi="Times New Roman" w:cs="Times New Roman"/>
          <w:i/>
          <w:sz w:val="24"/>
          <w:szCs w:val="24"/>
        </w:rPr>
        <w:pStyle w:val="P68B1DB1-Normal12"/>
      </w:pPr>
      <w:r>
        <w:t xml:space="preserve">b) Consultar um catálogo eletrónico numa loja com o cliente no local; </w:t>
      </w:r>
    </w:p>
    <w:p w14:paraId="7DA6C469" w14:textId="5F31D5B1">
      <w:pPr>
        <w:spacing w:after="0" w:line="240" w:lineRule="auto"/>
        <w:ind w:left="1287"/>
        <w:rPr>
          <w:rFonts w:ascii="Times New Roman" w:hAnsi="Times New Roman" w:cs="Times New Roman"/>
          <w:i/>
          <w:sz w:val="24"/>
          <w:szCs w:val="24"/>
        </w:rPr>
        <w:pStyle w:val="P68B1DB1-Normal12"/>
      </w:pPr>
      <w:r>
        <w:t xml:space="preserve">c) A reserva de um bilhete de avião numa agência de viagens na presença física do cliente através de uma rede de computadores; </w:t>
      </w:r>
    </w:p>
    <w:p w14:paraId="01C9EFAD" w14:textId="77777777">
      <w:pPr>
        <w:spacing w:after="0" w:line="240" w:lineRule="auto"/>
        <w:ind w:left="1287"/>
        <w:rPr>
          <w:rFonts w:ascii="Times New Roman" w:hAnsi="Times New Roman" w:cs="Times New Roman"/>
          <w:i/>
          <w:sz w:val="24"/>
          <w:szCs w:val="24"/>
        </w:rPr>
        <w:pStyle w:val="P68B1DB1-Normal12"/>
      </w:pPr>
      <w:r>
        <w:t xml:space="preserve">d) Jogos eletrónicos disponibilizados numa sala de vídeo em que o cliente está fisicamente presente. </w:t>
      </w:r>
    </w:p>
    <w:p w14:paraId="487F2005" w14:textId="77777777">
      <w:pPr>
        <w:spacing w:after="0" w:line="240" w:lineRule="auto"/>
        <w:ind w:left="567"/>
        <w:rPr>
          <w:rFonts w:ascii="Times New Roman" w:hAnsi="Times New Roman" w:cs="Times New Roman"/>
          <w:i/>
          <w:sz w:val="24"/>
          <w:szCs w:val="24"/>
        </w:rPr>
      </w:pPr>
    </w:p>
    <w:p w14:paraId="3AFC7951" w14:textId="251CDA9A">
      <w:pPr>
        <w:pStyle w:val="P68B1DB1-ListParagraph21"/>
        <w:numPr>
          <w:ilvl w:val="0"/>
          <w:numId w:val="33"/>
        </w:numPr>
        <w:spacing w:after="0" w:line="240" w:lineRule="auto"/>
        <w:jc w:val="center"/>
        <w:rPr>
          <w:rFonts w:ascii="Times New Roman" w:hAnsi="Times New Roman" w:cs="Times New Roman"/>
          <w:i/>
          <w:sz w:val="24"/>
          <w:szCs w:val="24"/>
        </w:rPr>
      </w:pPr>
      <w:r>
        <w:t xml:space="preserve">Serviços que não são fornecidos «por via eletrónica»</w:t>
      </w:r>
    </w:p>
    <w:p w14:paraId="7F20B717" w14:textId="77777777">
      <w:pPr>
        <w:pStyle w:val="ListParagraph"/>
        <w:spacing w:after="0" w:line="240" w:lineRule="auto"/>
        <w:ind w:left="927"/>
        <w:rPr>
          <w:rFonts w:ascii="Times New Roman" w:hAnsi="Times New Roman" w:cs="Times New Roman"/>
          <w:i/>
          <w:sz w:val="24"/>
          <w:szCs w:val="24"/>
        </w:rPr>
      </w:pPr>
    </w:p>
    <w:p w14:paraId="02C6FE7C" w14:textId="77777777">
      <w:pPr>
        <w:spacing w:after="0" w:line="240" w:lineRule="auto"/>
        <w:ind w:left="567"/>
        <w:rPr>
          <w:rFonts w:ascii="Times New Roman" w:hAnsi="Times New Roman" w:cs="Times New Roman"/>
          <w:i/>
          <w:sz w:val="24"/>
          <w:szCs w:val="24"/>
        </w:rPr>
        <w:pStyle w:val="P68B1DB1-Normal12"/>
      </w:pPr>
      <w:r>
        <w:t xml:space="preserve">— serviços com conteúdo material, embora fornecidos através de dispositivos eletrónicos: </w:t>
      </w:r>
    </w:p>
    <w:p w14:paraId="271D8E4D" w14:textId="77777777">
      <w:pPr>
        <w:spacing w:after="0" w:line="240" w:lineRule="auto"/>
        <w:ind w:left="567" w:firstLine="720"/>
        <w:rPr>
          <w:rFonts w:ascii="Times New Roman" w:hAnsi="Times New Roman" w:cs="Times New Roman"/>
          <w:i/>
          <w:sz w:val="24"/>
          <w:szCs w:val="24"/>
        </w:rPr>
        <w:pStyle w:val="P68B1DB1-Normal12"/>
      </w:pPr>
      <w:r>
        <w:t xml:space="preserve">a) Máquinas automáticas de distribuição de numerário ou de bilhetes (notas de banco, bilhetes de comboio); </w:t>
      </w:r>
    </w:p>
    <w:p w14:paraId="07693B6B" w14:textId="1A59726A">
      <w:pPr>
        <w:spacing w:after="0" w:line="240" w:lineRule="auto"/>
        <w:ind w:left="1287"/>
        <w:rPr>
          <w:rFonts w:ascii="Times New Roman" w:hAnsi="Times New Roman" w:cs="Times New Roman"/>
          <w:i/>
          <w:sz w:val="24"/>
          <w:szCs w:val="24"/>
        </w:rPr>
        <w:pStyle w:val="P68B1DB1-Normal12"/>
      </w:pPr>
      <w:r>
        <w:t xml:space="preserve">b) Acesso às redes rodoviárias, parques de estacionamento, etc., taxas de utilização, mesmo que existam dispositivos eletrónicos à entrada/saída que controlem o acesso e/ou assegurem o pagamento correto, </w:t>
      </w:r>
    </w:p>
    <w:p w14:paraId="6B193BE7" w14:textId="77777777">
      <w:pPr>
        <w:spacing w:after="0" w:line="240" w:lineRule="auto"/>
        <w:ind w:left="567"/>
        <w:rPr>
          <w:rFonts w:ascii="Times New Roman" w:hAnsi="Times New Roman" w:cs="Times New Roman"/>
          <w:i/>
          <w:sz w:val="24"/>
          <w:szCs w:val="24"/>
        </w:rPr>
        <w:pStyle w:val="P68B1DB1-Normal12"/>
      </w:pPr>
      <w:r>
        <w:t xml:space="preserve">— serviços fora de linha: distribuição de CD-ROM ou software em disquetes, </w:t>
      </w:r>
    </w:p>
    <w:p w14:paraId="421C0A6C" w14:textId="77777777">
      <w:pPr>
        <w:spacing w:after="0" w:line="240" w:lineRule="auto"/>
        <w:ind w:left="567"/>
        <w:rPr>
          <w:rFonts w:ascii="Times New Roman" w:hAnsi="Times New Roman" w:cs="Times New Roman"/>
          <w:i/>
          <w:sz w:val="24"/>
          <w:szCs w:val="24"/>
        </w:rPr>
        <w:pStyle w:val="P68B1DB1-Normal12"/>
      </w:pPr>
      <w:r>
        <w:t xml:space="preserve">— serviços que não são prestados através de sistemas eletrónicos de tratamento/inventário: </w:t>
      </w:r>
    </w:p>
    <w:p w14:paraId="48C8B4AA" w14:textId="77777777">
      <w:pPr>
        <w:spacing w:after="0" w:line="240" w:lineRule="auto"/>
        <w:ind w:left="567" w:firstLine="720"/>
        <w:rPr>
          <w:rFonts w:ascii="Times New Roman" w:hAnsi="Times New Roman" w:cs="Times New Roman"/>
          <w:i/>
          <w:sz w:val="24"/>
          <w:szCs w:val="24"/>
        </w:rPr>
        <w:pStyle w:val="P68B1DB1-Normal12"/>
      </w:pPr>
      <w:r>
        <w:t xml:space="preserve">a) Serviços de telefonia vocal; </w:t>
      </w:r>
    </w:p>
    <w:p w14:paraId="56C7B905" w14:textId="77777777">
      <w:pPr>
        <w:spacing w:after="0" w:line="240" w:lineRule="auto"/>
        <w:ind w:left="567" w:firstLine="720"/>
        <w:rPr>
          <w:rFonts w:ascii="Times New Roman" w:hAnsi="Times New Roman" w:cs="Times New Roman"/>
          <w:i/>
          <w:sz w:val="24"/>
          <w:szCs w:val="24"/>
        </w:rPr>
        <w:pStyle w:val="P68B1DB1-Normal12"/>
      </w:pPr>
      <w:r>
        <w:t xml:space="preserve">b) Serviços de telecópia/telex; </w:t>
      </w:r>
    </w:p>
    <w:p w14:paraId="4711D7CC" w14:textId="77777777">
      <w:pPr>
        <w:spacing w:after="0" w:line="240" w:lineRule="auto"/>
        <w:ind w:left="567" w:firstLine="720"/>
        <w:rPr>
          <w:rFonts w:ascii="Times New Roman" w:hAnsi="Times New Roman" w:cs="Times New Roman"/>
          <w:i/>
          <w:sz w:val="24"/>
          <w:szCs w:val="24"/>
        </w:rPr>
        <w:pStyle w:val="P68B1DB1-Normal12"/>
      </w:pPr>
      <w:r>
        <w:t xml:space="preserve">c) Serviços prestados por telefonia vocal ou fax; </w:t>
      </w:r>
    </w:p>
    <w:p w14:paraId="129084EE" w14:textId="77777777">
      <w:pPr>
        <w:spacing w:after="0" w:line="240" w:lineRule="auto"/>
        <w:ind w:left="567" w:firstLine="720"/>
        <w:rPr>
          <w:rFonts w:ascii="Times New Roman" w:hAnsi="Times New Roman" w:cs="Times New Roman"/>
          <w:i/>
          <w:sz w:val="24"/>
          <w:szCs w:val="24"/>
        </w:rPr>
        <w:pStyle w:val="P68B1DB1-Normal12"/>
      </w:pPr>
      <w:r>
        <w:t xml:space="preserve">d) Consulta de um médico por telefone/telefax; </w:t>
      </w:r>
    </w:p>
    <w:p w14:paraId="4D484D71" w14:textId="77777777">
      <w:pPr>
        <w:spacing w:after="0" w:line="240" w:lineRule="auto"/>
        <w:ind w:left="567" w:firstLine="720"/>
        <w:rPr>
          <w:rFonts w:ascii="Times New Roman" w:hAnsi="Times New Roman" w:cs="Times New Roman"/>
          <w:i/>
          <w:sz w:val="24"/>
          <w:szCs w:val="24"/>
        </w:rPr>
        <w:pStyle w:val="P68B1DB1-Normal12"/>
      </w:pPr>
      <w:r>
        <w:t xml:space="preserve">e) Consulta um advogado por telefone/telefax; </w:t>
      </w:r>
    </w:p>
    <w:p w14:paraId="69CFBD9E" w14:textId="77777777">
      <w:pPr>
        <w:spacing w:after="0" w:line="240" w:lineRule="auto"/>
        <w:ind w:left="567" w:firstLine="720"/>
        <w:rPr>
          <w:rFonts w:ascii="Times New Roman" w:hAnsi="Times New Roman" w:cs="Times New Roman"/>
          <w:i/>
          <w:sz w:val="24"/>
          <w:szCs w:val="24"/>
        </w:rPr>
        <w:pStyle w:val="P68B1DB1-Normal12"/>
      </w:pPr>
      <w:r>
        <w:t xml:space="preserve">(f) marketing direto por telefone/telefax. </w:t>
      </w:r>
    </w:p>
    <w:p w14:paraId="7998BDE8" w14:textId="77777777">
      <w:pPr>
        <w:spacing w:after="0" w:line="240" w:lineRule="auto"/>
        <w:ind w:left="567" w:firstLine="720"/>
        <w:rPr>
          <w:rFonts w:ascii="Times New Roman" w:hAnsi="Times New Roman" w:cs="Times New Roman"/>
          <w:i/>
          <w:sz w:val="24"/>
          <w:szCs w:val="24"/>
        </w:rPr>
      </w:pPr>
    </w:p>
    <w:p w14:paraId="61AA40DF" w14:textId="73BA62B1">
      <w:pPr>
        <w:spacing w:after="0" w:line="240" w:lineRule="auto"/>
        <w:ind w:left="567"/>
        <w:jc w:val="center"/>
        <w:rPr>
          <w:rFonts w:ascii="Times New Roman" w:hAnsi="Times New Roman" w:cs="Times New Roman"/>
          <w:i/>
          <w:sz w:val="24"/>
          <w:szCs w:val="24"/>
        </w:rPr>
        <w:pStyle w:val="P68B1DB1-Normal12"/>
      </w:pPr>
      <w:r>
        <w:t xml:space="preserve">3. Serviços que não são fornecidos «mediante pedido individual de um destinatário de serviços»</w:t>
      </w:r>
    </w:p>
    <w:p w14:paraId="36C37D64" w14:textId="77777777">
      <w:pPr>
        <w:spacing w:after="0" w:line="240" w:lineRule="auto"/>
        <w:ind w:left="567"/>
        <w:jc w:val="center"/>
        <w:rPr>
          <w:rFonts w:ascii="Times New Roman" w:hAnsi="Times New Roman" w:cs="Times New Roman"/>
          <w:i/>
          <w:sz w:val="24"/>
          <w:szCs w:val="24"/>
        </w:rPr>
      </w:pPr>
    </w:p>
    <w:p w14:paraId="79A4497E" w14:textId="5069126A">
      <w:pPr>
        <w:spacing w:after="0" w:line="240" w:lineRule="auto"/>
        <w:ind w:left="567"/>
        <w:rPr>
          <w:rFonts w:ascii="Times New Roman" w:hAnsi="Times New Roman" w:cs="Times New Roman"/>
          <w:i/>
          <w:sz w:val="24"/>
          <w:szCs w:val="24"/>
        </w:rPr>
        <w:pStyle w:val="P68B1DB1-Normal12"/>
      </w:pPr>
      <w:r>
        <w:t xml:space="preserve">Serviços fornecidos por envio de dados sem pedido individual e destinados à receção simultânea por um número ilimitado de destinatários (transmissão de «ponto para multiponto»): </w:t>
      </w:r>
    </w:p>
    <w:p w14:paraId="7348FF90" w14:textId="622E29E3">
      <w:pPr>
        <w:spacing w:after="0" w:line="240" w:lineRule="auto"/>
        <w:ind w:left="1287"/>
        <w:rPr>
          <w:rFonts w:ascii="Times New Roman" w:hAnsi="Times New Roman" w:cs="Times New Roman"/>
          <w:i/>
          <w:sz w:val="24"/>
          <w:szCs w:val="24"/>
        </w:rPr>
        <w:pStyle w:val="P68B1DB1-Normal12"/>
      </w:pPr>
      <w:r>
        <w:t xml:space="preserve">a) Serviços de radiodifusão televisiva (incluindo serviços de quase vídeo a pedido) abrangidos pelo artigo 1.º, n.º 1, alínea e), da Diretiva 2010/13/UE; </w:t>
      </w:r>
    </w:p>
    <w:p w14:paraId="52812E73" w14:textId="77777777">
      <w:pPr>
        <w:spacing w:after="0" w:line="240" w:lineRule="auto"/>
        <w:ind w:left="567" w:firstLine="720"/>
        <w:rPr>
          <w:rFonts w:ascii="Times New Roman" w:hAnsi="Times New Roman" w:cs="Times New Roman"/>
          <w:i/>
          <w:sz w:val="24"/>
          <w:szCs w:val="24"/>
        </w:rPr>
        <w:pStyle w:val="P68B1DB1-Normal12"/>
      </w:pPr>
      <w:r>
        <w:t xml:space="preserve">b) Serviços de radiodifusão sonora; </w:t>
      </w:r>
    </w:p>
    <w:p w14:paraId="50FD6B17" w14:textId="6C6940F1">
      <w:pPr>
        <w:spacing w:after="0" w:line="240" w:lineRule="auto"/>
        <w:ind w:left="567" w:firstLine="720"/>
        <w:pStyle w:val="P68B1DB1-Normal12"/>
      </w:pPr>
      <w:r>
        <w:t xml:space="preserve">(c) Teletexto (televisivo).»</w:t>
      </w:r>
    </w:p>
    <w:p w14:paraId="4CB8A09D" w14:textId="49490E91">
      <w:pPr>
        <w:pStyle w:val="BodyText"/>
        <w:ind w:left="1440"/>
        <w:jc w:val="right"/>
      </w:pPr>
      <w:r>
        <w:t xml:space="preserve">(Anexo I da Diretiva (UE) 2015/1535)</w:t>
      </w:r>
    </w:p>
    <w:p w14:paraId="4AFCA90D" w14:textId="77777777">
      <w:pPr>
        <w:spacing w:after="0" w:line="240" w:lineRule="auto"/>
      </w:pPr>
    </w:p>
    <w:p w14:paraId="27152DAF" w14:textId="403C1BD4">
      <w:pPr>
        <w:widowControl w:val="0"/>
        <w:autoSpaceDE w:val="0"/>
        <w:autoSpaceDN w:val="0"/>
        <w:spacing w:after="0" w:line="240" w:lineRule="auto"/>
        <w:jc w:val="both"/>
        <w:rPr>
          <w:rFonts w:ascii="Times New Roman" w:hAnsi="Times New Roman" w:cs="Times New Roman" w:eastAsia="Times New Roman"/>
          <w:i/>
          <w:iCs/>
          <w:sz w:val="20"/>
          <w:szCs w:val="16"/>
        </w:rPr>
      </w:pPr>
      <w:hyperlink r:id="rId47" w:history="1">
        <w:r>
          <w:rPr>
            <w:rStyle w:val="Hyperlink"/>
            <w:rFonts w:ascii="Times New Roman" w:hAnsi="Times New Roman" w:cs="Times New Roman" w:eastAsia="Times New Roman"/>
            <w:b/>
            <w:i/>
            <w:color w:val="0000FF"/>
            <w:szCs w:val="20"/>
          </w:rPr>
          <w:t xml:space="preserve">Acórdão do Tribunal de Justiça de 2 de junho de 2005</w:t>
        </w:r>
      </w:hyperlink>
      <w:r>
        <w:rPr>
          <w:rFonts w:ascii="Times New Roman" w:hAnsi="Times New Roman" w:cs="Times New Roman" w:eastAsia="Times New Roman"/>
          <w:b/>
          <w:i/>
          <w:szCs w:val="20"/>
        </w:rPr>
        <w:t xml:space="preserve"> no processo C-89/04, Mediakabel BV, n.os 38 e 39.</w:t>
      </w:r>
    </w:p>
    <w:p w14:paraId="72864DF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0D3FE7F" w14:textId="7CBF6B01">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Um serviço de radiodifusão televisiva disponibilizado a pedido do assinante, mas para o qual a frequência e o calendário dos filmes são determinados pelo fornecedor, não constitui um «serviço da sociedade da informação», uma vez que o conteúdo é selecionado e programado pelo fornecedor e, por conseguinte, não é fornecido a pedido individual do destinatário.</w:t>
      </w:r>
    </w:p>
    <w:p w14:paraId="35F17E14"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DC4243A" w14:textId="1EBB386A">
      <w:pPr>
        <w:pStyle w:val="P68B1DB1-Normal15"/>
        <w:widowControl w:val="0"/>
        <w:autoSpaceDE w:val="0"/>
        <w:autoSpaceDN w:val="0"/>
        <w:spacing w:after="0" w:line="240" w:lineRule="auto"/>
        <w:ind w:left="567"/>
        <w:jc w:val="both"/>
      </w:pPr>
      <w:r>
        <w:t xml:space="preserve">«38. Embora esse serviço preencha os dois primeiros critérios para constituir um «serviço da sociedade da informação», na aceção do artigo 1.º, n.º 2, da Diretiva 98/34, ou seja, seja prestado à distância e parcialmente transmitido por meios eletrónicos, não preenche o terceiro critério do conceito, segundo o qual o serviço em causa deve ser prestado «mediante pedido individual de um destinatário de serviços». A lista dos filmes oferecidos no quadro de um serviço como o «Filmtime» é estabelecida pelo prestador do serviço. Esta seleção de filmes é oferecida a todos os assinantes nas mesmas condições, quer através de jornais quer por meio de informações difundidas no ecrã de televisão, e os referidos filmes são acessíveis nos horários de difusão fixados pelo prestador. A chave pessoal que permite aceder aos filmes constitui unicamente um meio de descodificação das imagens cujos sinais são enviados simultaneamente a todos os assinantes.</w:t>
      </w:r>
    </w:p>
    <w:p w14:paraId="68AEB66F" w14:textId="77777777">
      <w:pPr>
        <w:pStyle w:val="P68B1DB1-Normal15"/>
        <w:widowControl w:val="0"/>
        <w:autoSpaceDE w:val="0"/>
        <w:autoSpaceDN w:val="0"/>
        <w:spacing w:after="0" w:line="240" w:lineRule="auto"/>
        <w:ind w:left="567"/>
        <w:jc w:val="both"/>
      </w:pPr>
    </w:p>
    <w:p w14:paraId="145EEF38" w14:textId="74B1BC98">
      <w:pPr>
        <w:pStyle w:val="P68B1DB1-Normal15"/>
        <w:widowControl w:val="0"/>
        <w:autoSpaceDE w:val="0"/>
        <w:autoSpaceDN w:val="0"/>
        <w:spacing w:after="0" w:line="240" w:lineRule="auto"/>
        <w:ind w:left="567"/>
        <w:jc w:val="both"/>
        <w:rPr>
          <w:iCs/>
        </w:rPr>
      </w:pPr>
      <w:r>
        <w:t xml:space="preserve">39. Este serviço não é, portanto, pedido individualmente por um destinatário isolado que disponha da livre escolha dos seus programas num quadro interativo. Deve ser considerado um serviço quase vídeo a pedido, prestado numa base «ponto a multiponto» e não «mediante pedido individual de um destinatário de serviços».</w:t>
      </w:r>
    </w:p>
    <w:p w14:paraId="5E8F8952" w14:textId="190BF10B">
      <w:pPr>
        <w:widowControl w:val="0"/>
        <w:autoSpaceDE w:val="0"/>
        <w:autoSpaceDN w:val="0"/>
        <w:spacing w:after="0" w:line="240" w:lineRule="auto"/>
        <w:ind w:left="567"/>
        <w:jc w:val="both"/>
      </w:pPr>
    </w:p>
    <w:p w14:paraId="6027638F" w14:textId="40792564">
      <w:pPr>
        <w:pStyle w:val="P68B1DB1-Normal13"/>
        <w:widowControl w:val="0"/>
        <w:autoSpaceDE w:val="0"/>
        <w:autoSpaceDN w:val="0"/>
        <w:spacing w:after="0" w:line="240" w:lineRule="auto"/>
        <w:jc w:val="both"/>
        <w:outlineLvl w:val="1"/>
      </w:pPr>
      <w:hyperlink r:id="rId48" w:history="1">
        <w:r>
          <w:rPr>
            <w:color w:val="0000FF"/>
            <w:u w:val="single"/>
          </w:rPr>
          <w:t xml:space="preserve">Acórdão do Tribunal de Justiça de 2 de fevereiro de 2016</w:t>
        </w:r>
      </w:hyperlink>
      <w:r>
        <w:t xml:space="preserve"> no processo C-336/14, Ince, n.os 75 e 76.</w:t>
      </w:r>
      <w:bookmarkEnd w:id="70"/>
    </w:p>
    <w:p w14:paraId="62235723"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32F669F1" w14:textId="7D474CDE">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Style w:val="P68B1DB1-Normal14"/>
      </w:pPr>
      <w:r>
        <w:t xml:space="preserve">As disposições nacionais que limitam a oferta de jogos de fortuna ou azar em linha ou proíbem a publicidade em linha desses jogos podem ser consideradas «regras relativas aos serviços», uma vez que dizem respeito a um «serviço da sociedade da informação». Em contrapartida, as disposições que exigem uma autorização prévia para os operadores que organizam jogos de fortuna ou azar ou que proíbem a concessão dessa autorização a operadores privados dizem respeito às condições de estabelecimento de empresas e, por conseguinte, não constituem «regras relativas aos serviços».</w:t>
      </w:r>
    </w:p>
    <w:p w14:paraId="156FC50A"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26E8979D" w14:textId="42272F10">
      <w:pPr>
        <w:pStyle w:val="P68B1DB1-Normal15"/>
        <w:widowControl w:val="0"/>
        <w:autoSpaceDE w:val="0"/>
        <w:autoSpaceDN w:val="0"/>
        <w:spacing w:after="0" w:line="240" w:lineRule="auto"/>
        <w:ind w:left="567"/>
        <w:jc w:val="both"/>
      </w:pPr>
      <w:r>
        <w:t xml:space="preserve">«75. [...] algumas das disposições do Tratado relativas aos jogos de fortuna ou azar podem ser qualificadas de «regras relativas aos serviços», na medida em que dizem respeito a um «serviço da sociedade da informação» na aceção do artigo 1.º, n.º 2, da Diretiva 98/34. Entre estas disposições figuram a proibição de oferecer jogos de fortuna ou azar na Internet prevista no § 4 (4) do Tratado sobre os jogos de fortuna ou azar, as exceções a esta proibição enumeradas no § 25 (6) do referido tratado, as restrições impostas à oferta de apostas desportivas através de serviços de telecomunicação nos termos do § 21 (2) do referido tratado e a proibição de difundir anúncios de jogos de fortuna ou azar na Internet ou através de equipamentos de telecomunicações, nos termos do § 5 (3) do referido tratado.</w:t>
      </w:r>
    </w:p>
    <w:p w14:paraId="440D35CE" w14:textId="77777777">
      <w:pPr>
        <w:pStyle w:val="P68B1DB1-Normal15"/>
        <w:widowControl w:val="0"/>
        <w:autoSpaceDE w:val="0"/>
        <w:autoSpaceDN w:val="0"/>
        <w:spacing w:after="0" w:line="240" w:lineRule="auto"/>
        <w:ind w:left="567"/>
        <w:jc w:val="both"/>
      </w:pPr>
    </w:p>
    <w:p w14:paraId="7CF19AC0" w14:textId="0AA0DFE8">
      <w:pPr>
        <w:pStyle w:val="P68B1DB1-Normal15"/>
        <w:widowControl w:val="0"/>
        <w:autoSpaceDE w:val="0"/>
        <w:autoSpaceDN w:val="0"/>
        <w:spacing w:after="0" w:line="240" w:lineRule="auto"/>
        <w:ind w:left="567"/>
        <w:jc w:val="both"/>
        <w:rPr>
          <w:iCs/>
        </w:rPr>
      </w:pPr>
      <w:r>
        <w:t xml:space="preserve">76. Em contrapartida, no que se refere às disposições do tratado sobre os jogos de fortuna e azar diferentes das relativas a um «serviço da sociedade da informação» na aceção do artigo 1.º, ponto 2, da Diretiva 98/34, como as disposições que instituem a obrigação de obter uma autorização para a organização ou a recolha de apostas desportivas assim como a impossibilidade de conceder essa autorização a operadores privados, não constituem «regras técnicas» na aceção do artigo 1.º, ponto 11, dessa diretiva. As disposições nacionais que se limitam a estabelecer condições para o estabelecimento ou a prestação de serviços por empresas, como as disposições que subordinam o exercício de uma atividade a uma autorização prévia, não constituem regras técnicas na aceção dessa disposição (v., neste sentido, acórdão Lindberg, C-267/03, n.º 87).»</w:t>
      </w:r>
    </w:p>
    <w:p w14:paraId="284BC1DD" w14:textId="77777777">
      <w:pPr>
        <w:spacing w:after="0" w:line="240" w:lineRule="auto"/>
      </w:pPr>
    </w:p>
    <w:p w14:paraId="792D1FCB" w14:textId="5D8C5452">
      <w:pPr>
        <w:pStyle w:val="P68B1DB1-Normal13"/>
        <w:widowControl w:val="0"/>
        <w:autoSpaceDE w:val="0"/>
        <w:autoSpaceDN w:val="0"/>
        <w:spacing w:after="0" w:line="240" w:lineRule="auto"/>
        <w:jc w:val="both"/>
        <w:outlineLvl w:val="1"/>
      </w:pPr>
      <w:hyperlink r:id="rId49" w:history="1">
        <w:r>
          <w:rPr>
            <w:color w:val="0000FF"/>
            <w:u w:val="single"/>
          </w:rPr>
          <w:t xml:space="preserve">Acórdão do Tribunal de Justiça de 13 de outubro de 2016</w:t>
        </w:r>
      </w:hyperlink>
      <w:r>
        <w:t xml:space="preserve"> no processo 303/15, Naczelnik Urzędu Celnego I w.</w:t>
        <w:noBreakHyphen/>
        <w:t xml:space="preserve">, n.º 24.</w:t>
      </w:r>
      <w:bookmarkEnd w:id="71"/>
    </w:p>
    <w:p w14:paraId="5329A61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0996FF96" w14:textId="3530BD3E">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Uma disposição que sujeita o exercício de atividades de jogo à detenção de uma licença de exploração de casinos não constitui uma «regra relativa aos serviços», uma vez que não diz respeito a um «serviço da sociedade da informação».</w:t>
      </w:r>
    </w:p>
    <w:p w14:paraId="1E1EAAA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7469D564" w14:textId="52BCBAAC">
      <w:pPr>
        <w:pStyle w:val="P68B1DB1-Normal15"/>
        <w:widowControl w:val="0"/>
        <w:tabs>
          <w:tab w:val="left" w:pos="396"/>
          <w:tab w:val="left" w:pos="399"/>
        </w:tabs>
        <w:autoSpaceDE w:val="0"/>
        <w:autoSpaceDN w:val="0"/>
        <w:spacing w:after="0" w:line="240" w:lineRule="auto"/>
        <w:ind w:left="567" w:hanging="142"/>
        <w:jc w:val="both"/>
        <w:rPr>
          <w:iCs/>
        </w:rPr>
      </w:pPr>
      <w:r>
        <w:t>«</w:t>
      </w:r>
      <w:bookmarkStart w:id="72" w:name="point24"/>
      <w:r>
        <w:t>24</w:t>
      </w:r>
      <w:bookmarkEnd w:id="72"/>
      <w:r>
        <w:t xml:space="preserve">. [...] esta disposição não pode ser incluída na categoria das «regras relativas aos serviços [da sociedade da informação]», na aceção do artigo 1.º, n.º 5, da Diretiva 98/34, uma vez que não se refere a um «serviço da sociedade da informação», na aceção do artigo 1.º, n.º 2, desta diretiva.»</w:t>
      </w:r>
    </w:p>
    <w:p w14:paraId="2022FC13" w14:textId="77777777">
      <w:pPr>
        <w:spacing w:after="0" w:line="240" w:lineRule="auto"/>
      </w:pPr>
    </w:p>
    <w:bookmarkStart w:id="73" w:name="_Hlk202362486"/>
    <w:p w14:paraId="3ED876F3" w14:textId="767BC230">
      <w:pPr>
        <w:pStyle w:val="P68B1DB1-Normal13"/>
        <w:widowControl w:val="0"/>
        <w:autoSpaceDE w:val="0"/>
        <w:autoSpaceDN w:val="0"/>
        <w:spacing w:after="0" w:line="240" w:lineRule="auto"/>
        <w:jc w:val="both"/>
        <w:outlineLvl w:val="1"/>
      </w:pPr>
      <w:r>
        <w:fldChar w:fldCharType="begin"/>
      </w:r>
      <w:r>
        <w:instrText>HYPERLINK "https://curia.europa.eu/juris/document/document.jsf?text=&amp;docid=198051&amp;pageIndex=0&amp;doclang=EN&amp;mode=lst&amp;dir=&amp;occ=first&amp;part=1&amp;cid=10880021"</w:instrText>
      </w:r>
      <w:r>
        <w:fldChar w:fldCharType="separate"/>
      </w:r>
      <w:bookmarkStart w:id="74" w:name="_Toc198043830"/>
      <w:r>
        <w:rPr>
          <w:color w:val="0000FF"/>
          <w:u w:val="single"/>
        </w:rPr>
        <w:t xml:space="preserve">Acórdão de 20 de dezembro de 2017</w:t>
      </w:r>
      <w:r>
        <w:rPr>
          <w:color w:val="0000FF"/>
          <w:u w:val="single"/>
        </w:rPr>
        <w:fldChar w:fldCharType="end"/>
        <w:t xml:space="preserve">, Falbert e o. (</w:t>
        <w:noBreakHyphen/>
        <w:t xml:space="preserve">C 255/16, n.os 27 a 29, 32 e 33)</w:t>
      </w:r>
      <w:bookmarkEnd w:id="74"/>
    </w:p>
    <w:bookmarkEnd w:id="73"/>
    <w:p w14:paraId="1158306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227D8B" w14:textId="4F8DA22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As disposições nacionais relativas aos serviços de jogos ou de publicidade podem constituir «regras relativas aos serviços» se disserem diretamente respeito a serviços prestados à distância, por via eletrónica e mediante pedido individual do destinatário. Mesmo que a redação dessas disposições não distinga entre serviços em linha e fora de linha, o seu objetivo no que diz respeito aos «serviços da sociedade da informação» pode ser inferido dos seus considerandos ou dos </w:t>
      </w:r>
      <w:r>
        <w:rPr>
          <w:i/>
        </w:rPr>
        <w:t xml:space="preserve">trabalhos preparatórios</w:t>
      </w:r>
      <w:r>
        <w:t>.</w:t>
      </w:r>
    </w:p>
    <w:p w14:paraId="7F177100" w14:textId="77777777">
      <w:pPr>
        <w:widowControl w:val="0"/>
        <w:autoSpaceDE w:val="0"/>
        <w:autoSpaceDN w:val="0"/>
        <w:spacing w:after="0" w:line="240" w:lineRule="auto"/>
        <w:jc w:val="both"/>
        <w:rPr>
          <w:rFonts w:ascii="Times New Roman" w:hAnsi="Times New Roman" w:cs="Times New Roman" w:eastAsia="Times New Roman"/>
          <w:szCs w:val="20"/>
        </w:rPr>
      </w:pPr>
    </w:p>
    <w:p w14:paraId="7F9B9A73" w14:textId="7410A16D">
      <w:pPr>
        <w:pStyle w:val="P68B1DB1-Normal15"/>
        <w:widowControl w:val="0"/>
        <w:autoSpaceDE w:val="0"/>
        <w:autoSpaceDN w:val="0"/>
        <w:spacing w:after="0" w:line="240" w:lineRule="auto"/>
        <w:ind w:left="567"/>
        <w:jc w:val="both"/>
      </w:pPr>
      <w:r>
        <w:t xml:space="preserve">«27. Importa recordar que, nos termos do artigo 1.º, n.º 2, desta diretiva, o conceito de «regra técnica» abrange apenas as regras relativas aos serviços da sociedade da informação, ou seja, qualquer serviço prestado à distância por via eletrónica e mediante pedido individual de um destinatário de serviços (v. Acórdãos de 13 de outubro de 2016, M. e S., C-303/15, n.º 21, e de 1 de fevereiro de 2017, Município de Palmela, C-144/16, n.º 28).</w:t>
      </w:r>
    </w:p>
    <w:p w14:paraId="0F8135B3" w14:textId="77777777">
      <w:pPr>
        <w:pStyle w:val="P68B1DB1-Normal15"/>
        <w:widowControl w:val="0"/>
        <w:autoSpaceDE w:val="0"/>
        <w:autoSpaceDN w:val="0"/>
        <w:spacing w:after="0" w:line="240" w:lineRule="auto"/>
        <w:ind w:left="567"/>
        <w:jc w:val="both"/>
      </w:pPr>
    </w:p>
    <w:p w14:paraId="6AF5DAAF" w14:textId="403D67A9">
      <w:pPr>
        <w:pStyle w:val="P68B1DB1-Normal15"/>
        <w:widowControl w:val="0"/>
        <w:autoSpaceDE w:val="0"/>
        <w:autoSpaceDN w:val="0"/>
        <w:spacing w:after="0" w:line="240" w:lineRule="auto"/>
        <w:ind w:left="567"/>
        <w:jc w:val="both"/>
      </w:pPr>
      <w:r>
        <w:t xml:space="preserve">28. A este respeito, há que salientar que, em princípio, o § 10 (3) (3) da Lei relativa aos jogos de fortuna e azar diz respeito a dois tipos de serviços, a saber, por um lado, os serviços de publicidade, que são imediatamente sancionados ao abrigo dessa disposição e, por outro, os serviços de jogos abrangidos pela proibição de publicidade e que são o objeto principal da Lei relativa aos jogos de fortuna ou azar, lidos no seu conjunto.</w:t>
      </w:r>
    </w:p>
    <w:p w14:paraId="74D3506D" w14:textId="77777777">
      <w:pPr>
        <w:pStyle w:val="P68B1DB1-Normal15"/>
        <w:widowControl w:val="0"/>
        <w:autoSpaceDE w:val="0"/>
        <w:autoSpaceDN w:val="0"/>
        <w:spacing w:after="0" w:line="240" w:lineRule="auto"/>
        <w:ind w:left="567"/>
        <w:jc w:val="both"/>
      </w:pPr>
    </w:p>
    <w:p w14:paraId="5664402E" w14:textId="11E23D14">
      <w:pPr>
        <w:pStyle w:val="P68B1DB1-Normal15"/>
        <w:widowControl w:val="0"/>
        <w:autoSpaceDE w:val="0"/>
        <w:autoSpaceDN w:val="0"/>
        <w:spacing w:after="0" w:line="240" w:lineRule="auto"/>
        <w:ind w:left="567"/>
        <w:jc w:val="both"/>
        <w:rPr>
          <w:iCs/>
        </w:rPr>
      </w:pPr>
      <w:r>
        <w:t xml:space="preserve">29. Tanto os serviços de publicidade como os serviços de jogos, na medida em que são prestados, nomeadamente, por via eletrónica (em linha), constituem «serviços da sociedade da informação», na aceção do artigo 1.º, n.º 2, da Diretiva 98/34, e as respetivas regras que podem, por conseguinte, ser consideradas «regras relativas aos serviços», na aceção do artigo 1.º, n.º 5, da Diretiva 98/34.»</w:t>
      </w:r>
    </w:p>
    <w:p w14:paraId="5EFEFCC0" w14:textId="77777777">
      <w:pPr>
        <w:widowControl w:val="0"/>
        <w:autoSpaceDE w:val="0"/>
        <w:autoSpaceDN w:val="0"/>
        <w:spacing w:after="0" w:line="240" w:lineRule="auto"/>
        <w:ind w:left="567"/>
        <w:jc w:val="both"/>
        <w:rPr>
          <w:rFonts w:ascii="Times New Roman" w:hAnsi="Times New Roman" w:cs="Times New Roman" w:eastAsia="Times New Roman"/>
          <w:i/>
          <w:iCs/>
          <w:szCs w:val="20"/>
        </w:rPr>
      </w:pPr>
    </w:p>
    <w:p w14:paraId="41A42BF7" w14:textId="5C64577C">
      <w:pPr>
        <w:pStyle w:val="P68B1DB1-Normal15"/>
        <w:widowControl w:val="0"/>
        <w:autoSpaceDE w:val="0"/>
        <w:autoSpaceDN w:val="0"/>
        <w:spacing w:after="0" w:line="240" w:lineRule="auto"/>
        <w:ind w:left="567"/>
        <w:jc w:val="both"/>
      </w:pPr>
      <w:r>
        <w:t xml:space="preserve">«32. A este respeito, há que salientar, em primeiro lugar, que, nos termos do artigo 1.º, n.º 5, primeiro travessão, da Diretiva 98/34, a questão de saber se uma regra visa especificamente os serviços da sociedade da informação deve ser apreciada à luz tanto da fundamentação como do teor da norma. Além disso, por força dessa mesma disposição, não se exige que a regra em causa tenha na totalidade «por finalidade e por objeto específicos» regulamentar serviços da sociedade da informação, uma vez que é suficiente que essa regra prossiga essa finalidade ou esse objeto em algumas das suas disposições.</w:t>
      </w:r>
    </w:p>
    <w:p w14:paraId="52376DA8" w14:textId="77777777">
      <w:pPr>
        <w:pStyle w:val="P68B1DB1-Normal15"/>
        <w:widowControl w:val="0"/>
        <w:autoSpaceDE w:val="0"/>
        <w:autoSpaceDN w:val="0"/>
        <w:spacing w:after="0" w:line="240" w:lineRule="auto"/>
        <w:ind w:left="567"/>
        <w:jc w:val="both"/>
      </w:pPr>
    </w:p>
    <w:p w14:paraId="0315D791" w14:textId="4196282E">
      <w:pPr>
        <w:pStyle w:val="P68B1DB1-Normal15"/>
        <w:widowControl w:val="0"/>
        <w:autoSpaceDE w:val="0"/>
        <w:autoSpaceDN w:val="0"/>
        <w:spacing w:after="0" w:line="240" w:lineRule="auto"/>
        <w:ind w:left="567"/>
        <w:jc w:val="both"/>
        <w:rPr>
          <w:iCs/>
        </w:rPr>
      </w:pPr>
      <w:r>
        <w:t xml:space="preserve">33. Por conseguinte, se não resultar apenas da redação de uma norma nacional que esta visa, pelo menos em parte, regular especificamente os serviços da sociedade da informação — como no caso em apreço, em que a redação não estabelece qualquer distinção entre serviços prestados fora de linha e serviços prestados em linha — esse objetivo pode, no entanto, ser claramente retirado da fundamentação da regra — mais uma vez, como no caso em apreço, nos termos das regras nacionais de interpretação pertinentes, que permitem, nomeadamente, os trabalhos preparatórios da regra fornecer orientações.»</w:t>
      </w:r>
    </w:p>
    <w:p w14:paraId="4FC111DB" w14:textId="77777777">
      <w:pPr>
        <w:spacing w:after="0" w:line="240" w:lineRule="auto"/>
      </w:pPr>
    </w:p>
    <w:p w14:paraId="61BC4E90" w14:textId="11306B2B">
      <w:pPr>
        <w:pStyle w:val="P68B1DB1-Normal13"/>
        <w:widowControl w:val="0"/>
        <w:autoSpaceDE w:val="0"/>
        <w:autoSpaceDN w:val="0"/>
        <w:spacing w:after="0" w:line="240" w:lineRule="auto"/>
        <w:jc w:val="both"/>
        <w:outlineLvl w:val="1"/>
      </w:pPr>
      <w:hyperlink r:id="rId50" w:history="1">
        <w:r>
          <w:rPr>
            <w:color w:val="0000FF"/>
            <w:u w:val="single"/>
          </w:rPr>
          <w:t xml:space="preserve">Acórdão de 20 de dezembro de 2017</w:t>
        </w:r>
      </w:hyperlink>
      <w:r>
        <w:t xml:space="preserve"> no processo 434/15, Asociación</w:t>
        <w:noBreakHyphen/>
        <w:t xml:space="preserve">Profesional Elite Taxi, n.os 37 e 39 a 41</w:t>
      </w:r>
      <w:bookmarkEnd w:id="75"/>
    </w:p>
    <w:p w14:paraId="101ED87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7072DE" w14:textId="5D866F13">
      <w:pPr>
        <w:widowControl w:val="0"/>
        <w:tabs>
          <w:tab w:val="left" w:pos="446"/>
        </w:tabs>
        <w:autoSpaceDE w:val="0"/>
        <w:autoSpaceDN w:val="0"/>
        <w:spacing w:after="0" w:line="240" w:lineRule="auto"/>
        <w:jc w:val="both"/>
        <w:rPr>
          <w:rFonts w:ascii="Times New Roman" w:hAnsi="Times New Roman" w:cs="Times New Roman" w:eastAsia="Times New Roman"/>
          <w:szCs w:val="20"/>
        </w:rPr>
        <w:pStyle w:val="P68B1DB1-Normal14"/>
      </w:pPr>
      <w:r>
        <w:t xml:space="preserve">Um serviço de intermediação que liga, através de uma aplicação para telemóveis inteligentes e mediante remuneração, condutores não profissionais que utilizam os seus próprios veículos a pessoas que procuram transporte urbano deve ser considerado intrinsecamente ligado a um serviço de transporte e, por conseguinte, qualificado de «serviço no domínio dos transportes» (e não de «serviço da sociedade da informação»).</w:t>
      </w:r>
    </w:p>
    <w:p w14:paraId="39437988" w14:textId="77777777">
      <w:pPr>
        <w:widowControl w:val="0"/>
        <w:tabs>
          <w:tab w:val="left" w:pos="446"/>
        </w:tabs>
        <w:autoSpaceDE w:val="0"/>
        <w:autoSpaceDN w:val="0"/>
        <w:spacing w:after="0" w:line="240" w:lineRule="auto"/>
        <w:jc w:val="both"/>
        <w:rPr>
          <w:rFonts w:ascii="Times New Roman" w:hAnsi="Times New Roman" w:cs="Times New Roman" w:eastAsia="Times New Roman"/>
          <w:szCs w:val="20"/>
        </w:rPr>
      </w:pPr>
    </w:p>
    <w:p w14:paraId="2DF36F50" w14:textId="0FDBA667">
      <w:pPr>
        <w:pStyle w:val="P68B1DB1-Normal15"/>
        <w:widowControl w:val="0"/>
        <w:tabs>
          <w:tab w:val="left" w:pos="446"/>
        </w:tabs>
        <w:autoSpaceDE w:val="0"/>
        <w:autoSpaceDN w:val="0"/>
        <w:spacing w:after="0" w:line="240" w:lineRule="auto"/>
        <w:ind w:left="567"/>
        <w:jc w:val="both"/>
        <w:rPr>
          <w:iCs/>
        </w:rPr>
      </w:pPr>
      <w:r>
        <w:t>«</w:t>
      </w:r>
      <w:bookmarkStart w:id="76" w:name="point37"/>
      <w:r>
        <w:t>37</w:t>
      </w:r>
      <w:bookmarkEnd w:id="76"/>
      <w:r>
        <w:t xml:space="preserve">. Todavia, há que observar que um serviço como o que está em causa no processo principal é mais do que um serviço de intermediação que consiste em ligar, através de uma aplicação para telemóveis inteligentes, um condutor não profissional que utiliza o seu próprio veículo a uma pessoa que pretende efetuar uma viagem urbana.»</w:t>
      </w:r>
    </w:p>
    <w:p w14:paraId="6F022088" w14:textId="77777777">
      <w:pPr>
        <w:widowControl w:val="0"/>
        <w:tabs>
          <w:tab w:val="left" w:pos="446"/>
        </w:tabs>
        <w:autoSpaceDE w:val="0"/>
        <w:autoSpaceDN w:val="0"/>
        <w:spacing w:after="0" w:line="240" w:lineRule="auto"/>
        <w:ind w:left="567"/>
        <w:jc w:val="both"/>
        <w:rPr>
          <w:rFonts w:ascii="Times New Roman" w:hAnsi="Times New Roman" w:cs="Times New Roman" w:eastAsia="Times New Roman"/>
          <w:i/>
          <w:iCs/>
          <w:sz w:val="20"/>
          <w:szCs w:val="16"/>
        </w:rPr>
      </w:pPr>
    </w:p>
    <w:p w14:paraId="311F194E" w14:textId="26FAB3A7">
      <w:pPr>
        <w:pStyle w:val="P68B1DB1-Normal15"/>
        <w:widowControl w:val="0"/>
        <w:tabs>
          <w:tab w:val="left" w:pos="446"/>
        </w:tabs>
        <w:autoSpaceDE w:val="0"/>
        <w:autoSpaceDN w:val="0"/>
        <w:spacing w:after="0" w:line="240" w:lineRule="auto"/>
        <w:ind w:left="567"/>
        <w:jc w:val="both"/>
      </w:pPr>
      <w:r>
        <w:t xml:space="preserve">«39. A este respeito, resulta das informações de que dispõe o Tribunal de Justiça que o serviço de intermediação da Uber assenta na seleção de motoristas não profissionais que utilizam o seu próprio veículo, aos quais esta sociedade fornece uma aplicação sem a qual, por um lado, esses motoristas não seriam levados a prestar serviços de transporte e, por outro, as pessoas que pretendessem efetuar uma deslocação urbana não teriam acesso aos serviços dos referidos motoristas. Além disso, a Uber exerce uma influência decisiva nas condições da prestação desses motoristas. Quanto a este último ponto, verifica-se, designadamente, que a Uber fixa, através da aplicação com o mesmo nome, pelo menos, o preço máximo da corrida, cobra esse preço ao cliente antes de entregar uma parte ao motorista não profissional do veículo e exerce um certo controlo sobre a qualidade dos veículos e dos respetivos motoristas assim como sobre o comportamento destes últimos, que pode implicar, sendo caso disso, a sua exclusão.</w:t>
      </w:r>
    </w:p>
    <w:p w14:paraId="111A8FD1" w14:textId="77777777">
      <w:pPr>
        <w:pStyle w:val="P68B1DB1-Normal15"/>
        <w:widowControl w:val="0"/>
        <w:tabs>
          <w:tab w:val="left" w:pos="446"/>
        </w:tabs>
        <w:autoSpaceDE w:val="0"/>
        <w:autoSpaceDN w:val="0"/>
        <w:spacing w:after="0" w:line="240" w:lineRule="auto"/>
        <w:ind w:left="567"/>
        <w:jc w:val="both"/>
      </w:pPr>
    </w:p>
    <w:p w14:paraId="430C0D88" w14:textId="0D13D8D2">
      <w:pPr>
        <w:pStyle w:val="P68B1DB1-Normal15"/>
        <w:widowControl w:val="0"/>
        <w:tabs>
          <w:tab w:val="left" w:pos="446"/>
        </w:tabs>
        <w:autoSpaceDE w:val="0"/>
        <w:autoSpaceDN w:val="0"/>
        <w:spacing w:after="0" w:line="240" w:lineRule="auto"/>
        <w:ind w:left="567"/>
        <w:jc w:val="both"/>
      </w:pPr>
      <w:r>
        <w:t xml:space="preserve">40. Por conseguinte, há que considerar que este serviço de intermediação faz parte integrante de um serviço global cujo elemento principal é um serviço de transporte e, portanto, não corresponde à qualificação de «serviço da sociedade da informação» na aceção do artigo 1.º, n.º 2, da Diretiva 98/34, para o qual remete o artigo 2.º, alínea a), da Diretiva 2000/31, mas sim de «serviço no domínio dos transportes», na aceção do artigo 2.º, n.º 2, alínea d), da Diretiva 2006/123.</w:t>
      </w:r>
    </w:p>
    <w:p w14:paraId="406FF49F" w14:textId="77777777">
      <w:pPr>
        <w:pStyle w:val="P68B1DB1-Normal15"/>
        <w:widowControl w:val="0"/>
        <w:tabs>
          <w:tab w:val="left" w:pos="446"/>
        </w:tabs>
        <w:autoSpaceDE w:val="0"/>
        <w:autoSpaceDN w:val="0"/>
        <w:spacing w:after="0" w:line="240" w:lineRule="auto"/>
        <w:ind w:left="567"/>
        <w:jc w:val="both"/>
      </w:pPr>
    </w:p>
    <w:p w14:paraId="048208D6" w14:textId="0944F089">
      <w:pPr>
        <w:pStyle w:val="P68B1DB1-Normal15"/>
        <w:widowControl w:val="0"/>
        <w:tabs>
          <w:tab w:val="left" w:pos="446"/>
        </w:tabs>
        <w:autoSpaceDE w:val="0"/>
        <w:autoSpaceDN w:val="0"/>
        <w:spacing w:after="0" w:line="240" w:lineRule="auto"/>
        <w:ind w:left="567"/>
        <w:jc w:val="both"/>
        <w:rPr>
          <w:iCs/>
        </w:rPr>
      </w:pPr>
      <w:r>
        <w:t xml:space="preserve">41. Com efeito, esta qualificação é confirmada pela jurisprudência do Tribunal de Justiça, segundo a qual o conceito de «serviços no domínio dos transportes» inclui não só os serviços de transporte em si, mas também qualquer serviço intrinsecamente ligado a qualquer ato físico de deslocação de pessoas ou de mercadorias de um local para outro por meio de transporte [v., neste sentido, Acórdão de 15 de outubro de 2015, Grupo Itevelesa e o., C-168/14, n.os 45 e 46, e Parecer 2/15 (Acordo de Comércio Livre com Singapura), de 16 de maio de 2017, n.º 61].»</w:t>
      </w:r>
    </w:p>
    <w:p w14:paraId="058FA7B6" w14:textId="77777777">
      <w:pPr>
        <w:spacing w:after="0" w:line="240" w:lineRule="auto"/>
      </w:pPr>
    </w:p>
    <w:p w14:paraId="21433E65" w14:textId="390C959B">
      <w:pPr>
        <w:pStyle w:val="P68B1DB1-Normal13"/>
        <w:widowControl w:val="0"/>
        <w:autoSpaceDE w:val="0"/>
        <w:autoSpaceDN w:val="0"/>
        <w:spacing w:after="0" w:line="240" w:lineRule="auto"/>
        <w:jc w:val="both"/>
        <w:outlineLvl w:val="1"/>
      </w:pPr>
      <w:hyperlink r:id="rId51" w:history="1">
        <w:r>
          <w:rPr>
            <w:color w:val="0000FF"/>
            <w:u w:val="single"/>
          </w:rPr>
          <w:t xml:space="preserve">Acórdão de 10 de abril de 2018</w:t>
        </w:r>
      </w:hyperlink>
      <w:r>
        <w:t xml:space="preserve"> no processo 320/16</w:t>
        <w:noBreakHyphen/>
        <w:t xml:space="preserve">, Uber France, n.os 21 e 22</w:t>
      </w:r>
      <w:bookmarkEnd w:id="77"/>
    </w:p>
    <w:p w14:paraId="2BBD650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1778BB" w14:textId="6B5C30AB">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Uma disposição de direito nacional que impõe sanções penais pela organização de um sistema de ligação entre os clientes e os condutores, sem a necessária autorização, diz respeito a um «serviço no domínio dos transportes» (e não a um «serviço da sociedade da informação»), na medida em que o serviço de intermediação a que se aplica faz parte integrante de um serviço global cuja componente principal é o serviço de transporte.</w:t>
      </w:r>
    </w:p>
    <w:p w14:paraId="484E7398" w14:textId="77777777">
      <w:pPr>
        <w:widowControl w:val="0"/>
        <w:autoSpaceDE w:val="0"/>
        <w:autoSpaceDN w:val="0"/>
        <w:spacing w:after="0" w:line="240" w:lineRule="auto"/>
        <w:jc w:val="both"/>
        <w:rPr>
          <w:rFonts w:ascii="Times New Roman" w:hAnsi="Times New Roman" w:cs="Times New Roman" w:eastAsia="Times New Roman"/>
          <w:szCs w:val="20"/>
        </w:rPr>
      </w:pPr>
    </w:p>
    <w:p w14:paraId="279EDA7F" w14:textId="32F45CF2">
      <w:pPr>
        <w:pStyle w:val="P68B1DB1-Normal15"/>
        <w:widowControl w:val="0"/>
        <w:autoSpaceDE w:val="0"/>
        <w:autoSpaceDN w:val="0"/>
        <w:spacing w:after="0" w:line="240" w:lineRule="auto"/>
        <w:ind w:left="567"/>
        <w:jc w:val="both"/>
      </w:pPr>
      <w:r>
        <w:t xml:space="preserve">«21. [...] o Tribunal de Justiça considerou que o serviço de intermediação prestado pela sociedade em causa estava intrinsecamente ligado à oferta, por essa sociedade, de serviços de transporte urbano não público, tendo em conta, por um lado, que esta sociedade forneceu uma aplicação sem a qual esses condutores não teriam sido levados a prestar serviços de transporte e que as pessoas que pretendiam efetuar uma viagem urbana não teriam utilizado os serviços prestados por esses condutores e, em segundo lugar, que essa sociedade exercia uma influência determinante nas condições em que os serviços eram prestados por esses condutores, nomeadamente, determinando a tarifa máxima, cobrando essa tarifa ao cliente antes de lhe pagar uma parte ao condutor não profissional do veículo, e exercendo um certo controlo sobre a qualidade dos veículos, os condutores e o seu comportamento, o que poderia, em determinadas circunstâncias, conduzir à sua exclusão (v., neste sentido, Acórdão de 20 de dezembro de 2017, Asociación Profesional Elite Taxi, C-434/15, ECLI:EU:C:38:39, n.os e).</w:t>
      </w:r>
    </w:p>
    <w:p w14:paraId="14310B36" w14:textId="77777777">
      <w:pPr>
        <w:pStyle w:val="P68B1DB1-Normal15"/>
        <w:widowControl w:val="0"/>
        <w:autoSpaceDE w:val="0"/>
        <w:autoSpaceDN w:val="0"/>
        <w:spacing w:after="0" w:line="240" w:lineRule="auto"/>
        <w:ind w:left="567"/>
        <w:jc w:val="both"/>
      </w:pPr>
    </w:p>
    <w:p w14:paraId="5AB6B3C6" w14:textId="7B9B1FC8">
      <w:pPr>
        <w:pStyle w:val="P68B1DB1-Normal15"/>
        <w:widowControl w:val="0"/>
        <w:autoSpaceDE w:val="0"/>
        <w:autoSpaceDN w:val="0"/>
        <w:spacing w:after="0" w:line="240" w:lineRule="auto"/>
        <w:ind w:left="567"/>
        <w:jc w:val="both"/>
        <w:rPr>
          <w:iCs/>
        </w:rPr>
      </w:pPr>
      <w:r>
        <w:t xml:space="preserve">22. O Tribunal de Justiça considerou, com base nestes elementos, que o serviço de intermediação em causa nesse processo devia ser considerado parte integrante de um serviço global cuja componente principal era um serviço de transporte e, por conseguinte, devia ser qualificado não de «serviço da sociedade da informação», na aceção do artigo 1.º, n.º 2, da Diretiva 98/34, mas de «serviço no domínio dos transportes», na aceção do artigo 2.º, n.º 2, alínea d), da Diretiva 2006/123 (v., neste sentido, Acórdão de 20 de dezembro de 2017, Asociación Profesional Elite Taxi, C-434/15, n.º 40).»</w:t>
      </w:r>
    </w:p>
    <w:p w14:paraId="061F40AB" w14:textId="77777777">
      <w:pPr>
        <w:spacing w:after="0" w:line="240" w:lineRule="auto"/>
      </w:pPr>
    </w:p>
    <w:p w14:paraId="3262279E" w14:textId="468F0EDF">
      <w:pPr>
        <w:pStyle w:val="P68B1DB1-Normal13"/>
        <w:widowControl w:val="0"/>
        <w:autoSpaceDE w:val="0"/>
        <w:autoSpaceDN w:val="0"/>
        <w:spacing w:after="0" w:line="240" w:lineRule="auto"/>
        <w:jc w:val="both"/>
        <w:outlineLvl w:val="1"/>
      </w:pPr>
      <w:hyperlink r:id="rId52" w:history="1">
        <w:r>
          <w:rPr>
            <w:color w:val="0000FF"/>
            <w:u w:val="single"/>
          </w:rPr>
          <w:t xml:space="preserve">Acórdão do Tribunal de Justiça de 26 de setembro de 2018</w:t>
        </w:r>
      </w:hyperlink>
      <w:r>
        <w:t xml:space="preserve"> no processo C-137/17, Van Gennip e o., n.os 42 e 43.</w:t>
      </w:r>
      <w:bookmarkEnd w:id="78"/>
    </w:p>
    <w:p w14:paraId="7A96B26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0CD5B8C" w14:textId="4108D99A">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As disposições nacionais que subordinam a comercialização de produtos à posse de uma autorização pelo comprador não estão abrangidas pelo conceito de «regra relativa aos serviços», uma vez que não dizem respeito aos «serviços da sociedade da informação».</w:t>
      </w:r>
    </w:p>
    <w:p w14:paraId="5542E2DA"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725B02E1" w14:textId="700F7E6F">
      <w:pPr>
        <w:pStyle w:val="P68B1DB1-Normal15"/>
        <w:widowControl w:val="0"/>
        <w:tabs>
          <w:tab w:val="left" w:pos="404"/>
        </w:tabs>
        <w:autoSpaceDE w:val="0"/>
        <w:autoSpaceDN w:val="0"/>
        <w:spacing w:after="0" w:line="240" w:lineRule="auto"/>
        <w:ind w:left="567"/>
        <w:jc w:val="both"/>
      </w:pPr>
      <w:r>
        <w:t xml:space="preserve">«42. No que respeita, em terceiro lugar, à categoria «regra relativa aos serviços», há que recordar que, nos termos do artigo 1.º, ponto 5, da Diretiva 98/34, essa regra constitui qualquer exigência de caráter geral relativa ao acesso aos serviços referidos no artigo 1.º, ponto 2, desta diretiva e ao seu exercício, que designa «qualquer serviço da sociedade da informação, isto é, qualquer serviço prestado normalmente mediante remuneração, à distância, por via eletrónica e mediante pedido individual de um destinatário de serviços» (Acórdão de 4 de fevereiro de 2016, Ince, C-336/14, n.º 74).</w:t>
      </w:r>
    </w:p>
    <w:p w14:paraId="288A6CC6" w14:textId="77777777">
      <w:pPr>
        <w:pStyle w:val="P68B1DB1-Normal15"/>
        <w:widowControl w:val="0"/>
        <w:tabs>
          <w:tab w:val="left" w:pos="404"/>
        </w:tabs>
        <w:autoSpaceDE w:val="0"/>
        <w:autoSpaceDN w:val="0"/>
        <w:spacing w:after="0" w:line="240" w:lineRule="auto"/>
        <w:ind w:left="567"/>
        <w:jc w:val="both"/>
      </w:pPr>
    </w:p>
    <w:p w14:paraId="3C78C196" w14:textId="64CBA9D2">
      <w:pPr>
        <w:pStyle w:val="P68B1DB1-Normal15"/>
        <w:widowControl w:val="0"/>
        <w:tabs>
          <w:tab w:val="left" w:pos="404"/>
        </w:tabs>
        <w:autoSpaceDE w:val="0"/>
        <w:autoSpaceDN w:val="0"/>
        <w:spacing w:after="0" w:line="240" w:lineRule="auto"/>
        <w:ind w:left="567"/>
        <w:jc w:val="both"/>
        <w:rPr>
          <w:iCs/>
        </w:rPr>
      </w:pPr>
      <w:r>
        <w:t xml:space="preserve">43. No caso vertente, importa referir, como sustentou o advogado-geral no n.º 73 das suas conclusões, que a legislação em causa no processo principal não é relativa aos serviços da sociedade de informação, na aceção do artigo 1.º, ponto 2, da Diretiva 98/34. Por conseguinte, essa legislação não pode ser abrangida pela categoria «regra relativa aos serviços» da sociedade da informação, na aceção do artigo 1.º, ponto 5, da referida diretiva.»</w:t>
      </w:r>
    </w:p>
    <w:p w14:paraId="09A4A6F8" w14:textId="77777777">
      <w:pPr>
        <w:spacing w:after="0" w:line="240" w:lineRule="auto"/>
      </w:pPr>
    </w:p>
    <w:p w14:paraId="037D644A" w14:textId="0A9F4072">
      <w:pPr>
        <w:pStyle w:val="P68B1DB1-Normal13"/>
        <w:widowControl w:val="0"/>
        <w:autoSpaceDE w:val="0"/>
        <w:autoSpaceDN w:val="0"/>
        <w:spacing w:after="0" w:line="240" w:lineRule="auto"/>
        <w:jc w:val="both"/>
        <w:outlineLvl w:val="1"/>
      </w:pPr>
      <w:hyperlink r:id="rId53" w:history="1">
        <w:r>
          <w:rPr>
            <w:color w:val="0000FF"/>
            <w:u w:val="single"/>
          </w:rPr>
          <w:t xml:space="preserve">Acórdão de 12 de setembro de 2019</w:t>
        </w:r>
      </w:hyperlink>
      <w:r>
        <w:t xml:space="preserve"> no processo C-299/17, VG Media, n.os 32, 33 e 36</w:t>
      </w:r>
      <w:bookmarkEnd w:id="79"/>
    </w:p>
    <w:p w14:paraId="7C7D0A2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D8C5548"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Uma disposição nacional que proíbe os operadores comerciais de motores de busca e os prestadores de serviços de conteúdos comerciais de disponibilizarem jornais ao público constitui uma «regra técnica» e deve ser notificada à Comissão.</w:t>
      </w:r>
    </w:p>
    <w:p w14:paraId="0BB0ABF6" w14:textId="77777777">
      <w:pPr>
        <w:widowControl w:val="0"/>
        <w:autoSpaceDE w:val="0"/>
        <w:autoSpaceDN w:val="0"/>
        <w:spacing w:after="0" w:line="240" w:lineRule="auto"/>
        <w:jc w:val="both"/>
        <w:rPr>
          <w:rFonts w:ascii="Times New Roman" w:hAnsi="Times New Roman" w:cs="Times New Roman" w:eastAsia="Times New Roman"/>
          <w:szCs w:val="20"/>
        </w:rPr>
      </w:pPr>
    </w:p>
    <w:p w14:paraId="358DF62E" w14:textId="3E77F068">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Considera-se que uma regra visa especificamente os «serviços da sociedade da informação» se determinadas disposições prosseguirem esse objetivo, mesmo que não seja o seu objetivo exclusivo. Este objetivo pode ser deduzido da fundamentação da norma, que pode figurar nos trabalhos preparatórios, mesmo que não resulte expressamente da própria redação da norma.</w:t>
      </w:r>
    </w:p>
    <w:p w14:paraId="2BFD5FE9" w14:textId="77777777">
      <w:pPr>
        <w:widowControl w:val="0"/>
        <w:autoSpaceDE w:val="0"/>
        <w:autoSpaceDN w:val="0"/>
        <w:spacing w:after="0" w:line="240" w:lineRule="auto"/>
        <w:jc w:val="both"/>
        <w:rPr>
          <w:rFonts w:ascii="Times New Roman" w:hAnsi="Times New Roman" w:cs="Times New Roman" w:eastAsia="Times New Roman"/>
          <w:szCs w:val="20"/>
        </w:rPr>
      </w:pPr>
    </w:p>
    <w:p w14:paraId="2032E553" w14:textId="2A9A7661">
      <w:pPr>
        <w:pStyle w:val="P68B1DB1-Normal15"/>
        <w:widowControl w:val="0"/>
        <w:autoSpaceDE w:val="0"/>
        <w:autoSpaceDN w:val="0"/>
        <w:spacing w:after="0" w:line="240" w:lineRule="auto"/>
        <w:ind w:left="567"/>
        <w:jc w:val="both"/>
      </w:pPr>
      <w:r>
        <w:t xml:space="preserve">«32. A este respeito, há que salientar que, nos termos do artigo 1.º, n.º 5, quinto parágrafo, primeiro travessão, desta diretiva, se considera que uma regra visa especificamente os serviços da sociedade da informação à luz tanto da sua fundamentação como do texto do seu dispositivo. Por outro lado, nos termos desta mesma disposição, não é exigido que «o objetivo específico e o objetivo» de toda a regra em causa sejam regular os serviços da sociedade da informação, uma vez que basta que a regra prossiga esse objetivo ou esse objetivo em algumas das suas disposições (Acórdão de 20 de dezembro de 2017, Falbert e o., C-255/16, n.º 32).</w:t>
      </w:r>
    </w:p>
    <w:p w14:paraId="5B946C01" w14:textId="77777777">
      <w:pPr>
        <w:pStyle w:val="P68B1DB1-Normal15"/>
        <w:widowControl w:val="0"/>
        <w:autoSpaceDE w:val="0"/>
        <w:autoSpaceDN w:val="0"/>
        <w:spacing w:after="0" w:line="240" w:lineRule="auto"/>
        <w:ind w:left="567"/>
        <w:jc w:val="both"/>
      </w:pPr>
    </w:p>
    <w:p w14:paraId="6C09ADB6" w14:textId="15077D61">
      <w:pPr>
        <w:pStyle w:val="P68B1DB1-Normal15"/>
        <w:widowControl w:val="0"/>
        <w:autoSpaceDE w:val="0"/>
        <w:autoSpaceDN w:val="0"/>
        <w:spacing w:after="0" w:line="240" w:lineRule="auto"/>
        <w:ind w:left="567"/>
        <w:jc w:val="both"/>
        <w:rPr>
          <w:iCs/>
        </w:rPr>
      </w:pPr>
      <w:r>
        <w:t xml:space="preserve">33. Além disso, mesmo que não resulte apenas da redação de uma norma nacional que esta visa, pelo menos em parte, regular especificamente os serviços da sociedade da informação, esse objetivo pode, no entanto, ser facilmente deduzido da fundamentação da norma, tal como resulta das regras nacionais de interpretação pertinentes a este respeito, nomeadamente dos trabalhos preparatórios da regra (v., neste sentido, Acórdão de 20 de dezembro de 2017, Falbert e o., C-255/16, n.º 33).»</w:t>
      </w:r>
    </w:p>
    <w:p w14:paraId="4A5A1EDF"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7E5F1F4F" w14:textId="288395A0">
      <w:pPr>
        <w:pStyle w:val="P68B1DB1-Normal15"/>
        <w:widowControl w:val="0"/>
        <w:autoSpaceDE w:val="0"/>
        <w:autoSpaceDN w:val="0"/>
        <w:spacing w:after="0" w:line="240" w:lineRule="auto"/>
        <w:ind w:left="567"/>
        <w:jc w:val="both"/>
        <w:rPr>
          <w:iCs/>
        </w:rPr>
      </w:pPr>
      <w:r>
        <w:t>«</w:t>
      </w:r>
      <w:bookmarkStart w:id="80" w:name="point36"/>
      <w:r>
        <w:t>36</w:t>
      </w:r>
      <w:bookmarkEnd w:id="80"/>
      <w:r>
        <w:t xml:space="preserve">. Com efeito, embora o órgão jurisdicional de reenvio não forneça indicações claras sobre a finalidade e o objeto específicos da regulamentação nacional em causa no processo principal, resulta todavia das observações apresentadas pelo Governo alemão na audiência realizada no Tribunal de Justiça que, inicialmente, a alteração da UrhG visava especificamente os prestadores de serviços de motores de busca na Internet. Por outro lado, as partes no processo principal e a Comissão indicam, nas respetivas observações escritas, que esta regulamentação tinha como objetivo proteger os interesses legítimos dos editores da imprensa no mundo do digital. Por conseguinte, afigura-se que a proteção destes editores contra as violações dos direitos de autor cometidas pelos motores de busca em linha constituía o objeto principal e a finalidade da disposição nacional em causa no processo principal. Neste contexto, a proteção parece ter sido considerada necessária apenas para as violações sistemáticas de obras de editores em linha por parte dos prestadores de serviços da sociedade da informação.»</w:t>
      </w:r>
    </w:p>
    <w:p w14:paraId="5918FFD9" w14:textId="77777777">
      <w:pPr>
        <w:spacing w:after="0" w:line="240" w:lineRule="auto"/>
      </w:pPr>
    </w:p>
    <w:p w14:paraId="76F47905" w14:textId="651D9AB2">
      <w:pPr>
        <w:pStyle w:val="P68B1DB1-Normal13"/>
        <w:spacing w:after="0" w:line="240" w:lineRule="auto"/>
      </w:pPr>
      <w:hyperlink r:id="rId54" w:history="1">
        <w:r>
          <w:rPr>
            <w:color w:val="0000FF"/>
            <w:u w:val="single"/>
          </w:rPr>
          <w:t xml:space="preserve">Acórdão de 19 de dezembro de 2019</w:t>
        </w:r>
      </w:hyperlink>
      <w:r>
        <w:t xml:space="preserve"> no processo 390/18</w:t>
        <w:noBreakHyphen/>
        <w:t xml:space="preserve">, Airbnb Ireland, n.os 64 a 68 e 99</w:t>
      </w:r>
    </w:p>
    <w:p w14:paraId="1BD3BE16" w14:textId="77777777">
      <w:pPr>
        <w:widowControl w:val="0"/>
        <w:autoSpaceDE w:val="0"/>
        <w:autoSpaceDN w:val="0"/>
        <w:spacing w:after="0" w:line="240" w:lineRule="auto"/>
        <w:jc w:val="both"/>
        <w:rPr>
          <w:rFonts w:ascii="Times New Roman" w:hAnsi="Times New Roman" w:cs="Times New Roman" w:eastAsia="Times New Roman"/>
          <w:szCs w:val="20"/>
        </w:rPr>
      </w:pPr>
    </w:p>
    <w:p w14:paraId="5CA625E2"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Um serviço de intermediação que liga clientes a anfitriões que oferecem alojamento de curta duração através de uma plataforma eletrónica, ao mesmo tempo que presta serviços auxiliares, constitui um «serviço da sociedade da informação», uma vez que os serviços acessórios não conferem uma influência significativa na prestação dos serviços de alojamento.</w:t>
      </w:r>
    </w:p>
    <w:p w14:paraId="6D083E5E" w14:textId="77777777">
      <w:pPr>
        <w:widowControl w:val="0"/>
        <w:autoSpaceDE w:val="0"/>
        <w:autoSpaceDN w:val="0"/>
        <w:spacing w:after="0" w:line="240" w:lineRule="auto"/>
        <w:jc w:val="both"/>
        <w:rPr>
          <w:rFonts w:ascii="Times New Roman" w:hAnsi="Times New Roman" w:cs="Times New Roman" w:eastAsia="Times New Roman"/>
          <w:szCs w:val="20"/>
        </w:rPr>
      </w:pPr>
    </w:p>
    <w:p w14:paraId="42B56B92" w14:textId="704D923C">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Para que um serviço possa ser qualificado de «serviço da sociedade da informação», deve preencher cumulativamente quatro condições: deve ser prestada mediante remuneração, à distância, por via eletrónica e mediante pedido individual do destinatário.</w:t>
      </w:r>
    </w:p>
    <w:p w14:paraId="1136EA60" w14:textId="77777777">
      <w:pPr>
        <w:widowControl w:val="0"/>
        <w:autoSpaceDE w:val="0"/>
        <w:autoSpaceDN w:val="0"/>
        <w:spacing w:after="0" w:line="240" w:lineRule="auto"/>
        <w:jc w:val="both"/>
        <w:rPr>
          <w:rFonts w:ascii="Times New Roman" w:hAnsi="Times New Roman" w:cs="Times New Roman" w:eastAsia="Times New Roman"/>
          <w:szCs w:val="20"/>
        </w:rPr>
      </w:pPr>
    </w:p>
    <w:p w14:paraId="6389A1A6" w14:textId="0A8C6391">
      <w:pPr>
        <w:pStyle w:val="P68B1DB1-Normal15"/>
        <w:widowControl w:val="0"/>
        <w:autoSpaceDE w:val="0"/>
        <w:autoSpaceDN w:val="0"/>
        <w:spacing w:after="0" w:line="240" w:lineRule="auto"/>
        <w:ind w:left="567"/>
        <w:jc w:val="both"/>
      </w:pPr>
      <w:r>
        <w:t xml:space="preserve">«64. Mesmo tomadas no seu conjunto, as prestações, opcionais ou não, efetuadas pela Airbnb Ireland e referidas nos n.os 59 a 63 do presente acórdão não permitem pôr em causa o caráter dissociável do serviço de intermediação prestado por essa sociedade e, consequentemente, a sua qualificação de «serviço da sociedade da informação», a menos que se alterem substancialmente as características específicas desse serviço. A este respeito, seria igualmente paradoxal que essas prestações acessórias de valor acrescentado prestadas por uma plataforma eletrónica aos seus clientes, nomeadamente para se distinguirem dos seus concorrentes, pudessem, na falta de elementos suplementares, conduzir a uma alteração da natureza e, consequentemente, da qualificação jurídica da atividade desta última, como observou o advogado-geral no n.°46 das suas conclusões.</w:t>
      </w:r>
    </w:p>
    <w:p w14:paraId="320B5232" w14:textId="77777777">
      <w:pPr>
        <w:pStyle w:val="P68B1DB1-Normal15"/>
        <w:widowControl w:val="0"/>
        <w:autoSpaceDE w:val="0"/>
        <w:autoSpaceDN w:val="0"/>
        <w:spacing w:after="0" w:line="240" w:lineRule="auto"/>
        <w:ind w:left="567"/>
        <w:jc w:val="both"/>
      </w:pPr>
    </w:p>
    <w:p w14:paraId="775D096C" w14:textId="35786B0F">
      <w:pPr>
        <w:pStyle w:val="P68B1DB1-Normal15"/>
        <w:widowControl w:val="0"/>
        <w:autoSpaceDE w:val="0"/>
        <w:autoSpaceDN w:val="0"/>
        <w:spacing w:after="0" w:line="240" w:lineRule="auto"/>
        <w:ind w:left="567"/>
        <w:jc w:val="both"/>
      </w:pPr>
      <w:r>
        <w:t xml:space="preserve">65. Além disso, contrariamente ao que sustentam a AHTOP e o Governo francês, as regras de funcionamento de um serviço de intermediação como o prestado pela Airbnb não podem ser equiparadas às do serviço de intermediação que deu origem aos Acórdãos de 20 de dezembro de 2017, Asociación Profesional Elite Taxi (C-434/15, n.º 39), e de 10 de abril de 2018, Uber France (C-320/16, n.º 21).</w:t>
      </w:r>
    </w:p>
    <w:p w14:paraId="473F7C74" w14:textId="77777777">
      <w:pPr>
        <w:pStyle w:val="P68B1DB1-Normal15"/>
        <w:widowControl w:val="0"/>
        <w:autoSpaceDE w:val="0"/>
        <w:autoSpaceDN w:val="0"/>
        <w:spacing w:after="0" w:line="240" w:lineRule="auto"/>
        <w:ind w:left="567"/>
        <w:jc w:val="both"/>
      </w:pPr>
    </w:p>
    <w:p w14:paraId="699650AB" w14:textId="336149BD">
      <w:pPr>
        <w:pStyle w:val="P68B1DB1-Normal15"/>
        <w:widowControl w:val="0"/>
        <w:autoSpaceDE w:val="0"/>
        <w:autoSpaceDN w:val="0"/>
        <w:spacing w:after="0" w:line="240" w:lineRule="auto"/>
        <w:ind w:left="567"/>
        <w:jc w:val="both"/>
      </w:pPr>
      <w:r>
        <w:t xml:space="preserve">66. Para além do facto de os referidos acórdãos terem sido proferidos no contexto específico do transporte urbano de pessoas a que se aplica o artigo 58.º, n.º 1, TFUE, e de os serviços prestados pela Airbnb Ireland não serem comparáveis com os que estão em causa nos processos que deram origem aos acórdãos mencionados no número anterior, as prestações acessórias referidas nos n.os 59 a 63 do presente acórdão não permitem revelar o nível de controlo verificado pelo Tribunal de Justiça naqueles acórdãos.</w:t>
      </w:r>
    </w:p>
    <w:p w14:paraId="46A1AADB" w14:textId="77777777">
      <w:pPr>
        <w:pStyle w:val="P68B1DB1-Normal15"/>
        <w:widowControl w:val="0"/>
        <w:autoSpaceDE w:val="0"/>
        <w:autoSpaceDN w:val="0"/>
        <w:spacing w:after="0" w:line="240" w:lineRule="auto"/>
        <w:ind w:left="567"/>
        <w:jc w:val="both"/>
      </w:pPr>
    </w:p>
    <w:p w14:paraId="43245B44" w14:textId="73F9E124">
      <w:pPr>
        <w:pStyle w:val="P68B1DB1-Normal15"/>
        <w:widowControl w:val="0"/>
        <w:autoSpaceDE w:val="0"/>
        <w:autoSpaceDN w:val="0"/>
        <w:spacing w:after="0" w:line="240" w:lineRule="auto"/>
        <w:ind w:left="567"/>
        <w:jc w:val="both"/>
      </w:pPr>
      <w:r>
        <w:t xml:space="preserve">67. Assim, o Tribunal de Justiça declarou, nesses acórdãos, que a Uber exercia uma influência determinante nas condições em que os serviços de transporte eram prestados pelos condutores não profissionais utilizando o pedido que lhes foi apresentado por esta sociedade (Acórdãos de 20 de dezembro de 2017, Asociación Profesional Elite Taxi, C-434/15, n.º 39, e de 10 de abril de 2018, Uber France, C-320/16, n.º 21).</w:t>
      </w:r>
    </w:p>
    <w:p w14:paraId="64CE1305" w14:textId="77777777">
      <w:pPr>
        <w:pStyle w:val="P68B1DB1-Normal15"/>
        <w:widowControl w:val="0"/>
        <w:autoSpaceDE w:val="0"/>
        <w:autoSpaceDN w:val="0"/>
        <w:spacing w:after="0" w:line="240" w:lineRule="auto"/>
        <w:ind w:left="567"/>
        <w:jc w:val="both"/>
      </w:pPr>
    </w:p>
    <w:p w14:paraId="44EC953C" w14:textId="0BF6EC00">
      <w:pPr>
        <w:pStyle w:val="P68B1DB1-Normal15"/>
        <w:widowControl w:val="0"/>
        <w:autoSpaceDE w:val="0"/>
        <w:autoSpaceDN w:val="0"/>
        <w:spacing w:after="0" w:line="240" w:lineRule="auto"/>
        <w:ind w:left="567"/>
        <w:jc w:val="both"/>
      </w:pPr>
      <w:r>
        <w:t xml:space="preserve">68. Os elementos mencionados pelo órgão jurisdicional de reenvio e recordados no n.º 19 do presente acórdão não demonstram que a Airbnb Ireland exerça tal influência determinante nas condições de prestação dos serviços de alojamento a que se refere o seu serviço de intermediação, tanto mais que a Airbnb Ireland não determina, direta ou indiretamente, o preço de arrendamento cobrado, como foi estabelecido nos n.os 56 e 62 do presente acórdão, e ainda menos seleciona os anfitriões ou o alojamento disponibilizado para arrendamento na sua plataforma.»</w:t>
      </w:r>
    </w:p>
    <w:p w14:paraId="4325E66E"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2005D651" w14:textId="190F88B2">
      <w:pPr>
        <w:pStyle w:val="P68B1DB1-Normal15"/>
        <w:widowControl w:val="0"/>
        <w:autoSpaceDE w:val="0"/>
        <w:autoSpaceDN w:val="0"/>
        <w:spacing w:after="0" w:line="240" w:lineRule="auto"/>
        <w:ind w:left="567"/>
        <w:jc w:val="both"/>
        <w:rPr>
          <w:iCs/>
        </w:rPr>
      </w:pPr>
      <w:r>
        <w:t>«</w:t>
      </w:r>
      <w:bookmarkStart w:id="81" w:name="point99"/>
      <w:r>
        <w:t>99</w:t>
      </w:r>
      <w:bookmarkEnd w:id="81"/>
      <w:r>
        <w:t xml:space="preserve">. Tendo em conta que a República Francesa não notificou a lei Hoguet e tendo em conta o caráter cumulativo dos requisitos previstos no artigo 3.º, n.º 4, da Diretiva 2000/31, recordados nos n.os 84 e 85 do presente acórdão, há que considerar que esta lei não pode, em todo o caso, ser aplicada a um particular que se encontre numa situação como a da Airbnb Ireland no processo principal, independentemente da questão de saber se esta lei preenche os outros requisitos previstos nesta disposição.»</w:t>
      </w:r>
    </w:p>
    <w:p w14:paraId="261461B1" w14:textId="77777777">
      <w:pPr>
        <w:spacing w:after="0" w:line="240" w:lineRule="auto"/>
      </w:pPr>
    </w:p>
    <w:p w14:paraId="602C58A9" w14:textId="0E3EBA31">
      <w:pPr>
        <w:pStyle w:val="P68B1DB1-Normal13"/>
        <w:widowControl w:val="0"/>
        <w:autoSpaceDE w:val="0"/>
        <w:autoSpaceDN w:val="0"/>
        <w:spacing w:after="0" w:line="240" w:lineRule="auto"/>
        <w:jc w:val="both"/>
        <w:outlineLvl w:val="1"/>
      </w:pPr>
      <w:hyperlink r:id="rId55" w:history="1">
        <w:r>
          <w:rPr>
            <w:color w:val="0000FF"/>
            <w:u w:val="single"/>
          </w:rPr>
          <w:t xml:space="preserve">Acórdão de 22 de outubro de 2020</w:t>
        </w:r>
      </w:hyperlink>
      <w:r>
        <w:t xml:space="preserve">, Sportingbet e Internet Opportunity Entertainment, C</w:t>
        <w:noBreakHyphen/>
        <w:t xml:space="preserve">275/19, segs., n.os 47 a 49</w:t>
      </w:r>
      <w:bookmarkEnd w:id="82"/>
    </w:p>
    <w:p w14:paraId="2052450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2E09A3" w14:textId="049CB57F">
      <w:pPr>
        <w:pStyle w:val="P68B1DB1-Normal14"/>
        <w:widowControl w:val="0"/>
        <w:autoSpaceDE w:val="0"/>
        <w:autoSpaceDN w:val="0"/>
        <w:spacing w:after="0" w:line="240" w:lineRule="auto"/>
        <w:jc w:val="both"/>
        <w:outlineLvl w:val="1"/>
      </w:pPr>
      <w:bookmarkStart w:id="83" w:name="_Toc198043836"/>
      <w:r>
        <w:t xml:space="preserve">Uma legislação que confere a uma entidade pública o direito exclusivo de explorar determinados jogos de fortuna ou azar, incluindo na Internet, está abrangida pelo conceito de «regras relativas aos serviços», na medida em que dizem respeito a um serviço da sociedade da informação.</w:t>
      </w:r>
      <w:bookmarkEnd w:id="83"/>
    </w:p>
    <w:p w14:paraId="7434769F"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312EA22E" w14:textId="5FE50AED">
      <w:pPr>
        <w:pStyle w:val="P68B1DB1-Normal15"/>
        <w:widowControl w:val="0"/>
        <w:autoSpaceDE w:val="0"/>
        <w:autoSpaceDN w:val="0"/>
        <w:spacing w:after="0" w:line="240" w:lineRule="auto"/>
        <w:ind w:left="567"/>
        <w:jc w:val="both"/>
        <w:outlineLvl w:val="1"/>
        <w:rPr>
          <w:bCs/>
        </w:rPr>
      </w:pPr>
      <w:bookmarkStart w:id="84" w:name="_Toc198043837"/>
      <w:r>
        <w:t xml:space="preserve">«47. Nos termos do artigo 1.º, n.º 5, desta diretiva, as «regras relativas aos serviços» consistem em todas as exigências de caráter geral relativas ao acesso às atividades de serviços referidas no artigo 1.º, n.º 2, da referida diretiva e ao seu exercício, entre as quais se incluem «qualquer serviço da sociedade da informação, isto é, qualquer serviço prestado normalmente mediante remuneração, à distância, por via eletrónica e mediante pedido individual de um destinatário de serviços».</w:t>
      </w:r>
      <w:bookmarkEnd w:id="84"/>
    </w:p>
    <w:p w14:paraId="65107F99" w14:textId="77777777">
      <w:pPr>
        <w:pStyle w:val="P68B1DB1-Normal15"/>
        <w:widowControl w:val="0"/>
        <w:autoSpaceDE w:val="0"/>
        <w:autoSpaceDN w:val="0"/>
        <w:spacing w:after="0" w:line="240" w:lineRule="auto"/>
        <w:ind w:left="567"/>
        <w:jc w:val="both"/>
        <w:outlineLvl w:val="1"/>
        <w:rPr>
          <w:bCs/>
        </w:rPr>
      </w:pPr>
    </w:p>
    <w:p w14:paraId="44FBF5F6" w14:textId="02996DEF">
      <w:pPr>
        <w:pStyle w:val="P68B1DB1-Normal15"/>
        <w:widowControl w:val="0"/>
        <w:autoSpaceDE w:val="0"/>
        <w:autoSpaceDN w:val="0"/>
        <w:spacing w:after="0" w:line="240" w:lineRule="auto"/>
        <w:ind w:left="567"/>
        <w:jc w:val="both"/>
        <w:outlineLvl w:val="1"/>
        <w:rPr>
          <w:bCs/>
        </w:rPr>
      </w:pPr>
      <w:bookmarkStart w:id="85" w:name="_Toc198043838"/>
      <w:r>
        <w:t xml:space="preserve">48. A este respeito, o Tribunal de Justiça já declarou que as disposições relativas à proibição de oferecer jogos de fortuna ou azar na Internet, às exceções a esta proibição, às restrições impostas à oferta de apostas desportivas na Internet e à proibição de difundir anúncios de jogos de fortuna ou azar na Internet podem ser qualificadas de «regras relativas aos serviços», na aceção do artigo 1.º, n.º 5, da Diretiva 98/34, na medida em que digam respeito a um «serviço da sociedade da informação» na aceção do artigo 1.º, n.º 2, desta diretiva (v., por analogia, Acórdão de 4 de fevereiro de 2016, Ince, C-336/14, n.º 75).</w:t>
      </w:r>
      <w:bookmarkEnd w:id="85"/>
    </w:p>
    <w:p w14:paraId="1117AEFE" w14:textId="77777777">
      <w:pPr>
        <w:pStyle w:val="P68B1DB1-Normal15"/>
        <w:widowControl w:val="0"/>
        <w:autoSpaceDE w:val="0"/>
        <w:autoSpaceDN w:val="0"/>
        <w:spacing w:after="0" w:line="240" w:lineRule="auto"/>
        <w:ind w:left="567"/>
        <w:jc w:val="both"/>
        <w:outlineLvl w:val="1"/>
        <w:rPr>
          <w:bCs/>
        </w:rPr>
      </w:pPr>
    </w:p>
    <w:p w14:paraId="6626E676" w14:textId="509677C9">
      <w:pPr>
        <w:pStyle w:val="P68B1DB1-Normal15"/>
        <w:widowControl w:val="0"/>
        <w:autoSpaceDE w:val="0"/>
        <w:autoSpaceDN w:val="0"/>
        <w:spacing w:after="0" w:line="240" w:lineRule="auto"/>
        <w:ind w:left="567"/>
        <w:jc w:val="both"/>
        <w:outlineLvl w:val="1"/>
        <w:rPr>
          <w:bCs/>
        </w:rPr>
      </w:pPr>
      <w:bookmarkStart w:id="86" w:name="_Toc198043839"/>
      <w:r>
        <w:t xml:space="preserve">49. No caso em apreço, as regras previstas nos artigos 2.º e 3.º do Decreto-Lei n.º 282/2003 referem-se especificamente aos serviços da sociedade da informação. Além disso, na sequência da atribuição à Santa Casa do direito exclusivo de exploração de jogos de fortuna ou azar na Internet, estas disposições proíbem todos os operadores económicos de prestarem esses serviços, com exceção da Santa Casa.»</w:t>
      </w:r>
      <w:bookmarkEnd w:id="86"/>
    </w:p>
    <w:p w14:paraId="4D056F67" w14:textId="77777777">
      <w:pPr>
        <w:spacing w:after="0" w:line="240" w:lineRule="auto"/>
      </w:pPr>
    </w:p>
    <w:p w14:paraId="07196289" w14:textId="29A89F4E">
      <w:pPr>
        <w:pStyle w:val="P68B1DB1-Normal13"/>
        <w:widowControl w:val="0"/>
        <w:autoSpaceDE w:val="0"/>
        <w:autoSpaceDN w:val="0"/>
        <w:spacing w:after="0" w:line="240" w:lineRule="auto"/>
        <w:jc w:val="both"/>
        <w:outlineLvl w:val="1"/>
      </w:pPr>
      <w:hyperlink r:id="rId56" w:history="1">
        <w:r>
          <w:rPr>
            <w:color w:val="0000FF"/>
            <w:u w:val="single"/>
          </w:rPr>
          <w:t xml:space="preserve">Acórdão de 3 de dezembro de 2020</w:t>
        </w:r>
      </w:hyperlink>
      <w:r>
        <w:t xml:space="preserve">, Star Taxi App (C</w:t>
        <w:noBreakHyphen/>
        <w:t xml:space="preserve">62/19), n.os 52 a 54 e 64 a 66</w:t>
      </w:r>
      <w:bookmarkEnd w:id="87"/>
    </w:p>
    <w:p w14:paraId="73E5D15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B75F1E" w14:textId="4E123154">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Um serviço de intermediação que se limita a ligar clientes a motoristas de táxi já autorizados — sem organizar ele próprio o serviço de transporte, selecionar motoristas, fixar tarifas ou exercer controlo sobre veículos ou condutores — insere-se na categoria dos «serviços da sociedade da informação».</w:t>
      </w:r>
    </w:p>
    <w:p w14:paraId="53C8E268" w14:textId="77777777">
      <w:pPr>
        <w:widowControl w:val="0"/>
        <w:tabs>
          <w:tab w:val="left" w:pos="437"/>
        </w:tabs>
        <w:autoSpaceDE w:val="0"/>
        <w:autoSpaceDN w:val="0"/>
        <w:spacing w:after="0" w:line="240" w:lineRule="auto"/>
        <w:ind w:hanging="142"/>
        <w:jc w:val="both"/>
        <w:rPr>
          <w:rFonts w:ascii="Times New Roman" w:hAnsi="Times New Roman" w:cs="Times New Roman" w:eastAsia="Times New Roman"/>
          <w:szCs w:val="20"/>
        </w:rPr>
      </w:pPr>
    </w:p>
    <w:p w14:paraId="6B04D4DF" w14:textId="22C1A495">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Além disso, uma legislação que não visa especificamente esses serviços, mas que se aplica indistintamente a todas as formas de expedição, incluindo por telefone ou através de uma aplicação, não pode ser qualificada de «regra relativa aos serviços».</w:t>
      </w:r>
    </w:p>
    <w:p w14:paraId="03141058"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7BBE402" w14:textId="02641065">
      <w:pPr>
        <w:pStyle w:val="P68B1DB1-Normal15"/>
        <w:widowControl w:val="0"/>
        <w:tabs>
          <w:tab w:val="left" w:pos="437"/>
        </w:tabs>
        <w:autoSpaceDE w:val="0"/>
        <w:autoSpaceDN w:val="0"/>
        <w:spacing w:after="0" w:line="240" w:lineRule="auto"/>
        <w:ind w:left="567"/>
        <w:jc w:val="both"/>
      </w:pPr>
      <w:r>
        <w:t xml:space="preserve">«52. Com efeito, por um lado, resulta da decisão de reenvio que, diferentemente do serviço de intermediação em causa no processo que deu origem ao Acórdão de 20 de dezembro de 2017, Asociación Profesional Elite Taxi (C-434/15), que oferecia e prestou serviços de transporte urbano acessíveis explorados por motoristas não profissionais anteriormente ausentes do mercado, o serviço em causa no processo principal limita-se, como salientou o advogado-geral no n.º 49 das suas conclusões, a colocar as pessoas que pretendem efetuar trajetos urbanos exclusivamente em contacto com motoristas de táxi autorizados que já exercem essa atividade e para os quais o serviço de intermediação constitui apenas um de vários modos de aquisição de clientes, e não um, de resto, que estão de algum modo obrigados a utilizar.</w:t>
      </w:r>
    </w:p>
    <w:p w14:paraId="0E270EA6" w14:textId="77777777">
      <w:pPr>
        <w:pStyle w:val="P68B1DB1-Normal15"/>
        <w:widowControl w:val="0"/>
        <w:tabs>
          <w:tab w:val="left" w:pos="437"/>
        </w:tabs>
        <w:autoSpaceDE w:val="0"/>
        <w:autoSpaceDN w:val="0"/>
        <w:spacing w:after="0" w:line="240" w:lineRule="auto"/>
        <w:ind w:left="567"/>
        <w:jc w:val="both"/>
      </w:pPr>
    </w:p>
    <w:p w14:paraId="0B69BBB1" w14:textId="47B62163">
      <w:pPr>
        <w:pStyle w:val="P68B1DB1-Normal15"/>
        <w:widowControl w:val="0"/>
        <w:tabs>
          <w:tab w:val="left" w:pos="437"/>
        </w:tabs>
        <w:autoSpaceDE w:val="0"/>
        <w:autoSpaceDN w:val="0"/>
        <w:spacing w:after="0" w:line="240" w:lineRule="auto"/>
        <w:ind w:left="567"/>
        <w:jc w:val="both"/>
      </w:pPr>
      <w:r>
        <w:t xml:space="preserve">53. Segundo, não se pode considerar que esse serviço de intermediação organiza o funcionamento geral do serviço subsequente de deslocação urbana, uma vez que o prestador não seleciona os motoristas de táxis, não fixa ou cobra o preço da corrida, nem controla a qualidade dos veículos e dos seus motoristas ou o desempenho destes últimos.</w:t>
      </w:r>
    </w:p>
    <w:p w14:paraId="7252306B" w14:textId="77777777">
      <w:pPr>
        <w:pStyle w:val="P68B1DB1-Normal15"/>
        <w:widowControl w:val="0"/>
        <w:tabs>
          <w:tab w:val="left" w:pos="437"/>
        </w:tabs>
        <w:autoSpaceDE w:val="0"/>
        <w:autoSpaceDN w:val="0"/>
        <w:spacing w:after="0" w:line="240" w:lineRule="auto"/>
        <w:ind w:left="567"/>
        <w:jc w:val="both"/>
      </w:pPr>
    </w:p>
    <w:p w14:paraId="40C8D3C8" w14:textId="75B913AD">
      <w:pPr>
        <w:pStyle w:val="P68B1DB1-Normal15"/>
        <w:widowControl w:val="0"/>
        <w:tabs>
          <w:tab w:val="left" w:pos="437"/>
        </w:tabs>
        <w:autoSpaceDE w:val="0"/>
        <w:autoSpaceDN w:val="0"/>
        <w:spacing w:after="0" w:line="240" w:lineRule="auto"/>
        <w:ind w:left="567"/>
        <w:jc w:val="both"/>
        <w:rPr>
          <w:iCs/>
        </w:rPr>
      </w:pPr>
      <w:r>
        <w:t xml:space="preserve">54. Daqui resulta que um serviço de intermediação como o prestado pela Star Taxi App não pode ser considerado parte integrante de um serviço global cujo elemento principal é um serviço de transporte e deve, portanto, ser qualificado de «serviço da sociedade da informação», na aceção do artigo 2.º, alínea a), da Diretiva 2000/31.»</w:t>
      </w:r>
    </w:p>
    <w:p w14:paraId="737174FF" w14:textId="77777777">
      <w:pPr>
        <w:widowControl w:val="0"/>
        <w:tabs>
          <w:tab w:val="left" w:pos="437"/>
        </w:tabs>
        <w:autoSpaceDE w:val="0"/>
        <w:autoSpaceDN w:val="0"/>
        <w:spacing w:after="0" w:line="240" w:lineRule="auto"/>
        <w:ind w:left="567" w:hanging="142"/>
        <w:jc w:val="both"/>
        <w:rPr>
          <w:rFonts w:ascii="Times New Roman" w:hAnsi="Times New Roman" w:cs="Times New Roman" w:eastAsia="Times New Roman"/>
          <w:i/>
          <w:iCs/>
          <w:sz w:val="20"/>
          <w:szCs w:val="16"/>
        </w:rPr>
      </w:pPr>
    </w:p>
    <w:p w14:paraId="2D6C8DFE" w14:textId="7A0EB2A0">
      <w:pPr>
        <w:pStyle w:val="P68B1DB1-Normal15"/>
        <w:widowControl w:val="0"/>
        <w:tabs>
          <w:tab w:val="left" w:pos="437"/>
        </w:tabs>
        <w:autoSpaceDE w:val="0"/>
        <w:autoSpaceDN w:val="0"/>
        <w:spacing w:after="0" w:line="240" w:lineRule="auto"/>
        <w:ind w:left="567"/>
        <w:jc w:val="both"/>
      </w:pPr>
      <w:r>
        <w:t xml:space="preserve">«64. No caso em apreço, resulta da decisão de reenvio que a regulamentação romena em causa no processo principal, quer se trate da Lei n.º 38/2003 ou da Decisão n.º 178/2008, não faz qualquer menção aos serviços da sociedade da informação. Além disso, o artigo 3.º, o artigo 21.º, n.º 1, e (31) e o artigo 41.º, n.º 21, do anexo I da Decisão n.º 178/2008 referem-se indistintamente a todos os tipos de serviços de expedição, prestados por telefone ou por qualquer outro meio, como uma aplicação informática.</w:t>
      </w:r>
    </w:p>
    <w:p w14:paraId="38902729" w14:textId="77777777">
      <w:pPr>
        <w:pStyle w:val="P68B1DB1-Normal15"/>
        <w:widowControl w:val="0"/>
        <w:tabs>
          <w:tab w:val="left" w:pos="437"/>
        </w:tabs>
        <w:autoSpaceDE w:val="0"/>
        <w:autoSpaceDN w:val="0"/>
        <w:spacing w:after="0" w:line="240" w:lineRule="auto"/>
        <w:ind w:left="567"/>
        <w:jc w:val="both"/>
      </w:pPr>
    </w:p>
    <w:p w14:paraId="0D3B1A3A" w14:textId="72AECFA4">
      <w:pPr>
        <w:pStyle w:val="P68B1DB1-Normal15"/>
        <w:widowControl w:val="0"/>
        <w:tabs>
          <w:tab w:val="left" w:pos="437"/>
        </w:tabs>
        <w:autoSpaceDE w:val="0"/>
        <w:autoSpaceDN w:val="0"/>
        <w:spacing w:after="0" w:line="240" w:lineRule="auto"/>
        <w:ind w:left="567"/>
        <w:jc w:val="both"/>
      </w:pPr>
      <w:r>
        <w:t xml:space="preserve">65. Por outro lado, como salientou o advogado-geral no n.º 108 das suas conclusões, a Lei n.º 38/2003 exige aos prestadores de serviços de expedição que exercem a sua atividade através de uma aplicação para smartphones, tal como a todos os outros operadores que prestam um serviço de expedição, que possuam equipamentos — no caso concreto emissores-recetores de rádio — sem qualquer utilidade, dadas as modalidades técnicas de prestação desse serviço.</w:t>
      </w:r>
    </w:p>
    <w:p w14:paraId="2F69DDBE" w14:textId="77777777">
      <w:pPr>
        <w:pStyle w:val="P68B1DB1-Normal15"/>
        <w:widowControl w:val="0"/>
        <w:tabs>
          <w:tab w:val="left" w:pos="437"/>
        </w:tabs>
        <w:autoSpaceDE w:val="0"/>
        <w:autoSpaceDN w:val="0"/>
        <w:spacing w:after="0" w:line="240" w:lineRule="auto"/>
        <w:ind w:left="567"/>
        <w:jc w:val="both"/>
      </w:pPr>
    </w:p>
    <w:p w14:paraId="7495A598" w14:textId="143B7510">
      <w:pPr>
        <w:pStyle w:val="P68B1DB1-Normal15"/>
        <w:widowControl w:val="0"/>
        <w:tabs>
          <w:tab w:val="left" w:pos="437"/>
        </w:tabs>
        <w:autoSpaceDE w:val="0"/>
        <w:autoSpaceDN w:val="0"/>
        <w:spacing w:after="0" w:line="240" w:lineRule="auto"/>
        <w:ind w:left="567"/>
        <w:jc w:val="both"/>
        <w:rPr>
          <w:iCs/>
        </w:rPr>
      </w:pPr>
      <w:r>
        <w:t xml:space="preserve">66. Assim, uma vez que não visa especificamente os serviços da sociedade da informação, uma regulamentação como a que está em causa no processo principal só diz respeito a esses serviços de forma implícita ou incidental. Por conseguinte, tal regra não pode ser considerada uma «regra relativa aos serviços», na aceção do artigo 1.º, n.º 1, alínea e), da Diretiva 2015/1535, nem, por conseguinte, uma «regra técnica» na aceção do artigo 1.º, n.º 1, alínea f), desta diretiva.»</w:t>
      </w:r>
    </w:p>
    <w:p w14:paraId="74769673" w14:textId="77777777">
      <w:pPr>
        <w:widowControl w:val="0"/>
        <w:tabs>
          <w:tab w:val="left" w:pos="437"/>
        </w:tabs>
        <w:autoSpaceDE w:val="0"/>
        <w:autoSpaceDN w:val="0"/>
        <w:spacing w:after="0" w:line="240" w:lineRule="auto"/>
        <w:jc w:val="both"/>
        <w:rPr>
          <w:rFonts w:ascii="Times New Roman" w:hAnsi="Times New Roman" w:cs="Times New Roman" w:eastAsia="Times New Roman"/>
          <w:i/>
          <w:iCs/>
          <w:sz w:val="20"/>
          <w:szCs w:val="16"/>
        </w:rPr>
      </w:pPr>
    </w:p>
    <w:p w14:paraId="4ECE591C" w14:textId="291CA601">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7" w:history="1">
        <w:r>
          <w:rPr>
            <w:rStyle w:val="Hyperlink"/>
            <w:rFonts w:ascii="Times New Roman" w:hAnsi="Times New Roman" w:cs="Times New Roman" w:eastAsia="Times New Roman"/>
            <w:b/>
            <w:i/>
            <w:color w:val="0000FF"/>
            <w:szCs w:val="20"/>
          </w:rPr>
          <w:t xml:space="preserve">Acórdão de 29 de fevereiro de 2024</w:t>
        </w:r>
      </w:hyperlink>
      <w:r>
        <w:rPr>
          <w:rFonts w:ascii="Times New Roman" w:hAnsi="Times New Roman" w:cs="Times New Roman" w:eastAsia="Times New Roman"/>
          <w:b/>
          <w:i/>
          <w:szCs w:val="20"/>
        </w:rPr>
        <w:t xml:space="preserve"> no processo C-606/21, Doctipharma SAS, n.os 26 a 30 e 34 a 36</w:t>
      </w:r>
      <w:bookmarkEnd w:id="88"/>
    </w:p>
    <w:p w14:paraId="5D3D60EF"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3D0A5D9F" w14:textId="5B25CF88">
      <w:pPr>
        <w:pStyle w:val="P68B1DB1-BodyText22"/>
      </w:pPr>
      <w:r>
        <w:t xml:space="preserve">A remuneração de um serviço prestado por um prestador de serviços no âmbito de uma atividade económica não tem necessariamente de ser paga pelas pessoas beneficiárias. Isto aplica-se a um serviço prestado num sítio Internet, que consiste em ligar farmacêuticos e clientes para a venda de medicamentos, em que o serviço é remunerado pelos farmacêuticos que subscreveram a sua plataforma com base numa taxa fixa.</w:t>
      </w:r>
    </w:p>
    <w:p w14:paraId="60E238C1" w14:textId="77777777">
      <w:pPr>
        <w:pStyle w:val="P68B1DB1-BodyText22"/>
      </w:pPr>
    </w:p>
    <w:p w14:paraId="16BCA1E5" w14:textId="5221BD03">
      <w:pPr>
        <w:pStyle w:val="P68B1DB1-BodyText22"/>
      </w:pPr>
      <w:r>
        <w:t xml:space="preserve">Tal serviço não faz parte de um serviço global cujo elemento principal está sujeito a outra qualificação jurídica que não o de «serviço da sociedade da informação».</w:t>
      </w:r>
    </w:p>
    <w:p w14:paraId="5D9B8556" w14:textId="77777777">
      <w:pPr>
        <w:pStyle w:val="BodyText"/>
      </w:pPr>
      <w:r>
        <w:t xml:space="preserve"> </w:t>
      </w:r>
    </w:p>
    <w:p w14:paraId="06EE7590" w14:textId="40E0F47A">
      <w:pPr>
        <w:pStyle w:val="P68B1DB1-Normal20"/>
        <w:widowControl w:val="0"/>
        <w:autoSpaceDE w:val="0"/>
        <w:autoSpaceDN w:val="0"/>
        <w:spacing w:after="0" w:line="240" w:lineRule="auto"/>
        <w:ind w:left="567"/>
        <w:jc w:val="both"/>
        <w:outlineLvl w:val="1"/>
        <w:rPr>
          <w:iCs/>
        </w:rPr>
      </w:pPr>
      <w:bookmarkStart w:id="89" w:name="_Toc198043843"/>
      <w:r>
        <w:t xml:space="preserve">«26. [...] O artigo 1.º, n.º 2, da Diretiva 98/34 e o artigo 1.º, n.º 1, alínea b), da Diretiva 2015/1535 definem o conceito de «serviço da sociedade da informação» como «qualquer serviço prestado normalmente mediante remuneração, à distância, por via eletrónica e mediante pedido individual de um destinatário de serviços».</w:t>
      </w:r>
      <w:bookmarkEnd w:id="89"/>
    </w:p>
    <w:p w14:paraId="0520C499" w14:textId="77777777">
      <w:pPr>
        <w:pStyle w:val="P68B1DB1-Normal20"/>
        <w:widowControl w:val="0"/>
        <w:autoSpaceDE w:val="0"/>
        <w:autoSpaceDN w:val="0"/>
        <w:spacing w:after="0" w:line="240" w:lineRule="auto"/>
        <w:ind w:left="567"/>
        <w:jc w:val="both"/>
        <w:outlineLvl w:val="1"/>
        <w:rPr>
          <w:iCs/>
        </w:rPr>
      </w:pPr>
    </w:p>
    <w:p w14:paraId="5522C64C" w14:textId="2B939575">
      <w:pPr>
        <w:pStyle w:val="P68B1DB1-Normal20"/>
        <w:widowControl w:val="0"/>
        <w:autoSpaceDE w:val="0"/>
        <w:autoSpaceDN w:val="0"/>
        <w:spacing w:after="0" w:line="240" w:lineRule="auto"/>
        <w:ind w:left="567"/>
        <w:jc w:val="both"/>
        <w:outlineLvl w:val="1"/>
        <w:rPr>
          <w:iCs/>
        </w:rPr>
      </w:pPr>
      <w:bookmarkStart w:id="90" w:name="_Toc198043844"/>
      <w:r>
        <w:t xml:space="preserve">27. No caso em apreço, no que respeita à primeira condição enunciada nestas disposições, importa recordar que, segundo jurisprudência constante, a remuneração de um serviço prestado por um prestador de serviços no âmbito de uma atividade económica não deve necessariamente ser paga pelas pessoas beneficiárias (v., neste sentido, Acórdãos de 15 de setembro de 2016, Mc Fadden, C-484/14, n.º 41, e de 4 de maio de 2017, Vanderborght, C-339/15, n.º 36).</w:t>
      </w:r>
      <w:bookmarkEnd w:id="90"/>
    </w:p>
    <w:p w14:paraId="321E2B99" w14:textId="77777777">
      <w:pPr>
        <w:pStyle w:val="P68B1DB1-Normal20"/>
        <w:widowControl w:val="0"/>
        <w:autoSpaceDE w:val="0"/>
        <w:autoSpaceDN w:val="0"/>
        <w:spacing w:after="0" w:line="240" w:lineRule="auto"/>
        <w:ind w:left="567"/>
        <w:jc w:val="both"/>
        <w:outlineLvl w:val="1"/>
        <w:rPr>
          <w:iCs/>
        </w:rPr>
      </w:pPr>
    </w:p>
    <w:p w14:paraId="4A7B6C31" w14:textId="12F86ADD">
      <w:pPr>
        <w:pStyle w:val="P68B1DB1-Normal20"/>
        <w:widowControl w:val="0"/>
        <w:autoSpaceDE w:val="0"/>
        <w:autoSpaceDN w:val="0"/>
        <w:spacing w:after="0" w:line="240" w:lineRule="auto"/>
        <w:ind w:left="567"/>
        <w:jc w:val="both"/>
        <w:outlineLvl w:val="1"/>
        <w:rPr>
          <w:iCs/>
        </w:rPr>
      </w:pPr>
      <w:bookmarkStart w:id="91" w:name="_Toc198043845"/>
      <w:r>
        <w:t xml:space="preserve">28. Assim, para efeitos da qualificação de um serviço como o que está em causa no processo principal como sendo abrangido pelo conceito de «serviço da sociedade da informação», na aceção do artigo 1.º, n.º 2, da Diretiva 98/34 e do artigo 1.º, n.º 1, alínea b), da Diretiva 2015/1535, é irrelevante que esse serviço seja prestado a título gratuito ao comprador do medicamento não sujeito a receita médica, se conduzir à celebração, entre o prestador desse serviço e cada farmacêutico que utiliza esse serviço, de um contrato de prestação de serviços que implica um pagamento.</w:t>
      </w:r>
      <w:bookmarkEnd w:id="91"/>
    </w:p>
    <w:p w14:paraId="7BF264F2" w14:textId="77777777">
      <w:pPr>
        <w:pStyle w:val="P68B1DB1-Normal20"/>
        <w:widowControl w:val="0"/>
        <w:autoSpaceDE w:val="0"/>
        <w:autoSpaceDN w:val="0"/>
        <w:spacing w:after="0" w:line="240" w:lineRule="auto"/>
        <w:ind w:left="567"/>
        <w:jc w:val="both"/>
        <w:outlineLvl w:val="1"/>
        <w:rPr>
          <w:iCs/>
        </w:rPr>
      </w:pPr>
    </w:p>
    <w:p w14:paraId="1D178D41" w14:textId="602A287A">
      <w:pPr>
        <w:pStyle w:val="P68B1DB1-Normal20"/>
        <w:widowControl w:val="0"/>
        <w:autoSpaceDE w:val="0"/>
        <w:autoSpaceDN w:val="0"/>
        <w:spacing w:after="0" w:line="240" w:lineRule="auto"/>
        <w:ind w:left="567"/>
        <w:jc w:val="both"/>
        <w:outlineLvl w:val="1"/>
        <w:rPr>
          <w:iCs/>
        </w:rPr>
      </w:pPr>
      <w:bookmarkStart w:id="92" w:name="_Toc198043846"/>
      <w:r>
        <w:t xml:space="preserve">29. Do mesmo modo, são indiferentes a este respeito o facto de, como referiu a Doctipharma, ela ser, ao abrigo das condições gerais de venda, remunerada pelos farmacêuticos que subscreviam a sua plataforma, com base num montante fixo ou ainda, como referiu o Governo Francês, o facto de o serviço prestado pela Doctipharma ser objeto de uma assinatura mensal paga à Doctipharma pelos farmacêuticos clientes e de uma retenção de uma percentagem do montante das vendas, cobrada pela plataforma.</w:t>
      </w:r>
      <w:bookmarkEnd w:id="92"/>
    </w:p>
    <w:p w14:paraId="2B92BB79" w14:textId="77777777">
      <w:pPr>
        <w:pStyle w:val="P68B1DB1-Normal20"/>
        <w:widowControl w:val="0"/>
        <w:autoSpaceDE w:val="0"/>
        <w:autoSpaceDN w:val="0"/>
        <w:spacing w:after="0" w:line="240" w:lineRule="auto"/>
        <w:ind w:left="567"/>
        <w:jc w:val="both"/>
        <w:outlineLvl w:val="1"/>
        <w:rPr>
          <w:iCs/>
        </w:rPr>
      </w:pPr>
    </w:p>
    <w:p w14:paraId="7E01A0AB" w14:textId="05C25972">
      <w:pPr>
        <w:pStyle w:val="P68B1DB1-Normal20"/>
        <w:widowControl w:val="0"/>
        <w:autoSpaceDE w:val="0"/>
        <w:autoSpaceDN w:val="0"/>
        <w:spacing w:after="0" w:line="240" w:lineRule="auto"/>
        <w:ind w:left="567"/>
        <w:jc w:val="both"/>
        <w:outlineLvl w:val="1"/>
        <w:rPr>
          <w:iCs/>
        </w:rPr>
      </w:pPr>
      <w:bookmarkStart w:id="93" w:name="_Toc198043847"/>
      <w:r>
        <w:t xml:space="preserve">30. Daqui resulta que, sem prejuízo das verificações a efetuar pelo órgão jurisdicional de reenvio, deve, em todo o caso, considerar-se que o serviço em causa no processo principal foi prestado mediante remuneração.»</w:t>
      </w:r>
      <w:bookmarkEnd w:id="93"/>
    </w:p>
    <w:p w14:paraId="1F7DABA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01B24EB0" w14:textId="2D56DEB8">
      <w:pPr>
        <w:pStyle w:val="P68B1DB1-Normal20"/>
        <w:widowControl w:val="0"/>
        <w:autoSpaceDE w:val="0"/>
        <w:autoSpaceDN w:val="0"/>
        <w:spacing w:after="0" w:line="240" w:lineRule="auto"/>
        <w:ind w:left="567"/>
        <w:jc w:val="both"/>
        <w:outlineLvl w:val="1"/>
      </w:pPr>
      <w:bookmarkStart w:id="94" w:name="_Toc198043848"/>
      <w:r>
        <w:t xml:space="preserve">«34. Esta conclusão não é posta em causa pela jurisprudência estabelecida pelo Tribunal de Justiça nos Acórdãos de 20 de dezembro de 2017, Asociación Profesional Elite Taxi (C-434/15, segs.), de 19 de dezembro de 2019, Airbnb Ireland (C-390/18), e de 3 de dezembro de 2020, Star Taxi App (C-62/19).</w:t>
      </w:r>
      <w:bookmarkEnd w:id="94"/>
    </w:p>
    <w:p w14:paraId="30816B83" w14:textId="77777777">
      <w:pPr>
        <w:pStyle w:val="P68B1DB1-Normal20"/>
        <w:widowControl w:val="0"/>
        <w:autoSpaceDE w:val="0"/>
        <w:autoSpaceDN w:val="0"/>
        <w:spacing w:after="0" w:line="240" w:lineRule="auto"/>
        <w:ind w:left="567"/>
        <w:jc w:val="both"/>
        <w:outlineLvl w:val="1"/>
      </w:pPr>
    </w:p>
    <w:p w14:paraId="7006558F" w14:textId="15BDEB5C">
      <w:pPr>
        <w:pStyle w:val="P68B1DB1-Normal20"/>
        <w:widowControl w:val="0"/>
        <w:autoSpaceDE w:val="0"/>
        <w:autoSpaceDN w:val="0"/>
        <w:spacing w:after="0" w:line="240" w:lineRule="auto"/>
        <w:ind w:left="567"/>
        <w:jc w:val="both"/>
        <w:outlineLvl w:val="1"/>
      </w:pPr>
      <w:bookmarkStart w:id="95" w:name="_Toc198043849"/>
      <w:r>
        <w:t xml:space="preserve">35. Resulta desta jurisprudência que um serviço que tem por objeto ligar clientes a prestadores de outro serviço de natureza diferente e que preenche todos os requisitos previstos no artigo 1.º, n.º 2, da Diretiva 98/34 e no artigo 1.º, n.º 1, alínea b), da Diretiva 2015/1535 deve ser qualificado de «serviço da sociedade da informação» quando esse serviço é distinto do serviço de natureza diferente prestado por esses prestadores. No entanto, a situação deve ser diferente se se verificar que esse serviço que liga os vendedores aos clientes faz parte integrante de um serviço global cujo elemento principal está sujeito a uma qualificação jurídica diferente da de «serviço da sociedade da informação» (Acórdão de 3 de dezembro de 2020, Star Taxi App, C-62/19, n.º 49 e jurisprudência referida).</w:t>
      </w:r>
      <w:bookmarkEnd w:id="95"/>
    </w:p>
    <w:p w14:paraId="3E0D3F0B" w14:textId="77777777">
      <w:pPr>
        <w:pStyle w:val="P68B1DB1-Normal20"/>
        <w:widowControl w:val="0"/>
        <w:autoSpaceDE w:val="0"/>
        <w:autoSpaceDN w:val="0"/>
        <w:spacing w:after="0" w:line="240" w:lineRule="auto"/>
        <w:ind w:left="567"/>
        <w:jc w:val="both"/>
        <w:outlineLvl w:val="1"/>
      </w:pPr>
    </w:p>
    <w:p w14:paraId="236402DB" w14:textId="039485E5">
      <w:pPr>
        <w:pStyle w:val="P68B1DB1-Normal20"/>
        <w:widowControl w:val="0"/>
        <w:autoSpaceDE w:val="0"/>
        <w:autoSpaceDN w:val="0"/>
        <w:spacing w:after="0" w:line="240" w:lineRule="auto"/>
        <w:ind w:left="567"/>
        <w:jc w:val="both"/>
        <w:outlineLvl w:val="1"/>
      </w:pPr>
      <w:bookmarkStart w:id="96" w:name="_Toc198043850"/>
      <w:r>
        <w:t xml:space="preserve">36. Com efeito, como salientou o advogado-geral nos n.os 28 e 29 das suas conclusões, um serviço de ligação entre farmacêuticos e clientes para efeitos de venda de medicamentos não sujeitos a receita médica a partir dos sítios Internet das farmácias que subscreveram esse serviço não é suscetível de fazer parte integrante de um serviço global cujo elemento principal não pode ser qualificado de «serviço da sociedade da informação».»</w:t>
      </w:r>
      <w:bookmarkEnd w:id="96"/>
    </w:p>
    <w:p w14:paraId="066794C6" w14:textId="77777777">
      <w:pPr>
        <w:pStyle w:val="P68B1DB1-Normal20"/>
        <w:widowControl w:val="0"/>
        <w:autoSpaceDE w:val="0"/>
        <w:autoSpaceDN w:val="0"/>
        <w:spacing w:after="0" w:line="240" w:lineRule="auto"/>
        <w:jc w:val="both"/>
        <w:outlineLvl w:val="1"/>
      </w:pPr>
    </w:p>
    <w:p w14:paraId="3456AF7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8" w:history="1">
        <w:r>
          <w:rPr>
            <w:rStyle w:val="Hyperlink"/>
            <w:rFonts w:ascii="Times New Roman" w:hAnsi="Times New Roman" w:cs="Times New Roman" w:eastAsia="Times New Roman"/>
            <w:b/>
            <w:i/>
            <w:color w:val="0000FF"/>
            <w:szCs w:val="20"/>
          </w:rPr>
          <w:t xml:space="preserve">Acórdão de 13 de março de 2025</w:t>
        </w:r>
      </w:hyperlink>
      <w:r>
        <w:rPr>
          <w:rFonts w:ascii="Times New Roman" w:hAnsi="Times New Roman" w:cs="Times New Roman" w:eastAsia="Times New Roman"/>
          <w:b/>
          <w:i/>
          <w:szCs w:val="20"/>
        </w:rPr>
        <w:t xml:space="preserve">, Unigames UAB, C</w:t>
        <w:noBreakHyphen/>
        <w:t xml:space="preserve">120/24, segs., n.os 38 a 42</w:t>
      </w:r>
      <w:bookmarkEnd w:id="97"/>
    </w:p>
    <w:p w14:paraId="7C95759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0CCCFF25"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A proibição de publicidade aos jogos de fortuna ou azar em sítios de jogo não diz respeito a um serviço publicitário independente do serviço de jogo, mas sim a um serviço indissociável do serviço de jogo em linha. Por conseguinte, para determinar se constitui uma «regra relativa aos serviços», há que examinar, em primeiro lugar, a qualificação dos serviços de jogos em linha como «serviços da sociedade da informação».</w:t>
      </w:r>
    </w:p>
    <w:p w14:paraId="2F64E777"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D107C79" w14:textId="74EE0F8E">
      <w:pPr>
        <w:pStyle w:val="P68B1DB1-Normal15"/>
        <w:widowControl w:val="0"/>
        <w:tabs>
          <w:tab w:val="left" w:pos="437"/>
        </w:tabs>
        <w:autoSpaceDE w:val="0"/>
        <w:autoSpaceDN w:val="0"/>
        <w:spacing w:after="0" w:line="240" w:lineRule="auto"/>
        <w:ind w:left="567"/>
        <w:jc w:val="both"/>
        <w:rPr>
          <w:iCs/>
        </w:rPr>
      </w:pPr>
      <w:r>
        <w:t xml:space="preserve">«38. As considerações expostas nos n.os 36 e 37 do presente acórdão</w:t>
      </w:r>
      <w:r>
        <w:rPr>
          <w:i w:val="0"/>
        </w:rPr>
        <w:t xml:space="preserve"> [segundo as quais os serviços de jogo em linha devem ser considerados «serviços da sociedade da informação»] </w:t>
      </w:r>
      <w:r>
        <w:t xml:space="preserve">não são postas em causa pelo facto de as informações sobre jogos de azar publicadas pelo operador de jogos de fortuna ou azar no seu sítio Internet não serem necessariamente fornecidas «a pedido individual de um destinatário de serviços». Esta publicação de informações não pode, em circunstâncias como as que estão em causa no processo principal, ser considerada um serviço publicitário ou outro serviço prestado aos destinatários dos serviços de jogo à distância, mas constitui uma atividade acessória e indissociável dos serviços de jogo à distância em causa, da qual retira todo o seu significado económico [v., por analogia, Acórdão de 1 de outubro de 2020, A (Publicidade e venda de medicamentos em linha), C-649/18, n.º 56]. Por conseguinte, só os próprios serviços de jogos de fortuna ou azar devem preencher os requisitos pertinentes para serem abrangidos pelo conceito de «serviço», na aceção do artigo 1.º, n.º 1, alínea b), da Diretiva 2015/1535, e a proibição em causa no processo principal, que diz respeito a essa publicação de informações, deve, por sua vez, preencher os critérios específicos previstos no artigo 1.º, n.º 1, alínea e), desta diretiva para ser considerada uma «regra relativa» a esses serviços, na aceção desta última disposição.</w:t>
      </w:r>
    </w:p>
    <w:p w14:paraId="0C84094C" w14:textId="77777777">
      <w:pPr>
        <w:pStyle w:val="P68B1DB1-Normal15"/>
        <w:widowControl w:val="0"/>
        <w:tabs>
          <w:tab w:val="left" w:pos="437"/>
        </w:tabs>
        <w:autoSpaceDE w:val="0"/>
        <w:autoSpaceDN w:val="0"/>
        <w:spacing w:after="0" w:line="240" w:lineRule="auto"/>
        <w:ind w:left="567"/>
        <w:jc w:val="both"/>
        <w:rPr>
          <w:iCs/>
        </w:rPr>
      </w:pPr>
    </w:p>
    <w:p w14:paraId="40656C32" w14:textId="179B1E83">
      <w:pPr>
        <w:pStyle w:val="P68B1DB1-Normal15"/>
        <w:widowControl w:val="0"/>
        <w:tabs>
          <w:tab w:val="left" w:pos="437"/>
        </w:tabs>
        <w:autoSpaceDE w:val="0"/>
        <w:autoSpaceDN w:val="0"/>
        <w:spacing w:after="0" w:line="240" w:lineRule="auto"/>
        <w:ind w:left="567"/>
        <w:jc w:val="both"/>
        <w:rPr>
          <w:iCs/>
        </w:rPr>
      </w:pPr>
      <w:r>
        <w:t xml:space="preserve">39. A este respeito, embora seja pacífico que a proibição em causa no processo principal constitui uma «exigência de caráter geral», na aceção do artigo 1.º, n.º 1, alínea e), da Diretiva 2015/1535, há ainda que examinar, em primeiro lugar, se pode ser considerada «relativa ao acesso às atividades de serviços e ao seu exercício», precisando esta disposição que é esse o caso, nomeadamente, das disposições relativas ao prestador de serviços, aos serviços e ao destinatário de serviços.</w:t>
      </w:r>
    </w:p>
    <w:p w14:paraId="0DF48DDD" w14:textId="77777777">
      <w:pPr>
        <w:pStyle w:val="P68B1DB1-Normal15"/>
        <w:widowControl w:val="0"/>
        <w:tabs>
          <w:tab w:val="left" w:pos="437"/>
        </w:tabs>
        <w:autoSpaceDE w:val="0"/>
        <w:autoSpaceDN w:val="0"/>
        <w:spacing w:after="0" w:line="240" w:lineRule="auto"/>
        <w:ind w:left="567"/>
        <w:jc w:val="both"/>
        <w:rPr>
          <w:iCs/>
        </w:rPr>
      </w:pPr>
    </w:p>
    <w:p w14:paraId="79F306A3" w14:textId="7430EFC3">
      <w:pPr>
        <w:pStyle w:val="P68B1DB1-Normal15"/>
        <w:widowControl w:val="0"/>
        <w:tabs>
          <w:tab w:val="left" w:pos="437"/>
        </w:tabs>
        <w:autoSpaceDE w:val="0"/>
        <w:autoSpaceDN w:val="0"/>
        <w:spacing w:after="0" w:line="240" w:lineRule="auto"/>
        <w:ind w:left="567"/>
        <w:jc w:val="both"/>
        <w:rPr>
          <w:iCs/>
        </w:rPr>
      </w:pPr>
      <w:r>
        <w:t xml:space="preserve">40. A este respeito, há que salientar que o artigo 10.º, n.º 19, da Lei relativa aos jogos de fortuna ou azar é suscetível de ser abrangido pelo conceito de «regra relativa aos serviços», na medida em que prevê uma proibição de incentivar, nomeadamente, a participação em jogos de azar à distância e, em especial, a publicação de informações relativas a jogos de fortuna ou azar no sítio Internet de um operador de jogos de fortuna ou azar ou que pratiquem atos que incentivem a participação em jogos de fortuna ou azar (v., neste sentido, Acórdão de 22 de outubro de 2020, Sportingbet e Internet Opportunity Entertainment, C-275/19, n.º 48 e jurisprudência referida).</w:t>
      </w:r>
    </w:p>
    <w:p w14:paraId="7B52939F" w14:textId="77777777">
      <w:pPr>
        <w:pStyle w:val="P68B1DB1-Normal15"/>
        <w:widowControl w:val="0"/>
        <w:tabs>
          <w:tab w:val="left" w:pos="437"/>
        </w:tabs>
        <w:autoSpaceDE w:val="0"/>
        <w:autoSpaceDN w:val="0"/>
        <w:spacing w:after="0" w:line="240" w:lineRule="auto"/>
        <w:ind w:left="567"/>
        <w:jc w:val="both"/>
        <w:rPr>
          <w:iCs/>
        </w:rPr>
      </w:pPr>
    </w:p>
    <w:p w14:paraId="29F63712" w14:textId="4449F712">
      <w:pPr>
        <w:pStyle w:val="P68B1DB1-Normal15"/>
        <w:widowControl w:val="0"/>
        <w:tabs>
          <w:tab w:val="left" w:pos="437"/>
        </w:tabs>
        <w:autoSpaceDE w:val="0"/>
        <w:autoSpaceDN w:val="0"/>
        <w:spacing w:after="0" w:line="240" w:lineRule="auto"/>
        <w:ind w:left="567"/>
        <w:jc w:val="both"/>
        <w:rPr>
          <w:iCs/>
        </w:rPr>
      </w:pPr>
      <w:r>
        <w:t xml:space="preserve">41. Por outro lado, como resulta da própria redação do artigo 1.º, n.º 1, alínea e), da Diretiva 2015/1535, para ser qualificada de «regra relativa aos serviços», a proibição em causa no processo principal deve visar «especificamente» os serviços da sociedade da informação (v., neste sentido, Acórdão de 12 de setembro de 2019, VG Media, C-299/17, n.º 31).</w:t>
      </w:r>
    </w:p>
    <w:p w14:paraId="65AB6E33" w14:textId="77777777">
      <w:pPr>
        <w:pStyle w:val="P68B1DB1-Normal15"/>
        <w:widowControl w:val="0"/>
        <w:tabs>
          <w:tab w:val="left" w:pos="437"/>
        </w:tabs>
        <w:autoSpaceDE w:val="0"/>
        <w:autoSpaceDN w:val="0"/>
        <w:spacing w:after="0" w:line="240" w:lineRule="auto"/>
        <w:ind w:left="567"/>
        <w:jc w:val="both"/>
        <w:rPr>
          <w:iCs/>
        </w:rPr>
      </w:pPr>
    </w:p>
    <w:p w14:paraId="3176C455" w14:textId="3F47F94F">
      <w:pPr>
        <w:pStyle w:val="P68B1DB1-Normal15"/>
        <w:widowControl w:val="0"/>
        <w:tabs>
          <w:tab w:val="left" w:pos="437"/>
        </w:tabs>
        <w:autoSpaceDE w:val="0"/>
        <w:autoSpaceDN w:val="0"/>
        <w:spacing w:after="0" w:line="240" w:lineRule="auto"/>
        <w:ind w:left="567"/>
        <w:jc w:val="both"/>
        <w:rPr>
          <w:iCs/>
        </w:rPr>
      </w:pPr>
      <w:r>
        <w:t xml:space="preserve">42. A este respeito, resulta do artigo 1.º, n.º 1, alínea e), segundo parágrafo, alínea i), da Diretiva 2015/1535 que a verificação de que uma regra visa especificamente os serviços da sociedade da informação deve ser efetuada tendo em conta tanto o teor dessa regra como o objetivo que prossegue. Além disso, por força desta disposição, não é exigido que «o objetivo específico e o objetivo» de toda a regra em causa sejam regular os serviços da sociedade da informação, mas basta que prossiga esse objetivo ou esse objetivo através de algumas das suas disposições (v., neste sentido, Acórdão de 12 de setembro de 2019, VG Media, C-299/17, n.º 32 e jurisprudência referida). Por último, em conformidade com o artigo 1.º, n.º 1, alínea e), segundo parágrafo, alínea ii), da referida diretiva, uma regra não deve ser considerada como visando especificamente os serviços da sociedade da informação se apenas afetar esses serviços de forma implícita ou incidental.»</w:t>
      </w:r>
    </w:p>
    <w:p w14:paraId="755B8A78" w14:textId="53DC1D1F">
      <w:pPr>
        <w:spacing w:after="0" w:line="278" w:lineRule="auto"/>
      </w:pPr>
      <w:r>
        <w:br w:type="page"/>
      </w:r>
    </w:p>
    <w:p w14:paraId="66BD9244" w14:textId="7BFF7921">
      <w:pPr>
        <w:pStyle w:val="P68B1DB1-Heading24"/>
        <w:numPr>
          <w:ilvl w:val="0"/>
          <w:numId w:val="35"/>
        </w:numPr>
        <w:spacing w:before="0" w:after="0"/>
        <w:jc w:val="center"/>
        <w:rPr>
          <w:bCs/>
          <w:color w:val="auto"/>
        </w:rPr>
      </w:pPr>
      <w:bookmarkStart w:id="98" w:name="_Ref194484584"/>
      <w:bookmarkStart w:id="99" w:name="_Toc203035670"/>
      <w:r>
        <w:t xml:space="preserve">Disposições de proibição</w:t>
      </w:r>
      <w:bookmarkEnd w:id="98"/>
      <w:bookmarkEnd w:id="99"/>
    </w:p>
    <w:p w14:paraId="11A12362" w14:textId="77777777">
      <w:pPr>
        <w:pStyle w:val="BodyText"/>
      </w:pPr>
    </w:p>
    <w:p w14:paraId="6DD7108F" w14:textId="22E84863">
      <w:pPr>
        <w:pStyle w:val="P68B1DB1-BodyText11"/>
        <w:ind w:left="567"/>
        <w:rPr>
          <w:iCs/>
        </w:rPr>
      </w:pPr>
      <w:r>
        <w:t xml:space="preserve">««regra técnica», [...] as disposições legislativas, regulamentares ou administrativas dos Estados-Membros, com exceção das previstas no artigo 7.º, que proíbam o fabrico, a importação, a comercialização ou a utilização de um produto ou a prestação ou utilização de um serviço, ou o estabelecimento como prestador de serviços.»</w:t>
      </w:r>
    </w:p>
    <w:p w14:paraId="6EA3335C" w14:textId="77777777">
      <w:pPr>
        <w:pStyle w:val="BodyText"/>
        <w:ind w:left="567"/>
        <w:rPr>
          <w:i/>
          <w:iCs/>
        </w:rPr>
      </w:pPr>
    </w:p>
    <w:p w14:paraId="05F6428B" w14:textId="3C27EE7A">
      <w:pPr>
        <w:pStyle w:val="BodyText"/>
        <w:ind w:left="1440"/>
        <w:jc w:val="right"/>
      </w:pPr>
      <w:r>
        <w:t xml:space="preserve">(artigo 1.º, n.º 1, alínea f), primeira frase, da Diretiva (UE) 2015/1535)</w:t>
      </w:r>
    </w:p>
    <w:p w14:paraId="38D8F2AB" w14:textId="77777777">
      <w:pPr>
        <w:spacing w:after="0" w:line="240" w:lineRule="auto"/>
      </w:pPr>
    </w:p>
    <w:p w14:paraId="0D9AB62C" w14:textId="1C629A78">
      <w:pPr>
        <w:pStyle w:val="P68B1DB1-Normal13"/>
        <w:widowControl w:val="0"/>
        <w:autoSpaceDE w:val="0"/>
        <w:autoSpaceDN w:val="0"/>
        <w:spacing w:after="0" w:line="240" w:lineRule="auto"/>
        <w:jc w:val="both"/>
        <w:outlineLvl w:val="1"/>
      </w:pPr>
      <w:hyperlink r:id="rId59" w:history="1">
        <w:r>
          <w:rPr>
            <w:color w:val="0000FF"/>
            <w:u w:val="single"/>
          </w:rPr>
          <w:t xml:space="preserve">Acórdão do Tribunal de Justiça de 16 de setembro de 1996</w:t>
        </w:r>
      </w:hyperlink>
      <w:r>
        <w:t xml:space="preserve"> no processo C-279/94, Comissão/Itália, n.º 30.</w:t>
      </w:r>
      <w:bookmarkEnd w:id="100"/>
    </w:p>
    <w:p w14:paraId="034B7933"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01754A62" w14:textId="3AFCB111">
      <w:pPr>
        <w:pStyle w:val="P68B1DB1-Normal14"/>
        <w:widowControl w:val="0"/>
        <w:tabs>
          <w:tab w:val="left" w:pos="396"/>
          <w:tab w:val="left" w:pos="461"/>
        </w:tabs>
        <w:autoSpaceDE w:val="0"/>
        <w:autoSpaceDN w:val="0"/>
        <w:spacing w:after="0" w:line="240" w:lineRule="auto"/>
        <w:jc w:val="both"/>
      </w:pPr>
      <w:r>
        <w:t xml:space="preserve">A proibição de colocação no mercado e de utilização do amianto é uma «regra técnica» sujeita a notificação, uma vez que proíbe a comercialização e a utilização de um produto.</w:t>
      </w:r>
    </w:p>
    <w:p w14:paraId="0BB35591"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9E65C7B" w14:textId="4734296F">
      <w:pPr>
        <w:pStyle w:val="P68B1DB1-Normal15"/>
        <w:widowControl w:val="0"/>
        <w:tabs>
          <w:tab w:val="left" w:pos="396"/>
          <w:tab w:val="left" w:pos="461"/>
        </w:tabs>
        <w:autoSpaceDE w:val="0"/>
        <w:autoSpaceDN w:val="0"/>
        <w:spacing w:after="0" w:line="240" w:lineRule="auto"/>
        <w:ind w:left="567"/>
        <w:jc w:val="both"/>
        <w:rPr>
          <w:iCs/>
        </w:rPr>
      </w:pPr>
      <w:r>
        <w:t xml:space="preserve">«30. No que respeita ao artigo 1.º, n.º 2, da Lei n.º 257/92, há que recordar que esta disposição proíbe a extração, a importação, a exportação, a comercialização e a produção de amianto, de produtos em amianto e de produtos contendo amianto, decorrido o prazo de um ano a contar da entrada em vigor da lei. Tal disposição, ao proibir a comercialização e a utilização do amianto, constitui uma regra técnica que o Governo italiano deveria ter notificado em conformidade com o artigo 8.º, n.º 1, primeiro parágrafo, da diretiva.»</w:t>
      </w:r>
    </w:p>
    <w:p w14:paraId="4C0F9A2E" w14:textId="77777777">
      <w:pPr>
        <w:spacing w:after="0" w:line="240" w:lineRule="auto"/>
      </w:pPr>
    </w:p>
    <w:p w14:paraId="6933A43F" w14:textId="3FDFB590">
      <w:pPr>
        <w:pStyle w:val="P68B1DB1-Normal13"/>
        <w:widowControl w:val="0"/>
        <w:autoSpaceDE w:val="0"/>
        <w:autoSpaceDN w:val="0"/>
        <w:spacing w:after="0" w:line="240" w:lineRule="auto"/>
        <w:jc w:val="both"/>
        <w:outlineLvl w:val="1"/>
      </w:pPr>
      <w:hyperlink r:id="rId60" w:history="1">
        <w:r>
          <w:rPr>
            <w:rStyle w:val="Hyperlink"/>
            <w:color w:val="0000FF"/>
          </w:rPr>
          <w:t xml:space="preserve">Acórdão de 21 de abril de 2005</w:t>
        </w:r>
      </w:hyperlink>
      <w:r>
        <w:t xml:space="preserve"> no processo C-267/03, Lindberg, n.os 75 a 77</w:t>
      </w:r>
      <w:bookmarkEnd w:id="101"/>
    </w:p>
    <w:p w14:paraId="7D30FB0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1BE65B" w14:textId="4B7342F7">
      <w:pPr>
        <w:pStyle w:val="P68B1DB1-Normal14"/>
        <w:widowControl w:val="0"/>
        <w:tabs>
          <w:tab w:val="left" w:pos="396"/>
          <w:tab w:val="left" w:pos="425"/>
        </w:tabs>
        <w:autoSpaceDE w:val="0"/>
        <w:autoSpaceDN w:val="0"/>
        <w:spacing w:after="0" w:line="240" w:lineRule="auto"/>
        <w:jc w:val="both"/>
      </w:pPr>
      <w:r>
        <w:t xml:space="preserve">Uma proibição nacional relativa a determinados jogos de fortuna ou azar pode ser qualificada de disposição de proibição se não deixar margem para qualquer utilização que possa razoavelmente ser feita do produto em causa para além de uma utilização puramente marginal. Em contrapartida, a qualificação de proibição não depende do efeito da proibição sobre a composição, a natureza ou a comercialização dos produtos em causa.</w:t>
      </w:r>
    </w:p>
    <w:p w14:paraId="58611995"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EBF5D94" w14:textId="0BC411D8">
      <w:pPr>
        <w:pStyle w:val="P68B1DB1-Normal15"/>
        <w:widowControl w:val="0"/>
        <w:tabs>
          <w:tab w:val="left" w:pos="396"/>
          <w:tab w:val="left" w:pos="425"/>
        </w:tabs>
        <w:autoSpaceDE w:val="0"/>
        <w:autoSpaceDN w:val="0"/>
        <w:spacing w:after="0" w:line="240" w:lineRule="auto"/>
        <w:ind w:left="567"/>
        <w:jc w:val="both"/>
      </w:pPr>
      <w:r>
        <w:t xml:space="preserve">«75. A este respeito, é significativo que, contrariamente à segunda categoria constituída por outras exigências na aceção do artigo 1.º, n.º 3, esta terceira categoria de regra técnica definida no artigo 1.º, n.º 9, da Diretiva 83/189 não inclua a condição segundo a qual a proibição em causa deve ser suscetível de influenciar significativamente a composição ou a natureza do produto ou a sua comercialização.</w:t>
      </w:r>
    </w:p>
    <w:p w14:paraId="4E75D46D" w14:textId="77777777">
      <w:pPr>
        <w:pStyle w:val="P68B1DB1-Normal15"/>
        <w:widowControl w:val="0"/>
        <w:tabs>
          <w:tab w:val="left" w:pos="396"/>
          <w:tab w:val="left" w:pos="425"/>
        </w:tabs>
        <w:autoSpaceDE w:val="0"/>
        <w:autoSpaceDN w:val="0"/>
        <w:spacing w:after="0" w:line="240" w:lineRule="auto"/>
        <w:ind w:left="567"/>
        <w:jc w:val="both"/>
      </w:pPr>
    </w:p>
    <w:p w14:paraId="19633563" w14:textId="56C5A4E5">
      <w:pPr>
        <w:pStyle w:val="P68B1DB1-Normal15"/>
        <w:widowControl w:val="0"/>
        <w:tabs>
          <w:tab w:val="left" w:pos="396"/>
          <w:tab w:val="left" w:pos="425"/>
        </w:tabs>
        <w:autoSpaceDE w:val="0"/>
        <w:autoSpaceDN w:val="0"/>
        <w:spacing w:after="0" w:line="240" w:lineRule="auto"/>
        <w:ind w:left="567"/>
        <w:jc w:val="both"/>
      </w:pPr>
      <w:r>
        <w:t xml:space="preserve">76. Esta terceira categoria de regras técnicas que visam uma proibição, designadamente de utilização, deve consistir em medidas com um alcance que ultrapasse claramente uma limitação de determinadas utilizações possíveis do produto em causa e que não se limitem, portanto, a uma simples restrição da sua utilização.</w:t>
      </w:r>
    </w:p>
    <w:p w14:paraId="0E03DE00" w14:textId="77777777">
      <w:pPr>
        <w:pStyle w:val="P68B1DB1-Normal15"/>
        <w:widowControl w:val="0"/>
        <w:tabs>
          <w:tab w:val="left" w:pos="396"/>
          <w:tab w:val="left" w:pos="425"/>
        </w:tabs>
        <w:autoSpaceDE w:val="0"/>
        <w:autoSpaceDN w:val="0"/>
        <w:spacing w:after="0" w:line="240" w:lineRule="auto"/>
        <w:ind w:left="567"/>
        <w:jc w:val="both"/>
      </w:pPr>
    </w:p>
    <w:p w14:paraId="2FD32D99" w14:textId="6701B778">
      <w:pPr>
        <w:pStyle w:val="P68B1DB1-Normal15"/>
        <w:widowControl w:val="0"/>
        <w:tabs>
          <w:tab w:val="left" w:pos="396"/>
          <w:tab w:val="left" w:pos="425"/>
        </w:tabs>
        <w:autoSpaceDE w:val="0"/>
        <w:autoSpaceDN w:val="0"/>
        <w:spacing w:after="0" w:line="240" w:lineRule="auto"/>
        <w:ind w:left="567"/>
        <w:jc w:val="both"/>
        <w:rPr>
          <w:iCs/>
        </w:rPr>
      </w:pPr>
      <w:r>
        <w:t xml:space="preserve">77. Tal como o advogado-geral referiu no n.º 70 das suas conclusões, esta categoria de regras técnicas visa mais especialmente medidas nacionais que não permitem nenhuma utilização para além da utilização puramente marginal que pode razoavelmente ser esperada do produto em causa. Compete ao órgão jurisdicional de reenvio verificar se a proibição decorrente da disposição nacional em causa no processo principal constitui uma medida desse tipo.»</w:t>
      </w:r>
    </w:p>
    <w:p w14:paraId="67FF74EE"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8FE6490" w14:textId="328430DD">
      <w:pPr>
        <w:pStyle w:val="P68B1DB1-Normal13"/>
        <w:widowControl w:val="0"/>
        <w:autoSpaceDE w:val="0"/>
        <w:autoSpaceDN w:val="0"/>
        <w:spacing w:after="0" w:line="240" w:lineRule="auto"/>
        <w:jc w:val="both"/>
        <w:outlineLvl w:val="1"/>
      </w:pPr>
      <w:hyperlink r:id="rId61" w:history="1">
        <w:r>
          <w:rPr>
            <w:color w:val="0000FF"/>
            <w:u w:val="single"/>
          </w:rPr>
          <w:t xml:space="preserve">Acórdão do Tribunal de Justiça de 8 de setembro de 2005</w:t>
        </w:r>
      </w:hyperlink>
      <w:r>
        <w:t xml:space="preserve"> no processo C-303/04, Lidl Italia, n.os 12 e 13.</w:t>
      </w:r>
      <w:bookmarkEnd w:id="102"/>
    </w:p>
    <w:p w14:paraId="0264E5E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3D45D27" w14:textId="04452AA9">
      <w:pPr>
        <w:pStyle w:val="P68B1DB1-Normal14"/>
        <w:widowControl w:val="0"/>
        <w:tabs>
          <w:tab w:val="left" w:pos="393"/>
        </w:tabs>
        <w:autoSpaceDE w:val="0"/>
        <w:autoSpaceDN w:val="0"/>
        <w:spacing w:after="0" w:line="240" w:lineRule="auto"/>
        <w:jc w:val="both"/>
      </w:pPr>
      <w:r>
        <w:t xml:space="preserve">Uma proibição nacional de comercialização de produtos que não são fabricados a partir de determinadas matérias constitui uma disposição que proíbe o fabrico e a comercialização de produtos.</w:t>
      </w:r>
    </w:p>
    <w:p w14:paraId="35068EA4"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4997783D" w14:textId="60D54546">
      <w:pPr>
        <w:pStyle w:val="P68B1DB1-Normal15"/>
        <w:widowControl w:val="0"/>
        <w:tabs>
          <w:tab w:val="left" w:pos="393"/>
        </w:tabs>
        <w:autoSpaceDE w:val="0"/>
        <w:autoSpaceDN w:val="0"/>
        <w:spacing w:after="0" w:line="240" w:lineRule="auto"/>
        <w:ind w:left="567"/>
        <w:jc w:val="both"/>
      </w:pPr>
      <w:r>
        <w:t xml:space="preserve">«12. nos termos do artigo 1.º, n.º 11, da Diretiva 98/34, uma disposição nacional de um Estado-Membro que proíba o fabrico, a importação, a comercialização ou a utilização de um produto deve ser considerada uma categoria de regra técnica (v. acórdão de 2005 de outubro de 0000, Lindberg, C-267/03, ainda não publicado na Coletânea, n.º 54).</w:t>
      </w:r>
    </w:p>
    <w:p w14:paraId="52ECA4AF" w14:textId="77777777">
      <w:pPr>
        <w:pStyle w:val="P68B1DB1-Normal15"/>
        <w:widowControl w:val="0"/>
        <w:tabs>
          <w:tab w:val="left" w:pos="393"/>
        </w:tabs>
        <w:autoSpaceDE w:val="0"/>
        <w:autoSpaceDN w:val="0"/>
        <w:spacing w:after="0" w:line="240" w:lineRule="auto"/>
        <w:ind w:left="567"/>
        <w:jc w:val="both"/>
      </w:pPr>
    </w:p>
    <w:p w14:paraId="08984434" w14:textId="6B561E58">
      <w:pPr>
        <w:pStyle w:val="P68B1DB1-Normal15"/>
        <w:widowControl w:val="0"/>
        <w:tabs>
          <w:tab w:val="left" w:pos="393"/>
        </w:tabs>
        <w:autoSpaceDE w:val="0"/>
        <w:autoSpaceDN w:val="0"/>
        <w:spacing w:after="0" w:line="240" w:lineRule="auto"/>
        <w:ind w:left="567"/>
        <w:jc w:val="both"/>
        <w:rPr>
          <w:iCs/>
        </w:rPr>
      </w:pPr>
      <w:r>
        <w:t xml:space="preserve">13. Ora, no caso em apreço, basta constatar que o artigo 19.º, n.º 2, da Lei n.º 93/2001 é uma disposição dessa natureza. Nos termos desta disposição, o fabrico e a comercialização de gomos de algodão que não apresentem as características mencionadas, a saber, os que não são inteiramente fabricados a partir de materiais biodegradáveis em conformidade com as normas UNI 10785, constituem infrações passíveis de sanções administrativas.»</w:t>
      </w:r>
    </w:p>
    <w:p w14:paraId="7E80215F"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717B4ED" w14:textId="65166FE4">
      <w:pPr>
        <w:pStyle w:val="P68B1DB1-Normal13"/>
        <w:widowControl w:val="0"/>
        <w:autoSpaceDE w:val="0"/>
        <w:autoSpaceDN w:val="0"/>
        <w:spacing w:after="0" w:line="240" w:lineRule="auto"/>
        <w:jc w:val="both"/>
        <w:outlineLvl w:val="1"/>
      </w:pPr>
      <w:hyperlink r:id="rId62" w:history="1">
        <w:r>
          <w:rPr>
            <w:color w:val="0000FF"/>
            <w:u w:val="single"/>
          </w:rPr>
          <w:t xml:space="preserve">Acórdão do Tribunal de Justiça de 26 de outubro de 2006</w:t>
        </w:r>
      </w:hyperlink>
      <w:r>
        <w:t xml:space="preserve"> no processo C-65/05, Comissão/Grécia, n.º 61.</w:t>
      </w:r>
      <w:bookmarkEnd w:id="103"/>
    </w:p>
    <w:p w14:paraId="1384E7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CAE2532" w14:textId="2EC175AF">
      <w:pPr>
        <w:pStyle w:val="P68B1DB1-Normal14"/>
        <w:widowControl w:val="0"/>
        <w:tabs>
          <w:tab w:val="left" w:pos="415"/>
        </w:tabs>
        <w:autoSpaceDE w:val="0"/>
        <w:autoSpaceDN w:val="0"/>
        <w:spacing w:after="0" w:line="240" w:lineRule="auto"/>
        <w:jc w:val="both"/>
      </w:pPr>
      <w:r>
        <w:t xml:space="preserve">Devem ser consideradas regras técnicas as medidas que proíbem a instalação, fora dos casinos, de todos os dispositivos elétricos ou eletrónicos de jogos e a utilização de jogos de computador em empresas que prestam serviços Internet, bem como a subordinação da exploração dessas empresas à emissão de uma licença especial.</w:t>
      </w:r>
    </w:p>
    <w:p w14:paraId="6FD5D3A4" w14:textId="77777777">
      <w:pPr>
        <w:widowControl w:val="0"/>
        <w:tabs>
          <w:tab w:val="left" w:pos="415"/>
        </w:tabs>
        <w:autoSpaceDE w:val="0"/>
        <w:autoSpaceDN w:val="0"/>
        <w:spacing w:after="0" w:line="240" w:lineRule="auto"/>
        <w:jc w:val="both"/>
        <w:rPr>
          <w:rFonts w:ascii="Times New Roman" w:hAnsi="Times New Roman" w:cs="Times New Roman" w:eastAsia="Times New Roman"/>
          <w:szCs w:val="20"/>
        </w:rPr>
      </w:pPr>
    </w:p>
    <w:p w14:paraId="79252ABE" w14:textId="0E924053">
      <w:pPr>
        <w:pStyle w:val="P68B1DB1-Normal15"/>
        <w:widowControl w:val="0"/>
        <w:tabs>
          <w:tab w:val="left" w:pos="415"/>
        </w:tabs>
        <w:autoSpaceDE w:val="0"/>
        <w:autoSpaceDN w:val="0"/>
        <w:spacing w:after="0" w:line="240" w:lineRule="auto"/>
        <w:ind w:left="567"/>
        <w:jc w:val="both"/>
        <w:rPr>
          <w:iCs/>
        </w:rPr>
      </w:pPr>
      <w:r>
        <w:t>«</w:t>
      </w:r>
      <w:bookmarkStart w:id="104" w:name="point61"/>
      <w:r>
        <w:t>61</w:t>
      </w:r>
      <w:bookmarkEnd w:id="104"/>
      <w:r>
        <w:t xml:space="preserve">. [...] devem ser consideradas regras técnicas na aceção do artigo 1.º, n.º 11, da Diretiva 3037/2002 medidas como as previstas nos artigos 2.º (1) e 3.º da Lei n.º 98/34, na medida em que proíbem a instalação na Grécia de todos os jogos elétricos, eletromecânicos e eletrónicos, incluindo todos os jogos de computador, em todos os locais públicos e privados, com exceção dos casinos, bem como a utilização de jogos em computadores em empresas que prestam serviços Internet, e subordinam a exploração dessas empresas à emissão de uma autorização especial (v., neste sentido, acórdão de 2005 de</w:t>
        <w:noBreakHyphen/>
        <w:t xml:space="preserve">julho de 3247, Lindberg</w:t>
        <w:noBreakHyphen/>
        <w:t xml:space="preserve">, C 267/03, Colet., p. I-).»</w:t>
      </w:r>
    </w:p>
    <w:p w14:paraId="0089E684"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03A587DA" w14:textId="394DDB7B">
      <w:pPr>
        <w:pStyle w:val="P68B1DB1-Normal13"/>
        <w:widowControl w:val="0"/>
        <w:autoSpaceDE w:val="0"/>
        <w:autoSpaceDN w:val="0"/>
        <w:spacing w:after="0" w:line="240" w:lineRule="auto"/>
        <w:jc w:val="both"/>
        <w:outlineLvl w:val="1"/>
      </w:pPr>
      <w:hyperlink r:id="rId63" w:history="1">
        <w:r>
          <w:rPr>
            <w:color w:val="0000FF"/>
            <w:u w:val="single"/>
          </w:rPr>
          <w:t xml:space="preserve">Acórdão do Tribunal de Justiça de 19 de julho de 2012</w:t>
        </w:r>
      </w:hyperlink>
      <w:r>
        <w:t xml:space="preserve"> nos processos C-213/11, C-214/11 e C-217/11, Fortuna e outros, n.os 24 e 25.</w:t>
      </w:r>
      <w:bookmarkEnd w:id="105"/>
    </w:p>
    <w:p w14:paraId="005978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7C6309" w14:textId="4A0E435F">
      <w:pPr>
        <w:pStyle w:val="P68B1DB1-Normal14"/>
        <w:widowControl w:val="0"/>
        <w:tabs>
          <w:tab w:val="left" w:pos="451"/>
        </w:tabs>
        <w:autoSpaceDE w:val="0"/>
        <w:autoSpaceDN w:val="0"/>
        <w:spacing w:after="0" w:line="240" w:lineRule="auto"/>
        <w:jc w:val="both"/>
      </w:pPr>
      <w:r>
        <w:t xml:space="preserve">Uma medida que proíbe a utilização de máquinas de jogo fora dos casinos deve ser qualificada de «regra técnica».</w:t>
      </w:r>
    </w:p>
    <w:p w14:paraId="55F00ED6" w14:textId="77777777">
      <w:pPr>
        <w:widowControl w:val="0"/>
        <w:tabs>
          <w:tab w:val="left" w:pos="451"/>
        </w:tabs>
        <w:autoSpaceDE w:val="0"/>
        <w:autoSpaceDN w:val="0"/>
        <w:spacing w:after="0" w:line="240" w:lineRule="auto"/>
        <w:jc w:val="both"/>
        <w:rPr>
          <w:rFonts w:ascii="Times New Roman" w:hAnsi="Times New Roman" w:cs="Times New Roman" w:eastAsia="Times New Roman"/>
          <w:szCs w:val="20"/>
        </w:rPr>
      </w:pPr>
    </w:p>
    <w:p w14:paraId="4C7F2437" w14:textId="071474DD">
      <w:pPr>
        <w:pStyle w:val="P68B1DB1-Normal15"/>
        <w:widowControl w:val="0"/>
        <w:tabs>
          <w:tab w:val="left" w:pos="451"/>
        </w:tabs>
        <w:autoSpaceDE w:val="0"/>
        <w:autoSpaceDN w:val="0"/>
        <w:spacing w:after="0" w:line="240" w:lineRule="auto"/>
        <w:ind w:left="567"/>
        <w:jc w:val="both"/>
      </w:pPr>
      <w:r>
        <w:t xml:space="preserve">«24. [...] o Tribunal de Justiça já declarou que as medidas que proíbem a utilização de todos os jogos elétricos, eletromecânicos e eletrónicos em todos os locais públicos e privados, com exceção dos casinos, devem ser consideradas regras técnicas na aceção do artigo 1.º, n.º 11, da Diretiva 98/34 (acórdão de 2006 de julho de 10341, Comissão/Grécia, C-65/05, ainda não publicado na Coletânea, n.º 61).</w:t>
      </w:r>
    </w:p>
    <w:p w14:paraId="449D41B3" w14:textId="77777777">
      <w:pPr>
        <w:pStyle w:val="P68B1DB1-Normal15"/>
        <w:widowControl w:val="0"/>
        <w:tabs>
          <w:tab w:val="left" w:pos="451"/>
        </w:tabs>
        <w:autoSpaceDE w:val="0"/>
        <w:autoSpaceDN w:val="0"/>
        <w:spacing w:after="0" w:line="240" w:lineRule="auto"/>
        <w:ind w:left="567"/>
        <w:jc w:val="both"/>
      </w:pPr>
    </w:p>
    <w:p w14:paraId="19795D70" w14:textId="79DBEA4A">
      <w:pPr>
        <w:pStyle w:val="P68B1DB1-Normal15"/>
        <w:widowControl w:val="0"/>
        <w:tabs>
          <w:tab w:val="left" w:pos="451"/>
        </w:tabs>
        <w:autoSpaceDE w:val="0"/>
        <w:autoSpaceDN w:val="0"/>
        <w:spacing w:after="0" w:line="240" w:lineRule="auto"/>
        <w:ind w:left="567"/>
        <w:jc w:val="both"/>
        <w:rPr>
          <w:iCs/>
        </w:rPr>
      </w:pPr>
      <w:r>
        <w:t xml:space="preserve">25. Por conseguinte, uma medida, como o artigo 14.º, n.º 1, da Lei relativa aos jogos de fortuna ou azar, que apenas autoriza os casinos a organizar jogos em máquinas, deve ser qualificada de «regra técnica» na aceção do artigo 1.º, n.º 11, da Diretiva 98/34.»</w:t>
      </w:r>
    </w:p>
    <w:p w14:paraId="4A0CD426" w14:textId="77777777">
      <w:pPr>
        <w:spacing w:after="0" w:line="240" w:lineRule="auto"/>
      </w:pPr>
    </w:p>
    <w:p w14:paraId="1675A539" w14:textId="6C824499">
      <w:pPr>
        <w:pStyle w:val="P68B1DB1-Normal13"/>
        <w:widowControl w:val="0"/>
        <w:autoSpaceDE w:val="0"/>
        <w:autoSpaceDN w:val="0"/>
        <w:spacing w:after="0" w:line="240" w:lineRule="auto"/>
        <w:jc w:val="both"/>
        <w:outlineLvl w:val="1"/>
      </w:pPr>
      <w:hyperlink r:id="rId64" w:history="1">
        <w:r>
          <w:rPr>
            <w:color w:val="0000FF"/>
            <w:u w:val="single"/>
          </w:rPr>
          <w:t xml:space="preserve">Acórdão do Tribunal de Justiça de 27 de outubro de 2016</w:t>
        </w:r>
      </w:hyperlink>
      <w:r>
        <w:t xml:space="preserve"> no processo C-613/14, James Elliott Construction, n.º 70.</w:t>
      </w:r>
      <w:bookmarkEnd w:id="106"/>
    </w:p>
    <w:p w14:paraId="3A50454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D45187" w14:textId="07CFD998">
      <w:pPr>
        <w:widowControl w:val="0"/>
        <w:tabs>
          <w:tab w:val="left" w:pos="430"/>
        </w:tabs>
        <w:autoSpaceDE w:val="0"/>
        <w:autoSpaceDN w:val="0"/>
        <w:spacing w:after="0" w:line="240" w:lineRule="auto"/>
        <w:jc w:val="both"/>
        <w:rPr>
          <w:rFonts w:ascii="Times New Roman" w:hAnsi="Times New Roman" w:cs="Times New Roman" w:eastAsia="Times New Roman"/>
          <w:szCs w:val="20"/>
        </w:rPr>
        <w:pStyle w:val="P68B1DB1-Normal14"/>
      </w:pPr>
      <w:r>
        <w:t xml:space="preserve">As disposições nacionais que estabelecem condições contratuais implícitas relativas à qualidade comercializável, à aptidão para o uso ou à qualidade geral dos produtos vendidos não constituem disposições de proibição.</w:t>
      </w:r>
    </w:p>
    <w:p w14:paraId="399B39AC" w14:textId="77777777">
      <w:pPr>
        <w:widowControl w:val="0"/>
        <w:tabs>
          <w:tab w:val="left" w:pos="430"/>
        </w:tabs>
        <w:autoSpaceDE w:val="0"/>
        <w:autoSpaceDN w:val="0"/>
        <w:spacing w:after="0" w:line="240" w:lineRule="auto"/>
        <w:jc w:val="both"/>
        <w:rPr>
          <w:rFonts w:ascii="Times New Roman" w:hAnsi="Times New Roman" w:cs="Times New Roman" w:eastAsia="Times New Roman"/>
          <w:i/>
          <w:iCs/>
          <w:sz w:val="20"/>
          <w:szCs w:val="16"/>
        </w:rPr>
      </w:pPr>
    </w:p>
    <w:p w14:paraId="03484B57" w14:textId="639C0DF2">
      <w:pPr>
        <w:pStyle w:val="P68B1DB1-Normal15"/>
        <w:widowControl w:val="0"/>
        <w:tabs>
          <w:tab w:val="left" w:pos="430"/>
        </w:tabs>
        <w:autoSpaceDE w:val="0"/>
        <w:autoSpaceDN w:val="0"/>
        <w:spacing w:after="0" w:line="240" w:lineRule="auto"/>
        <w:ind w:left="567"/>
        <w:jc w:val="both"/>
        <w:rPr>
          <w:iCs/>
        </w:rPr>
      </w:pPr>
      <w:r>
        <w:t>«</w:t>
      </w:r>
      <w:bookmarkStart w:id="107" w:name="point70"/>
      <w:r>
        <w:t>70</w:t>
      </w:r>
      <w:bookmarkEnd w:id="107"/>
      <w:r>
        <w:t xml:space="preserve">. [...] a regulamentação em causa no processo principal não está abrangida pelo âmbito de aplicação das regras técnicas referidas no artigo 1.º, n.º 11, da Diretiva 98/34, na medida em que, ao limitar-se a enunciar requisitos contratuais implícitos, não contém nenhuma proibição, na aceção desta diretiva, do fabrico, da importação, da comercialização ou da utilização de um produto, da prestação ou da utilização de um serviço ou do estabelecimento como prestador de serviços.»</w:t>
      </w:r>
    </w:p>
    <w:p w14:paraId="444E99F8" w14:textId="77777777">
      <w:pPr>
        <w:spacing w:after="0" w:line="240" w:lineRule="auto"/>
      </w:pPr>
    </w:p>
    <w:p w14:paraId="178807FF" w14:textId="18545DE8">
      <w:pPr>
        <w:pStyle w:val="P68B1DB1-Normal13"/>
        <w:widowControl w:val="0"/>
        <w:autoSpaceDE w:val="0"/>
        <w:autoSpaceDN w:val="0"/>
        <w:spacing w:after="0" w:line="240" w:lineRule="auto"/>
        <w:jc w:val="both"/>
        <w:outlineLvl w:val="1"/>
      </w:pPr>
      <w:hyperlink r:id="rId65" w:anchor="ctx1" w:history="1">
        <w:r>
          <w:rPr>
            <w:color w:val="0000FF"/>
            <w:u w:val="single"/>
          </w:rPr>
          <w:t xml:space="preserve">Acórdão do Tribunal de Justiça de 28 de maio de 2020</w:t>
        </w:r>
      </w:hyperlink>
      <w:r>
        <w:t xml:space="preserve"> no processo C-727/17, ECO-WIND Construction, n.os 45 a 47.</w:t>
      </w:r>
      <w:bookmarkEnd w:id="108"/>
    </w:p>
    <w:p w14:paraId="58A77184" w14:textId="77777777">
      <w:pPr>
        <w:widowControl w:val="0"/>
        <w:autoSpaceDE w:val="0"/>
        <w:autoSpaceDN w:val="0"/>
        <w:spacing w:after="0" w:line="240" w:lineRule="auto"/>
        <w:jc w:val="both"/>
        <w:rPr>
          <w:rFonts w:ascii="Times New Roman" w:hAnsi="Times New Roman" w:cs="Times New Roman" w:eastAsia="Times New Roman"/>
          <w:szCs w:val="20"/>
        </w:rPr>
      </w:pPr>
    </w:p>
    <w:p w14:paraId="2ABAB16B" w14:textId="5B45D2BF">
      <w:pPr>
        <w:pStyle w:val="P68B1DB1-Normal14"/>
        <w:widowControl w:val="0"/>
        <w:autoSpaceDE w:val="0"/>
        <w:autoSpaceDN w:val="0"/>
        <w:spacing w:after="0" w:line="240" w:lineRule="auto"/>
        <w:jc w:val="both"/>
      </w:pPr>
      <w:r>
        <w:t xml:space="preserve">Uma legislação que impõe uma distância mínima para a instalação de turbinas eólicas não constitui uma proibição de fabrico, importação, comercialização ou utilização de um produto, a menos que implique uma proibição de facto da comercialização de turbinas eólicas, sem deixar margem para qualquer utilização de turbinas eólicas que não seja puramente marginal.</w:t>
      </w:r>
    </w:p>
    <w:p w14:paraId="57350EE4" w14:textId="77777777">
      <w:pPr>
        <w:pStyle w:val="BodyText"/>
        <w:jc w:val="left"/>
      </w:pPr>
    </w:p>
    <w:p w14:paraId="671DACC6" w14:textId="1CB89713">
      <w:pPr>
        <w:pStyle w:val="P68B1DB1-BodyText19"/>
        <w:ind w:left="567"/>
        <w:rPr>
          <w:iCs/>
        </w:rPr>
      </w:pPr>
      <w:r>
        <w:t xml:space="preserve">«45. Esta categoria pressupõe que a medida em causa tenha um alcance que ultrapasse claramente uma limitação a certas utilizações do produto em causa e que não se limite a uma simples restrição da sua utilização (Acórdãos de 21 de abril de 2005, Lindberg, C-267/03, n.º 76, e de 19 de julho de 2012, Fortuna e o., C-213/11, C-214/11 e C-217/11, n.º 31).</w:t>
      </w:r>
    </w:p>
    <w:p w14:paraId="787A0A4F" w14:textId="77777777">
      <w:pPr>
        <w:pStyle w:val="P68B1DB1-BodyText19"/>
        <w:ind w:left="567"/>
        <w:rPr>
          <w:iCs/>
        </w:rPr>
      </w:pPr>
    </w:p>
    <w:p w14:paraId="7CEA657E" w14:textId="35F61E5B">
      <w:pPr>
        <w:pStyle w:val="P68B1DB1-BodyText19"/>
        <w:ind w:left="567"/>
        <w:rPr>
          <w:iCs/>
        </w:rPr>
      </w:pPr>
      <w:r>
        <w:t xml:space="preserve">46. Esta categoria visa, em especial, as medidas nacionais que não deixam margem para qualquer utilização que possa razoavelmente ser feita do produto em causa para além de uma utilização puramente marginal (Acórdãos de 21 de abril de 2005, Lindberg, C-267/03, n.º 77, e de 19 de julho de 2012, Fortuna e o., C-213/11, C-214/11 e C-217/11, n.º 32).</w:t>
      </w:r>
    </w:p>
    <w:p w14:paraId="47448916" w14:textId="77777777">
      <w:pPr>
        <w:pStyle w:val="P68B1DB1-BodyText19"/>
        <w:ind w:left="567"/>
        <w:rPr>
          <w:iCs/>
        </w:rPr>
      </w:pPr>
    </w:p>
    <w:p w14:paraId="6508CA59" w14:textId="00D7F268">
      <w:pPr>
        <w:pStyle w:val="P68B1DB1-BodyText19"/>
        <w:ind w:left="567"/>
        <w:rPr>
          <w:iCs/>
        </w:rPr>
      </w:pPr>
      <w:r>
        <w:t xml:space="preserve">47. No caso em apreço, embora a exigência de que a instalação de uma turbina eólica esteja sujeita ao cumprimento do requisito de uma distância mínima entre essa turbina eólica e os edifícios com uma função residencial, imposta pela regulamentação nacional em causa no processo principal, inclua, é certo, uma proibição de instalar uma turbina eólica a uma distância mínima inferior a dez vezes a altura total da instalação prevista de qualquer edifício com uma função residencial, há que salientar que esta regulamentação não proíbe, todavia, os operadores económicos de continuarem a instalar turbinas eólicas e, portanto, de utilizarem e comercializarem geradores eólicos.»</w:t>
      </w:r>
    </w:p>
    <w:p w14:paraId="17B77596" w14:textId="77777777">
      <w:pPr>
        <w:pStyle w:val="P68B1DB1-Normal4"/>
        <w:spacing w:after="0" w:line="240" w:lineRule="auto"/>
        <w:rPr>
          <w:rFonts w:ascii="Times New Roman" w:hAnsi="Times New Roman" w:cs="Times New Roman" w:eastAsia="Times New Roman"/>
          <w:i/>
          <w:iCs/>
          <w:szCs w:val="20"/>
        </w:rPr>
      </w:pPr>
      <w:r>
        <w:br w:type="page"/>
      </w:r>
    </w:p>
    <w:p w14:paraId="235FB3C0" w14:textId="44F6C5C7">
      <w:pPr>
        <w:pStyle w:val="P68B1DB1-Heading24"/>
        <w:numPr>
          <w:ilvl w:val="0"/>
          <w:numId w:val="35"/>
        </w:numPr>
        <w:spacing w:before="0" w:after="0"/>
        <w:jc w:val="center"/>
        <w:rPr>
          <w:bCs/>
          <w:color w:val="auto"/>
        </w:rPr>
      </w:pPr>
      <w:bookmarkStart w:id="109" w:name="_Ref194484603"/>
      <w:bookmarkStart w:id="110" w:name="_Toc203035671"/>
      <w:r>
        <w:t xml:space="preserve">Regulamentos técnicos de Facto</w:t>
      </w:r>
      <w:bookmarkEnd w:id="109"/>
      <w:bookmarkEnd w:id="110"/>
    </w:p>
    <w:p w14:paraId="297F85EC" w14:textId="77777777">
      <w:pPr>
        <w:pStyle w:val="BodyText"/>
      </w:pPr>
    </w:p>
    <w:p w14:paraId="6C908457" w14:textId="3B825828">
      <w:pPr>
        <w:pStyle w:val="P68B1DB1-BodyText11"/>
        <w:ind w:left="567"/>
        <w:rPr>
          <w:i/>
        </w:rPr>
      </w:pPr>
      <w:r>
        <w:t xml:space="preserve">«A regulamentação técnica de facto inclui: </w:t>
      </w:r>
    </w:p>
    <w:p w14:paraId="277715A6" w14:textId="77777777">
      <w:pPr>
        <w:pStyle w:val="BodyText"/>
        <w:ind w:left="567"/>
        <w:rPr>
          <w:i/>
        </w:rPr>
      </w:pPr>
    </w:p>
    <w:p w14:paraId="28BCD2BD" w14:textId="757EEC79">
      <w:pPr>
        <w:pStyle w:val="P68B1DB1-BodyText11"/>
        <w:numPr>
          <w:ilvl w:val="0"/>
          <w:numId w:val="31"/>
        </w:numPr>
        <w:rPr>
          <w:i/>
        </w:rPr>
      </w:pPr>
      <w:r>
        <w:t xml:space="preserve">as disposições legislativas, regulamentares ou administrativas de um Estado-Membro que remetam para especificações técnicas, outras exigências ou regras relativas aos serviços, ou para códigos profissionais ou de boas práticas que se refiram a especificações técnicas, a outras exigências ou a regras relativas aos serviços, cuja observância confira uma presunção de conformidade com as prescrições estabelecidas pelas referidas disposições legislativas, regulamentares ou administrativas, </w:t>
      </w:r>
    </w:p>
    <w:p w14:paraId="32E4257D" w14:textId="77777777">
      <w:pPr>
        <w:pStyle w:val="BodyText"/>
        <w:ind w:left="1287"/>
        <w:rPr>
          <w:i/>
        </w:rPr>
      </w:pPr>
    </w:p>
    <w:p w14:paraId="5E0B6B62" w14:textId="2D5EF06C">
      <w:pPr>
        <w:pStyle w:val="P68B1DB1-BodyText11"/>
        <w:numPr>
          <w:ilvl w:val="0"/>
          <w:numId w:val="31"/>
        </w:numPr>
        <w:rPr>
          <w:i/>
        </w:rPr>
      </w:pPr>
      <w:r>
        <w:t xml:space="preserve">os acordos voluntários em que uma entidade pública seja parte contratante e que visem, numa perspetiva de interesse geral, a observância de especificações técnicas, de outras exigências ou de regras relativas aos serviços, com exceção dos cadernos de encargos dos contratos públicos; </w:t>
      </w:r>
    </w:p>
    <w:p w14:paraId="4BEF10A9" w14:textId="77777777">
      <w:pPr>
        <w:pStyle w:val="BodyText"/>
        <w:rPr>
          <w:i/>
        </w:rPr>
      </w:pPr>
    </w:p>
    <w:p w14:paraId="5C79F6B1" w14:textId="7967F579">
      <w:pPr>
        <w:pStyle w:val="P68B1DB1-BodyText11"/>
        <w:numPr>
          <w:ilvl w:val="0"/>
          <w:numId w:val="31"/>
        </w:numPr>
        <w:rPr>
          <w:i/>
        </w:rPr>
      </w:pPr>
      <w:r>
        <w:t xml:space="preserve">as especificações técnicas, outras exigências ou regras relativas aos serviços, relacionados com medidas de caráter fiscal ou financeiro que afetem o consumo de produtos ou de serviços, incitando à observância dessas especificações técnicas, outras exigências, ou regras relativas aos serviços; não se incluem as especificações técnicas, outras exigências ou as regras relativas aos serviços relacionados com os regimes nacionais de segurança social. </w:t>
      </w:r>
    </w:p>
    <w:p w14:paraId="712A28B1" w14:textId="77777777">
      <w:pPr>
        <w:pStyle w:val="BodyText"/>
        <w:rPr>
          <w:i/>
        </w:rPr>
      </w:pPr>
    </w:p>
    <w:p w14:paraId="24545D3F" w14:textId="615DFC82">
      <w:pPr>
        <w:pStyle w:val="P68B1DB1-BodyText11"/>
        <w:ind w:left="567"/>
        <w:rPr>
          <w:i/>
        </w:rPr>
      </w:pPr>
      <w:r>
        <w:t xml:space="preserve">Trata-se de regras técnicas impostas pelas autoridades designadas pelos Estados-Membros e constantes de uma lista elaborada e atualizada, se for caso disso, pela Comissão, no âmbito do comité referido no artigo 2.º.»</w:t>
      </w:r>
    </w:p>
    <w:p w14:paraId="5E87FB40" w14:textId="77777777">
      <w:pPr>
        <w:pStyle w:val="BodyText"/>
        <w:ind w:left="567"/>
        <w:rPr>
          <w:i/>
        </w:rPr>
      </w:pPr>
    </w:p>
    <w:p w14:paraId="5389ED96" w14:textId="0CBC1966">
      <w:pPr>
        <w:pStyle w:val="BodyText"/>
        <w:jc w:val="right"/>
      </w:pPr>
      <w:r>
        <w:t xml:space="preserve">(artigo 1.º, n.º 1, alínea f), segunda e terceira frases, da Diretiva (UE) 2015/1535)</w:t>
      </w:r>
    </w:p>
    <w:p w14:paraId="1343FCC6" w14:textId="77777777">
      <w:pPr>
        <w:pStyle w:val="BodyText"/>
        <w:ind w:left="567"/>
        <w:rPr>
          <w:i/>
          <w:iCs/>
          <w:sz w:val="20"/>
        </w:rPr>
      </w:pPr>
    </w:p>
    <w:p w14:paraId="46B01CEE" w14:textId="37C6A676">
      <w:pPr>
        <w:pStyle w:val="P68B1DB1-Normal13"/>
        <w:widowControl w:val="0"/>
        <w:autoSpaceDE w:val="0"/>
        <w:autoSpaceDN w:val="0"/>
        <w:spacing w:after="0" w:line="240" w:lineRule="auto"/>
        <w:jc w:val="both"/>
        <w:outlineLvl w:val="1"/>
      </w:pPr>
      <w:hyperlink r:id="rId66" w:history="1">
        <w:r>
          <w:rPr>
            <w:color w:val="0000FF"/>
            <w:u w:val="single"/>
          </w:rPr>
          <w:t xml:space="preserve">Acórdão do Tribunal de Justiça de 20 de março de 1997</w:t>
        </w:r>
      </w:hyperlink>
      <w:r>
        <w:t xml:space="preserve"> no processo C-13/96, Bic Benelux, n.os 23 a 25</w:t>
      </w:r>
      <w:bookmarkEnd w:id="111"/>
    </w:p>
    <w:p w14:paraId="6D52B9D0"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19AF5B39" w14:textId="5DD94CEA">
      <w:pPr>
        <w:pStyle w:val="P68B1DB1-Normal14"/>
        <w:widowControl w:val="0"/>
        <w:tabs>
          <w:tab w:val="left" w:pos="396"/>
          <w:tab w:val="left" w:pos="400"/>
        </w:tabs>
        <w:autoSpaceDE w:val="0"/>
        <w:autoSpaceDN w:val="0"/>
        <w:spacing w:after="0" w:line="240" w:lineRule="auto"/>
        <w:jc w:val="both"/>
      </w:pPr>
      <w:r>
        <w:t xml:space="preserve">Um requisito de marcação destinado a informar o consumidor da pegada ambiental de determinados produtos e associado a um imposto, mas constitui uma especificação técnica. Não pode ser considerada exclusivamente «ligada a uma medida fiscal» e, por conseguinte, não está abrangida pela definição de «regras técnicas de facto».</w:t>
      </w:r>
    </w:p>
    <w:p w14:paraId="34416FD0" w14:textId="77777777">
      <w:pPr>
        <w:pStyle w:val="P68B1DB1-Normal15"/>
        <w:widowControl w:val="0"/>
        <w:autoSpaceDE w:val="0"/>
        <w:autoSpaceDN w:val="0"/>
        <w:spacing w:after="0" w:line="240" w:lineRule="auto"/>
        <w:jc w:val="both"/>
      </w:pPr>
    </w:p>
    <w:p w14:paraId="308DB606" w14:textId="777B30B5">
      <w:pPr>
        <w:pStyle w:val="P68B1DB1-Normal15"/>
        <w:widowControl w:val="0"/>
        <w:autoSpaceDE w:val="0"/>
        <w:autoSpaceDN w:val="0"/>
        <w:spacing w:after="0" w:line="240" w:lineRule="auto"/>
        <w:ind w:left="510"/>
        <w:jc w:val="both"/>
      </w:pPr>
      <w:r>
        <w:t xml:space="preserve">«23. [...] em primeiro lugar, a exigência de marcação em causa no processo principal constitui, segundo a definição constante do artigo 1.º, n.º 5, da Diretiva 83/189, uma regra técnica de jure, na medida em que o seu «respeito [...] é obrigatório [...] em caso de comercialização» do produto em causa e é, segundo a definição constante do artigo 1.º, n.º 1, uma especificação técnica, uma vez que a adoção define «as características exigidas de um produto, tais como [...] as exigências aplicáveis ao produto em matéria de [...] marcação ou rotulagem». </w:t>
      </w:r>
    </w:p>
    <w:p w14:paraId="05172C30" w14:textId="77777777">
      <w:pPr>
        <w:pStyle w:val="P68B1DB1-Normal15"/>
        <w:widowControl w:val="0"/>
        <w:autoSpaceDE w:val="0"/>
        <w:autoSpaceDN w:val="0"/>
        <w:spacing w:after="0" w:line="240" w:lineRule="auto"/>
        <w:ind w:left="510"/>
        <w:jc w:val="both"/>
      </w:pPr>
    </w:p>
    <w:p w14:paraId="136F7452" w14:textId="4C08810C">
      <w:pPr>
        <w:pStyle w:val="P68B1DB1-Normal15"/>
        <w:widowControl w:val="0"/>
        <w:autoSpaceDE w:val="0"/>
        <w:autoSpaceDN w:val="0"/>
        <w:spacing w:after="0" w:line="240" w:lineRule="auto"/>
        <w:ind w:left="510"/>
        <w:jc w:val="both"/>
      </w:pPr>
      <w:r>
        <w:t xml:space="preserve">24. Observe-se, em segundo lugar, que a marcação em causa tem como objetivo, nomeadamente, informar o público quanto aos efeitos dos produtos no ambiente e que o Governo belga confirmou a importância que devia ser reconhecida a este aspeto das regras relativas à marcação. O objetivo da ecotaxa, que é a proteção do ambiente, é assim reforçado pela marcação, que, do mesmo modo que outras inscrições ecológicas, relacionadas ou não com ecotaxas, recordam aos consumidores os efeitos nocivos dos produtos em causa para o ambiente. </w:t>
      </w:r>
    </w:p>
    <w:p w14:paraId="630640E3" w14:textId="77777777">
      <w:pPr>
        <w:pStyle w:val="P68B1DB1-Normal15"/>
        <w:widowControl w:val="0"/>
        <w:autoSpaceDE w:val="0"/>
        <w:autoSpaceDN w:val="0"/>
        <w:spacing w:after="0" w:line="240" w:lineRule="auto"/>
        <w:ind w:left="510"/>
        <w:jc w:val="both"/>
      </w:pPr>
    </w:p>
    <w:p w14:paraId="2F553F93" w14:textId="7D4B80F2">
      <w:pPr>
        <w:pStyle w:val="P68B1DB1-Normal15"/>
        <w:widowControl w:val="0"/>
        <w:autoSpaceDE w:val="0"/>
        <w:autoSpaceDN w:val="0"/>
        <w:spacing w:after="0" w:line="240" w:lineRule="auto"/>
        <w:ind w:left="510"/>
        <w:jc w:val="both"/>
      </w:pPr>
      <w:r>
        <w:t xml:space="preserve">25. Uma vez que a exigência de marcação em causa não pode de modo algum ser considerada exclusivamente uma medida de acompanhamento fiscal, não constitui, portanto, uma exigência ligada a uma medida fiscal na aceção do artigo 1.º, n.º 9, segundo parágrafo, terceiro travessão, da Diretiva 83/189, com a redação que lhe foi dada pela Diretiva 94/10.»</w:t>
      </w:r>
    </w:p>
    <w:p w14:paraId="2A051963" w14:textId="77777777">
      <w:pPr>
        <w:pStyle w:val="BodyText"/>
        <w:rPr>
          <w:i/>
          <w:iCs/>
          <w:sz w:val="20"/>
        </w:rPr>
      </w:pPr>
    </w:p>
    <w:p w14:paraId="0C96C56C" w14:textId="48164FB1">
      <w:pPr>
        <w:pStyle w:val="P68B1DB1-Normal14"/>
        <w:widowControl w:val="0"/>
        <w:autoSpaceDE w:val="0"/>
        <w:autoSpaceDN w:val="0"/>
        <w:spacing w:after="0" w:line="240" w:lineRule="auto"/>
        <w:jc w:val="both"/>
        <w:outlineLvl w:val="1"/>
        <w:rPr>
          <w:b/>
          <w:i/>
        </w:rPr>
      </w:pPr>
      <w:hyperlink r:id="rId67" w:history="1">
        <w:r>
          <w:rPr>
            <w:b/>
            <w:i/>
            <w:color w:val="0000FF"/>
            <w:u w:val="single"/>
          </w:rPr>
          <w:t xml:space="preserve">Acórdão do Tribunal de Justiça de 10 de julho de 2014 no processo</w:t>
        </w:r>
        <w:r>
          <w:rPr>
            <w:b/>
            <w:i/>
          </w:rPr>
          <w:t xml:space="preserve"> C-307/13, Ivansson</w:t>
        </w:r>
        <w:r>
          <w:rPr>
            <w:b/>
            <w:i/>
            <w:color w:val="0000FF"/>
            <w:u w:val="single"/>
          </w:rPr>
          <w:t xml:space="preserve"> </w:t>
        </w:r>
        <w:r>
          <w:rPr>
            <w:b/>
            <w:i/>
          </w:rPr>
          <w:t xml:space="preserve"> e o.</w:t>
        </w:r>
        <w:r>
          <w:rPr>
            <w:b/>
            <w:i/>
            <w:color w:val="0000FF"/>
            <w:u w:val="single"/>
          </w:rPr>
          <w:t xml:space="preserve">, n.os 30 e 31.</w:t>
        </w:r>
      </w:hyperlink>
      <w:bookmarkEnd w:id="112"/>
    </w:p>
    <w:p w14:paraId="0F2071D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BC0205" w14:textId="0A761A08">
      <w:pPr>
        <w:pStyle w:val="P68B1DB1-Normal14"/>
        <w:widowControl w:val="0"/>
        <w:tabs>
          <w:tab w:val="left" w:pos="396"/>
          <w:tab w:val="left" w:pos="407"/>
        </w:tabs>
        <w:autoSpaceDE w:val="0"/>
        <w:autoSpaceDN w:val="0"/>
        <w:spacing w:after="0" w:line="240" w:lineRule="auto"/>
        <w:jc w:val="both"/>
      </w:pPr>
      <w:r>
        <w:t xml:space="preserve">Uma referência a regras administrativas pormenorizadas que contenham «especificações técnicas» ou «outras exigências» pode conferir a um projeto de lei o estatuto de «regra técnica de facto».</w:t>
      </w:r>
    </w:p>
    <w:p w14:paraId="49A66D81" w14:textId="77777777">
      <w:pPr>
        <w:widowControl w:val="0"/>
        <w:tabs>
          <w:tab w:val="left" w:pos="396"/>
          <w:tab w:val="left" w:pos="407"/>
        </w:tabs>
        <w:autoSpaceDE w:val="0"/>
        <w:autoSpaceDN w:val="0"/>
        <w:spacing w:after="0" w:line="240" w:lineRule="auto"/>
        <w:jc w:val="both"/>
        <w:rPr>
          <w:rFonts w:ascii="Times New Roman" w:hAnsi="Times New Roman" w:cs="Times New Roman" w:eastAsia="Times New Roman"/>
          <w:szCs w:val="20"/>
        </w:rPr>
      </w:pPr>
    </w:p>
    <w:p w14:paraId="5AA4573D" w14:textId="6BC7CE32">
      <w:pPr>
        <w:pStyle w:val="P68B1DB1-Normal15"/>
        <w:widowControl w:val="0"/>
        <w:tabs>
          <w:tab w:val="left" w:pos="396"/>
          <w:tab w:val="left" w:pos="407"/>
        </w:tabs>
        <w:autoSpaceDE w:val="0"/>
        <w:autoSpaceDN w:val="0"/>
        <w:spacing w:after="0" w:line="240" w:lineRule="auto"/>
        <w:ind w:left="567"/>
        <w:jc w:val="both"/>
        <w:rPr>
          <w:iCs/>
        </w:rPr>
      </w:pPr>
      <w:r>
        <w:t xml:space="preserve">«30. [...] há que considerar que, embora este </w:t>
      </w:r>
      <w:r>
        <w:rPr>
          <w:i w:val="0"/>
        </w:rPr>
        <w:t xml:space="preserve">número [do direito nacional]</w:t>
      </w:r>
      <w:r>
        <w:t xml:space="preserve"> não constitua, em si mesmo, uma regra técnica, no seu segundo parágrafo remete para disposições adicionais relativas à criação de galinhas que seriam comunicadas posteriormente pelo Conselho de Agricultura.</w:t>
      </w:r>
    </w:p>
    <w:p w14:paraId="6DB3B6F8" w14:textId="77777777">
      <w:pPr>
        <w:pStyle w:val="P68B1DB1-Normal15"/>
        <w:widowControl w:val="0"/>
        <w:tabs>
          <w:tab w:val="left" w:pos="396"/>
          <w:tab w:val="left" w:pos="407"/>
        </w:tabs>
        <w:autoSpaceDE w:val="0"/>
        <w:autoSpaceDN w:val="0"/>
        <w:spacing w:after="0" w:line="240" w:lineRule="auto"/>
        <w:ind w:left="567"/>
        <w:jc w:val="both"/>
        <w:rPr>
          <w:iCs/>
        </w:rPr>
      </w:pPr>
    </w:p>
    <w:p w14:paraId="7D1833D5" w14:textId="7451C7D7">
      <w:pPr>
        <w:pStyle w:val="P68B1DB1-Normal15"/>
        <w:widowControl w:val="0"/>
        <w:tabs>
          <w:tab w:val="left" w:pos="396"/>
          <w:tab w:val="left" w:pos="407"/>
        </w:tabs>
        <w:autoSpaceDE w:val="0"/>
        <w:autoSpaceDN w:val="0"/>
        <w:spacing w:after="0" w:line="240" w:lineRule="auto"/>
        <w:ind w:left="567"/>
        <w:jc w:val="both"/>
        <w:rPr>
          <w:iCs/>
        </w:rPr>
      </w:pPr>
      <w:r>
        <w:t xml:space="preserve">31. Essa referência a regras administrativas mais pormenorizadas é suscetível, desde que se possa considerar que constituem, elas próprias, «especificações técnicas» ou «outras exigências», de conferir a qualidade de «regra técnica de facto» ao § 9 do DSF, em conformidade com o artigo 1.º, n.º 11, primeiro travessão, da Diretiva 98/34.»</w:t>
      </w:r>
    </w:p>
    <w:p w14:paraId="770077A5" w14:textId="77777777">
      <w:pPr>
        <w:pStyle w:val="BodyText"/>
        <w:rPr>
          <w:i/>
          <w:iCs/>
          <w:sz w:val="20"/>
        </w:rPr>
      </w:pPr>
    </w:p>
    <w:p w14:paraId="0CF29864" w14:textId="5F056C69">
      <w:pPr>
        <w:pStyle w:val="P68B1DB1-Normal13"/>
        <w:widowControl w:val="0"/>
        <w:autoSpaceDE w:val="0"/>
        <w:autoSpaceDN w:val="0"/>
        <w:spacing w:after="0" w:line="240" w:lineRule="auto"/>
        <w:jc w:val="both"/>
        <w:outlineLvl w:val="1"/>
      </w:pPr>
      <w:hyperlink r:id="rId68" w:anchor="ctx1" w:history="1">
        <w:r>
          <w:rPr>
            <w:color w:val="0000FF"/>
            <w:u w:val="single"/>
          </w:rPr>
          <w:t xml:space="preserve">Acórdão do Tribunal de Justiça de 11 de junho de 2015</w:t>
        </w:r>
      </w:hyperlink>
      <w:r>
        <w:t xml:space="preserve"> no processo C-98/14, Berlington Hungary e o., n.os 95 a 97.</w:t>
      </w:r>
      <w:bookmarkEnd w:id="113"/>
    </w:p>
    <w:p w14:paraId="51CCE70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C8DCCD" w14:textId="152D2442">
      <w:pPr>
        <w:pStyle w:val="P68B1DB1-Normal14"/>
        <w:widowControl w:val="0"/>
        <w:tabs>
          <w:tab w:val="left" w:pos="396"/>
          <w:tab w:val="left" w:pos="398"/>
        </w:tabs>
        <w:autoSpaceDE w:val="0"/>
        <w:autoSpaceDN w:val="0"/>
        <w:spacing w:after="0" w:line="240" w:lineRule="auto"/>
        <w:jc w:val="both"/>
      </w:pPr>
      <w:r>
        <w:t xml:space="preserve">As disposições nacionais que multiplicam por cinco o imposto devido sobre as máquinas de jogo operadas em salas de jogos e introduzem também um imposto proporcional sobre essa atividade não constituem «regras técnicas de facto», uma vez que se trata de disposições fiscais e não de «especificações técnicas ligadas a uma regra fiscal» na aceção da diretiva.</w:t>
      </w:r>
    </w:p>
    <w:p w14:paraId="00CB80B7"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5DBF183B" w14:textId="70A7203F">
      <w:pPr>
        <w:pStyle w:val="P68B1DB1-Normal15"/>
        <w:widowControl w:val="0"/>
        <w:tabs>
          <w:tab w:val="left" w:pos="396"/>
          <w:tab w:val="left" w:pos="449"/>
        </w:tabs>
        <w:autoSpaceDE w:val="0"/>
        <w:autoSpaceDN w:val="0"/>
        <w:spacing w:after="0" w:line="240" w:lineRule="auto"/>
        <w:ind w:left="567"/>
        <w:jc w:val="both"/>
      </w:pPr>
      <w:r>
        <w:t xml:space="preserve">«95. Nos termos do artigo 1.º, n.º 11, terceiro travessão, desta diretiva, as «regras técnicas de facto», na aceção desta disposição, consistem em «especificações técnicas ou outras exigências ou regras relativas aos serviços relacionadas com medidas fiscais ou financeiras que afetem o consumo de produtos ou serviços, incentivando o cumprimento dessas especificações técnicas ou de outras exigências ou regras relativas aos serviços».</w:t>
      </w:r>
    </w:p>
    <w:p w14:paraId="07116B99" w14:textId="77777777">
      <w:pPr>
        <w:pStyle w:val="P68B1DB1-Normal15"/>
        <w:widowControl w:val="0"/>
        <w:tabs>
          <w:tab w:val="left" w:pos="396"/>
          <w:tab w:val="left" w:pos="449"/>
        </w:tabs>
        <w:autoSpaceDE w:val="0"/>
        <w:autoSpaceDN w:val="0"/>
        <w:spacing w:after="0" w:line="240" w:lineRule="auto"/>
        <w:ind w:left="567"/>
        <w:jc w:val="both"/>
      </w:pPr>
    </w:p>
    <w:p w14:paraId="42599018" w14:textId="2DFE2CF5">
      <w:pPr>
        <w:pStyle w:val="P68B1DB1-Normal15"/>
        <w:widowControl w:val="0"/>
        <w:tabs>
          <w:tab w:val="left" w:pos="396"/>
          <w:tab w:val="left" w:pos="449"/>
        </w:tabs>
        <w:autoSpaceDE w:val="0"/>
        <w:autoSpaceDN w:val="0"/>
        <w:spacing w:after="0" w:line="240" w:lineRule="auto"/>
        <w:ind w:left="567"/>
        <w:jc w:val="both"/>
      </w:pPr>
      <w:r>
        <w:t xml:space="preserve">96. Resulta desta redação que o conceito de «regras técnicas de facto» designa não as medidas fiscais propriamente ditas, mas as especificações técnicas ou outras exigências que lhe estão associadas.</w:t>
      </w:r>
    </w:p>
    <w:p w14:paraId="00F9B573" w14:textId="77777777">
      <w:pPr>
        <w:pStyle w:val="P68B1DB1-Normal15"/>
        <w:widowControl w:val="0"/>
        <w:tabs>
          <w:tab w:val="left" w:pos="396"/>
          <w:tab w:val="left" w:pos="449"/>
        </w:tabs>
        <w:autoSpaceDE w:val="0"/>
        <w:autoSpaceDN w:val="0"/>
        <w:spacing w:after="0" w:line="240" w:lineRule="auto"/>
        <w:ind w:left="567"/>
        <w:jc w:val="both"/>
      </w:pPr>
    </w:p>
    <w:p w14:paraId="60E2105A" w14:textId="6B2A54B5">
      <w:pPr>
        <w:pStyle w:val="P68B1DB1-Normal15"/>
        <w:widowControl w:val="0"/>
        <w:tabs>
          <w:tab w:val="left" w:pos="396"/>
          <w:tab w:val="left" w:pos="449"/>
        </w:tabs>
        <w:autoSpaceDE w:val="0"/>
        <w:autoSpaceDN w:val="0"/>
        <w:spacing w:after="0" w:line="240" w:lineRule="auto"/>
        <w:ind w:left="567"/>
        <w:jc w:val="both"/>
        <w:rPr>
          <w:iCs/>
        </w:rPr>
      </w:pPr>
      <w:r>
        <w:t xml:space="preserve">97. Por conseguinte, uma legislação fiscal como a que está em causa no processo principal, que não é acompanhada de nenhuma especificação técnica ou de qualquer outra exigência que pretensamente vise assegurar o seu cumprimento, não pode ser qualificada de «regra técnica de facto».»</w:t>
      </w:r>
    </w:p>
    <w:p w14:paraId="37BAFBC9" w14:textId="77777777">
      <w:pPr>
        <w:pStyle w:val="BodyText"/>
        <w:rPr>
          <w:i/>
          <w:iCs/>
          <w:sz w:val="20"/>
        </w:rPr>
      </w:pPr>
    </w:p>
    <w:p w14:paraId="7274149C" w14:textId="5D545442">
      <w:pPr>
        <w:pStyle w:val="P68B1DB1-Normal13"/>
        <w:widowControl w:val="0"/>
        <w:autoSpaceDE w:val="0"/>
        <w:autoSpaceDN w:val="0"/>
        <w:spacing w:after="0" w:line="240" w:lineRule="auto"/>
        <w:jc w:val="both"/>
        <w:outlineLvl w:val="1"/>
      </w:pPr>
      <w:hyperlink r:id="rId69" w:history="1">
        <w:r>
          <w:rPr>
            <w:color w:val="0000FF"/>
            <w:u w:val="single"/>
          </w:rPr>
          <w:t xml:space="preserve">Acórdão de 8 de outubro de 2020</w:t>
        </w:r>
      </w:hyperlink>
      <w:r>
        <w:t xml:space="preserve">, Admiral Sportwetten e o., n.os 38 e 41</w:t>
      </w:r>
      <w:bookmarkEnd w:id="114"/>
    </w:p>
    <w:p w14:paraId="6A479E47"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58900280" w14:textId="5B06B273">
      <w:pPr>
        <w:pStyle w:val="P68B1DB1-Normal14"/>
        <w:widowControl w:val="0"/>
        <w:tabs>
          <w:tab w:val="left" w:pos="537"/>
          <w:tab w:val="left" w:pos="539"/>
        </w:tabs>
        <w:autoSpaceDE w:val="0"/>
        <w:autoSpaceDN w:val="0"/>
        <w:spacing w:after="0" w:line="240" w:lineRule="auto"/>
        <w:jc w:val="both"/>
      </w:pPr>
      <w:r>
        <w:t xml:space="preserve">A legislação fiscal, que não é acompanhada de nenhuma «especificação técnica» ou de qualquer outra exigência que vise assegurar o seu cumprimento, não pode ser qualificada de «regra técnica de facto». Uma legislação fiscal nacional que prevê a tributação da exploração de máquinas de apostas desportivas não constitui, portanto, uma «regra técnica».</w:t>
      </w:r>
    </w:p>
    <w:p w14:paraId="27BCDA3E"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130D4C07" w14:textId="276A8931">
      <w:pPr>
        <w:pStyle w:val="P68B1DB1-Normal15"/>
        <w:widowControl w:val="0"/>
        <w:tabs>
          <w:tab w:val="left" w:pos="537"/>
          <w:tab w:val="left" w:pos="539"/>
        </w:tabs>
        <w:autoSpaceDE w:val="0"/>
        <w:autoSpaceDN w:val="0"/>
        <w:spacing w:after="0" w:line="240" w:lineRule="auto"/>
        <w:ind w:left="567"/>
        <w:jc w:val="both"/>
        <w:rPr>
          <w:iCs/>
        </w:rPr>
      </w:pPr>
      <w:r>
        <w:t xml:space="preserve">«38. [...] no que respeita às regras técnicas de facto, na aceção do artigo 1.º, n.º 1, alínea f), iii), da Diretiva 2015/1535, o Tribunal de Justiça já declarou que uma regulamentação fiscal, que não é acompanhada de nenhuma especificação técnica ou de qualquer outra exigência que pretensamente vise assegurar o seu cumprimento, não pode ser qualificada de «regra técnica de facto» (v., neste sentido, Acórdão de 11 de junho de 2015, Berlington Hungary</w:t>
        <w:noBreakHyphen/>
        <w:t xml:space="preserve">e o., C 98/14, n.º 97).»</w:t>
      </w:r>
    </w:p>
    <w:p w14:paraId="002A514F" w14:textId="77777777">
      <w:pPr>
        <w:widowControl w:val="0"/>
        <w:tabs>
          <w:tab w:val="left" w:pos="537"/>
          <w:tab w:val="left" w:pos="539"/>
        </w:tabs>
        <w:autoSpaceDE w:val="0"/>
        <w:autoSpaceDN w:val="0"/>
        <w:spacing w:after="0" w:line="240" w:lineRule="auto"/>
        <w:ind w:left="567"/>
        <w:jc w:val="both"/>
        <w:rPr>
          <w:rFonts w:ascii="Times New Roman" w:hAnsi="Times New Roman" w:cs="Times New Roman" w:eastAsia="Times New Roman"/>
          <w:i/>
          <w:iCs/>
          <w:sz w:val="20"/>
          <w:szCs w:val="16"/>
        </w:rPr>
      </w:pPr>
    </w:p>
    <w:p w14:paraId="727DEFFB" w14:textId="18B04311">
      <w:pPr>
        <w:pStyle w:val="P68B1DB1-Normal15"/>
        <w:widowControl w:val="0"/>
        <w:tabs>
          <w:tab w:val="left" w:pos="537"/>
          <w:tab w:val="left" w:pos="539"/>
        </w:tabs>
        <w:autoSpaceDE w:val="0"/>
        <w:autoSpaceDN w:val="0"/>
        <w:spacing w:after="0" w:line="240" w:lineRule="auto"/>
        <w:ind w:left="567"/>
        <w:jc w:val="both"/>
        <w:rPr>
          <w:iCs/>
        </w:rPr>
      </w:pPr>
      <w:r>
        <w:t>«</w:t>
      </w:r>
      <w:bookmarkStart w:id="115" w:name="point41"/>
      <w:r>
        <w:t>41</w:t>
      </w:r>
      <w:bookmarkEnd w:id="115"/>
      <w:r>
        <w:t xml:space="preserve">. Por conseguinte, tendo em conta todas as considerações precedentes, há que responder à primeira questão que o artigo 1.º da Diretiva 2015/1535 deve ser interpretado no sentido de que uma regra fiscal nacional que prevê a tributação da exploração de terminais de apostas não constitui uma «regra técnica», na aceção deste artigo.»</w:t>
      </w:r>
    </w:p>
    <w:p w14:paraId="5C076B9C" w14:textId="77777777">
      <w:pPr>
        <w:pStyle w:val="BodyText"/>
        <w:rPr>
          <w:i/>
          <w:iCs/>
          <w:sz w:val="20"/>
        </w:rPr>
      </w:pPr>
    </w:p>
    <w:p w14:paraId="5F483606" w14:textId="4F0BCA0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70" w:history="1">
        <w:r>
          <w:rPr>
            <w:rStyle w:val="Hyperlink"/>
            <w:rFonts w:ascii="Times New Roman" w:hAnsi="Times New Roman" w:cs="Times New Roman" w:eastAsia="Times New Roman"/>
            <w:b/>
            <w:i/>
            <w:color w:val="0000FF"/>
            <w:szCs w:val="20"/>
          </w:rPr>
          <w:t xml:space="preserve">Acórdão de 22 de dezembro de 2022</w:t>
        </w:r>
      </w:hyperlink>
      <w:r>
        <w:rPr>
          <w:rFonts w:ascii="Times New Roman" w:hAnsi="Times New Roman" w:cs="Times New Roman" w:eastAsia="Times New Roman"/>
          <w:b/>
          <w:i/>
          <w:szCs w:val="20"/>
        </w:rPr>
        <w:t xml:space="preserve">, Airbnb Ireland e Airbnb Payments UK,</w:t>
        <w:noBreakHyphen/>
        <w:t xml:space="preserve">C 83/21, Õ, n.os 29 e 30</w:t>
      </w:r>
      <w:bookmarkEnd w:id="116"/>
    </w:p>
    <w:p w14:paraId="704D5C2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1AD7B89C" w14:textId="00C14D39">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Style w:val="P68B1DB1-Normal14"/>
      </w:pPr>
      <w:r>
        <w:t xml:space="preserve">Uma legislação de natureza fiscal não pode, enquanto tal, ser qualificada de «regra técnica de facto».</w:t>
      </w:r>
    </w:p>
    <w:p w14:paraId="19FFADF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7EE5EF44" w14:textId="19450D26">
      <w:pPr>
        <w:pStyle w:val="P68B1DB1-BodyText19"/>
        <w:ind w:left="567"/>
      </w:pPr>
      <w:r>
        <w:t xml:space="preserve">«29. Em terceiro lugar, no que respeita à Diretiva 2015/1535, importa salientar que esta visa «o Tratado [FUE], nomeadamente os artigos 114.º, 337.º e 43.º». Assim, há que salientar antes de mais que a exclusão prevista no artigo 114.º, n.º 2, TFUE, relativa às «disposições fiscais», também se aplica a propósito desta diretiva, pelas razões expostas no n.º 25 do presente acórdão.</w:t>
      </w:r>
    </w:p>
    <w:p w14:paraId="5619063A" w14:textId="77777777">
      <w:pPr>
        <w:pStyle w:val="P68B1DB1-BodyText19"/>
        <w:ind w:left="567"/>
      </w:pPr>
    </w:p>
    <w:p w14:paraId="43BD732D" w14:textId="6B6E6B11">
      <w:pPr>
        <w:pStyle w:val="P68B1DB1-BodyText19"/>
        <w:ind w:left="567"/>
        <w:rPr>
          <w:iCs/>
        </w:rPr>
      </w:pPr>
      <w:r>
        <w:t xml:space="preserve">30. Além disso, o teor da Diretiva 2015/1535 confirma indiretamente a exclusão das «disposições fiscais» do seu âmbito de aplicação, uma vez que a redação do artigo 1.º, n.º 1, alínea f), iii), desta diretiva menciona, entre as regras técnicas de facto, as especificações técnicas, outras exigências ou regras relativas aos serviços, «relacionados com medidas de caráter fiscal ou financeiro». Não se trata, portanto, de medidas fiscais efetivas, mas apenas de medidas ligadas a medidas fiscais (v., neste sentido, Acórdão de 8 de outubro de 2020, Admiral Sportwetten e o., C-711/19, n.º 38); por conseguinte, estes permanecem, enquanto tais, fora do âmbito de aplicação da referida diretiva.»</w:t>
      </w:r>
    </w:p>
    <w:p w14:paraId="5775DA65" w14:textId="01ED6DBB">
      <w:pPr>
        <w:pStyle w:val="P68B1DB1-Normal4"/>
        <w:spacing w:after="0" w:line="240" w:lineRule="auto"/>
        <w:rPr>
          <w:rFonts w:ascii="Times New Roman" w:hAnsi="Times New Roman" w:cs="Times New Roman" w:eastAsia="Times New Roman"/>
          <w:i/>
          <w:iCs/>
          <w:szCs w:val="20"/>
        </w:rPr>
      </w:pPr>
      <w:r>
        <w:br w:type="page"/>
      </w:r>
    </w:p>
    <w:p w14:paraId="5F7E7C6E" w14:textId="032BD921">
      <w:pPr>
        <w:pStyle w:val="P68B1DB1-Heading24"/>
        <w:numPr>
          <w:ilvl w:val="0"/>
          <w:numId w:val="35"/>
        </w:numPr>
        <w:spacing w:before="0" w:after="0"/>
        <w:jc w:val="center"/>
        <w:rPr>
          <w:bCs/>
          <w:color w:val="auto"/>
        </w:rPr>
      </w:pPr>
      <w:bookmarkStart w:id="117" w:name="_Ref196314231"/>
      <w:bookmarkStart w:id="118" w:name="_Ref194484613"/>
      <w:bookmarkStart w:id="119" w:name="_Toc203035672"/>
      <w:r>
        <w:t xml:space="preserve">Matérias excluídas</w:t>
      </w:r>
      <w:bookmarkEnd w:id="117"/>
      <w:bookmarkEnd w:id="118"/>
      <w:bookmarkEnd w:id="119"/>
    </w:p>
    <w:p w14:paraId="1278603B" w14:textId="77777777">
      <w:pPr>
        <w:pStyle w:val="BodyText"/>
        <w:rPr>
          <w:b/>
          <w:bCs/>
        </w:rPr>
      </w:pPr>
    </w:p>
    <w:p w14:paraId="1B32B976" w14:textId="77777777">
      <w:pPr>
        <w:pStyle w:val="P68B1DB1-BodyText11"/>
        <w:ind w:left="567"/>
      </w:pPr>
      <w:r>
        <w:t xml:space="preserve">«2. A presente diretiva não se aplica: </w:t>
      </w:r>
    </w:p>
    <w:p w14:paraId="04019AF2" w14:textId="77777777">
      <w:pPr>
        <w:pStyle w:val="P68B1DB1-BodyText11"/>
        <w:ind w:left="1287" w:firstLine="153"/>
      </w:pPr>
      <w:r>
        <w:t xml:space="preserve">a) Serviços de radiodifusão sonora; </w:t>
      </w:r>
    </w:p>
    <w:p w14:paraId="1EADA741" w14:textId="108B47F0">
      <w:pPr>
        <w:pStyle w:val="P68B1DB1-BodyText11"/>
        <w:ind w:left="1440"/>
      </w:pPr>
      <w:r>
        <w:t xml:space="preserve">b) Serviços de radiodifusão televisiva abrangidos pelo artigo 1.º, n.º 1, alínea e), da Diretiva 2010/13/UE do Parlamento Europeu e do Conselho (1). </w:t>
      </w:r>
    </w:p>
    <w:p w14:paraId="7DD31811" w14:textId="77777777">
      <w:pPr>
        <w:pStyle w:val="P68B1DB1-BodyText11"/>
        <w:ind w:left="567"/>
      </w:pPr>
    </w:p>
    <w:p w14:paraId="21C04911" w14:textId="0885ED27">
      <w:pPr>
        <w:pStyle w:val="P68B1DB1-BodyText11"/>
        <w:ind w:left="567"/>
      </w:pPr>
      <w:r>
        <w:t xml:space="preserve">3. A presente diretiva não se aplica às regras relativas a matérias abrangidas pela legislação da União no domínio dos serviços de telecomunicações, tal como abrangidas pela Diretiva 2002/21/CE do Parlamento Europeu e do Conselho (2). </w:t>
      </w:r>
    </w:p>
    <w:p w14:paraId="14E66827" w14:textId="77777777">
      <w:pPr>
        <w:pStyle w:val="P68B1DB1-BodyText11"/>
        <w:ind w:left="567"/>
      </w:pPr>
    </w:p>
    <w:p w14:paraId="21D3AD3B" w14:textId="663656A4">
      <w:pPr>
        <w:pStyle w:val="P68B1DB1-BodyText11"/>
        <w:ind w:left="567"/>
      </w:pPr>
      <w:r>
        <w:t xml:space="preserve">4. A presente diretiva não se aplica às regras relativas a matérias abrangidas pela legislação da União no domínio dos serviços financeiros, enumeradas de forma não exaustiva no anexo II da presente diretiva. </w:t>
      </w:r>
    </w:p>
    <w:p w14:paraId="0E58960E" w14:textId="77777777">
      <w:pPr>
        <w:pStyle w:val="P68B1DB1-BodyText11"/>
        <w:ind w:left="567"/>
      </w:pPr>
    </w:p>
    <w:p w14:paraId="66AEA247" w14:textId="77777777">
      <w:pPr>
        <w:pStyle w:val="P68B1DB1-BodyText11"/>
        <w:ind w:left="567"/>
      </w:pPr>
      <w:r>
        <w:t xml:space="preserve">5. Com exceção do artigo 5.º, n.º 3, a presente diretiva não se aplica às regras adotadas por ou para os mercados regulamentados, na aceção da Diretiva 2004/39/CE do Parlamento Europeu e do Conselho (3), ou por ou para outros mercados ou organismos que desempenhem funções de compensação ou liquidação nesses mercados.</w:t>
      </w:r>
    </w:p>
    <w:p w14:paraId="5D510CB9" w14:textId="77777777">
      <w:pPr>
        <w:pStyle w:val="P68B1DB1-BodyText11"/>
        <w:ind w:left="567"/>
      </w:pPr>
    </w:p>
    <w:p w14:paraId="70E3F74F" w14:textId="117D7E99">
      <w:pPr>
        <w:pStyle w:val="P68B1DB1-BodyText11"/>
        <w:ind w:left="567"/>
      </w:pPr>
      <w:r>
        <w:t xml:space="preserve">6. A presente diretiva não se aplica às medidas que os Estados-Membros considerem necessárias, no âmbito dos Tratados, para assegurar a proteção das pessoas, e em especial dos trabalhadores, durante a utilização dos produtos, desde que essas medidas não afetem esses produtos.</w:t>
      </w:r>
    </w:p>
    <w:p w14:paraId="24FE75EA" w14:textId="77777777">
      <w:pPr>
        <w:pStyle w:val="P68B1DB1-BodyText11"/>
        <w:ind w:left="567"/>
      </w:pPr>
    </w:p>
    <w:p w14:paraId="74938EC0" w14:textId="5965F3C9">
      <w:pPr>
        <w:pStyle w:val="BodyText"/>
        <w:ind w:left="1080"/>
        <w:jc w:val="right"/>
      </w:pPr>
      <w:r>
        <w:t xml:space="preserve">[Artigo 1.º, n.º 2, a (6) da Diretiva (UE) 2015/1535]</w:t>
      </w:r>
    </w:p>
    <w:p w14:paraId="2BAD670C" w14:textId="77777777">
      <w:pPr>
        <w:pStyle w:val="BodyText"/>
        <w:rPr>
          <w:i/>
          <w:iCs/>
          <w:sz w:val="20"/>
        </w:rPr>
      </w:pPr>
    </w:p>
    <w:p w14:paraId="0C974BBF" w14:textId="3B58908A">
      <w:pPr>
        <w:pStyle w:val="P68B1DB1-BodyText23"/>
        <w:ind w:left="567"/>
        <w:rPr>
          <w:iCs/>
        </w:rPr>
      </w:pPr>
      <w:r>
        <w:t xml:space="preserve">««radiodifusão televisiva» ou «radiodifusão televisiva» (ou seja, um serviço de comunicação social audiovisual linear), um serviço de comunicação social audiovisual prestado por um fornecedor de serviços de comunicação social para visualização simultânea de programas com base numa grelha de programas;»</w:t>
      </w:r>
    </w:p>
    <w:p w14:paraId="68D48BC5" w14:textId="77777777">
      <w:pPr>
        <w:pStyle w:val="BodyText"/>
        <w:ind w:left="567"/>
        <w:rPr>
          <w:i/>
          <w:iCs/>
          <w:szCs w:val="24"/>
        </w:rPr>
      </w:pPr>
    </w:p>
    <w:p w14:paraId="1E9F9AD6" w14:textId="648E8643">
      <w:pPr>
        <w:pStyle w:val="BodyText"/>
        <w:ind w:left="1080"/>
        <w:jc w:val="right"/>
      </w:pPr>
      <w:r>
        <w:t xml:space="preserve">(Artigo 1.º, n.º 1, alínea e), da Diretiva 2010/13/UE)</w:t>
      </w:r>
    </w:p>
    <w:p w14:paraId="13E3D11F" w14:textId="77777777">
      <w:pPr>
        <w:pStyle w:val="BodyText"/>
        <w:ind w:left="1080"/>
        <w:jc w:val="right"/>
      </w:pPr>
    </w:p>
    <w:p w14:paraId="6E0ADBB8" w14:textId="55100584">
      <w:pPr>
        <w:pStyle w:val="P68B1DB1-BodyText11"/>
        <w:jc w:val="center"/>
        <w:rPr>
          <w:i/>
        </w:rPr>
      </w:pPr>
      <w:r>
        <w:t xml:space="preserve">Lista indicativa dos serviços financeiros previstos no artigo 1.º, n.º 4,</w:t>
      </w:r>
    </w:p>
    <w:p w14:paraId="25F72A02" w14:textId="77777777">
      <w:pPr>
        <w:pStyle w:val="BodyText"/>
        <w:jc w:val="center"/>
        <w:rPr>
          <w:i/>
        </w:rPr>
      </w:pPr>
    </w:p>
    <w:p w14:paraId="319C26B1" w14:textId="77777777">
      <w:pPr>
        <w:pStyle w:val="P68B1DB1-BodyText11"/>
        <w:ind w:left="567"/>
        <w:rPr>
          <w:i/>
        </w:rPr>
      </w:pPr>
      <w:r>
        <w:t xml:space="preserve">— Serviços de investimento, </w:t>
      </w:r>
    </w:p>
    <w:p w14:paraId="4E853016" w14:textId="77777777">
      <w:pPr>
        <w:pStyle w:val="P68B1DB1-BodyText11"/>
        <w:ind w:left="567"/>
        <w:rPr>
          <w:i/>
        </w:rPr>
      </w:pPr>
      <w:r>
        <w:t xml:space="preserve">— operações de seguro e resseguro, </w:t>
      </w:r>
    </w:p>
    <w:p w14:paraId="6692A963" w14:textId="77777777">
      <w:pPr>
        <w:pStyle w:val="P68B1DB1-BodyText11"/>
        <w:ind w:left="567"/>
        <w:rPr>
          <w:i/>
        </w:rPr>
      </w:pPr>
      <w:r>
        <w:t xml:space="preserve">— serviços bancários, </w:t>
      </w:r>
    </w:p>
    <w:p w14:paraId="23791C4C" w14:textId="77777777">
      <w:pPr>
        <w:pStyle w:val="P68B1DB1-BodyText11"/>
        <w:ind w:left="567"/>
        <w:rPr>
          <w:i/>
        </w:rPr>
      </w:pPr>
      <w:r>
        <w:t xml:space="preserve">— operações relativas a fundos de pensões, </w:t>
      </w:r>
    </w:p>
    <w:p w14:paraId="783F6792" w14:textId="77777777">
      <w:pPr>
        <w:pStyle w:val="P68B1DB1-BodyText11"/>
        <w:ind w:left="567"/>
        <w:rPr>
          <w:i/>
        </w:rPr>
      </w:pPr>
      <w:r>
        <w:t xml:space="preserve">— serviços relativos a operações a prazo ou a opções. </w:t>
      </w:r>
    </w:p>
    <w:p w14:paraId="2DCD1B55" w14:textId="77777777">
      <w:pPr>
        <w:pStyle w:val="BodyText"/>
        <w:ind w:left="567"/>
        <w:rPr>
          <w:i/>
        </w:rPr>
      </w:pPr>
    </w:p>
    <w:p w14:paraId="337555AF" w14:textId="77777777">
      <w:pPr>
        <w:pStyle w:val="P68B1DB1-BodyText11"/>
        <w:ind w:left="567"/>
        <w:rPr>
          <w:i/>
        </w:rPr>
      </w:pPr>
      <w:r>
        <w:t xml:space="preserve">Esses serviços incluem, nomeadamente: </w:t>
      </w:r>
    </w:p>
    <w:p w14:paraId="3764E7FA" w14:textId="7CA8CD82">
      <w:pPr>
        <w:pStyle w:val="P68B1DB1-BodyText11"/>
        <w:ind w:left="567"/>
        <w:rPr>
          <w:i/>
        </w:rPr>
      </w:pPr>
      <w:r>
        <w:t xml:space="preserve">a) Serviços de investimento referidos no anexo da Diretiva 2004/39/CE; serviços de organismos de investimento coletivo; </w:t>
      </w:r>
    </w:p>
    <w:p w14:paraId="5E0AD7FB" w14:textId="67C20460">
      <w:pPr>
        <w:pStyle w:val="P68B1DB1-BodyText11"/>
        <w:ind w:left="567"/>
        <w:rPr>
          <w:i/>
        </w:rPr>
      </w:pPr>
      <w:r>
        <w:t xml:space="preserve">b) Serviços abrangidos pelas atividades sujeitas ao reconhecimento mútuo referidas no anexo I da Diretiva 2013/36/UE do Parlamento Europeu e do Conselho (1); </w:t>
      </w:r>
    </w:p>
    <w:p w14:paraId="48C2F22B" w14:textId="3B1B8A48">
      <w:pPr>
        <w:pStyle w:val="P68B1DB1-BodyText11"/>
        <w:ind w:left="567"/>
        <w:rPr>
          <w:i/>
        </w:rPr>
      </w:pPr>
      <w:r>
        <w:t xml:space="preserve">c) Operações abrangidas pelas atividades de seguro e resseguro referidas na Diretiva 2009/138/CE do Parlamento Europeu e do Conselho (2).</w:t>
      </w:r>
    </w:p>
    <w:p w14:paraId="29E9A8E3" w14:textId="77777777">
      <w:pPr>
        <w:pStyle w:val="BodyText"/>
        <w:ind w:left="720"/>
        <w:rPr>
          <w:i/>
        </w:rPr>
      </w:pPr>
    </w:p>
    <w:p w14:paraId="79D13F1F" w14:textId="142C9AC5">
      <w:pPr>
        <w:pStyle w:val="BodyText"/>
        <w:ind w:left="1080"/>
        <w:jc w:val="right"/>
      </w:pPr>
      <w:r>
        <w:t xml:space="preserve">(Anexo II da Diretiva (UE) 2015/1535)</w:t>
      </w:r>
    </w:p>
    <w:p w14:paraId="0C95D790" w14:textId="77777777">
      <w:pPr>
        <w:pStyle w:val="BodyText"/>
        <w:ind w:left="567"/>
        <w:rPr>
          <w:i/>
          <w:iCs/>
          <w:szCs w:val="24"/>
        </w:rPr>
      </w:pPr>
    </w:p>
    <w:p w14:paraId="7A47117F" w14:textId="7E196DE2">
      <w:pPr>
        <w:pStyle w:val="P68B1DB1-BodyText23"/>
        <w:ind w:left="567"/>
        <w:rPr>
          <w:iCs/>
        </w:rPr>
      </w:pPr>
      <w:r>
        <w:t xml:space="preserve">««mercado regulamentado», um sistema multilateral operado e/ou gerido por um operador de mercado, que reúne ou facilita o encontro de múltiplos interesses de compra e venda de instrumentos financeiros manifestados por terceiros — no sistema e de acordo com as suas regras não discricionárias — de uma forma que resulte num contrato relativo aos instrumentos financeiros admitidos à negociação ao abrigo das suas regras e/ou sistemas, e que esteja autorizado e funcione regularmente e em conformidade com o Título III da presente diretiva;»</w:t>
      </w:r>
    </w:p>
    <w:p w14:paraId="326B89D5" w14:textId="77777777">
      <w:pPr>
        <w:pStyle w:val="BodyText"/>
        <w:ind w:left="567"/>
        <w:rPr>
          <w:i/>
          <w:iCs/>
          <w:szCs w:val="24"/>
        </w:rPr>
      </w:pPr>
    </w:p>
    <w:p w14:paraId="2EE59DAD" w14:textId="7FE2F68F">
      <w:pPr>
        <w:pStyle w:val="P68B1DB1-BodyText24"/>
        <w:ind w:left="567"/>
        <w:jc w:val="right"/>
      </w:pPr>
      <w:r>
        <w:t xml:space="preserve">(Artigo 4.º, n.º 21, da Diretiva 2014/65/UE, </w:t>
      </w:r>
    </w:p>
    <w:p w14:paraId="510D994F" w14:textId="6EE676DC">
      <w:pPr>
        <w:pStyle w:val="P68B1DB1-BodyText24"/>
        <w:ind w:left="567"/>
        <w:jc w:val="right"/>
      </w:pPr>
      <w:r>
        <w:t xml:space="preserve">reformulação da Diretiva 2004/39/CE) </w:t>
      </w:r>
    </w:p>
    <w:p w14:paraId="4A6FAABA" w14:textId="77777777">
      <w:pPr>
        <w:pStyle w:val="BodyText"/>
        <w:rPr>
          <w:i/>
          <w:iCs/>
          <w:sz w:val="20"/>
        </w:rPr>
      </w:pPr>
    </w:p>
    <w:p w14:paraId="0469372E" w14:textId="4281AF71">
      <w:pPr>
        <w:widowControl w:val="0"/>
        <w:autoSpaceDE w:val="0"/>
        <w:autoSpaceDN w:val="0"/>
        <w:spacing w:after="0" w:line="240" w:lineRule="auto"/>
        <w:jc w:val="both"/>
        <w:rPr>
          <w:rFonts w:ascii="Times New Roman" w:hAnsi="Times New Roman" w:cs="Times New Roman" w:eastAsia="Times New Roman"/>
          <w:i/>
          <w:iCs/>
          <w:sz w:val="20"/>
          <w:szCs w:val="16"/>
        </w:rPr>
      </w:pPr>
      <w:hyperlink r:id="rId71" w:history="1">
        <w:r>
          <w:rPr>
            <w:rStyle w:val="Hyperlink"/>
            <w:rFonts w:ascii="Times New Roman" w:hAnsi="Times New Roman" w:cs="Times New Roman" w:eastAsia="Times New Roman"/>
            <w:b/>
            <w:i/>
            <w:color w:val="0000FF"/>
            <w:szCs w:val="20"/>
          </w:rPr>
          <w:t xml:space="preserve">Acórdão do Tribunal de Justiça de 2 de junho de 2005</w:t>
        </w:r>
      </w:hyperlink>
      <w:r>
        <w:rPr>
          <w:rFonts w:ascii="Times New Roman" w:hAnsi="Times New Roman" w:cs="Times New Roman" w:eastAsia="Times New Roman"/>
          <w:b/>
          <w:i/>
          <w:szCs w:val="20"/>
        </w:rPr>
        <w:t xml:space="preserve"> no processo C-89/04, Mediakabel BV, n.os 22 e 23.</w:t>
      </w:r>
    </w:p>
    <w:p w14:paraId="5376935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F56159" w14:textId="0FDB95BE">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Um serviço de radiodifusão televisiva disponível a pedido do assinante, que consiste em filmes cuja frequência e calendário são determinados pelo fornecedor, constitui um serviço de «quase vídeo a pedido» abrangido pelo conceito de «serviços de radiodifusão televisiva». Este conceito é definido de forma autónoma pela Diretiva 2010/13/UE (antiga Diretiva 89/552/CEE), independentemente do conceito de «serviço da sociedade da informação».</w:t>
      </w:r>
    </w:p>
    <w:p w14:paraId="558582FC"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B878292" w14:textId="6F6E7A42">
      <w:pPr>
        <w:pStyle w:val="P68B1DB1-Normal15"/>
        <w:widowControl w:val="0"/>
        <w:autoSpaceDE w:val="0"/>
        <w:autoSpaceDN w:val="0"/>
        <w:spacing w:after="0" w:line="240" w:lineRule="auto"/>
        <w:ind w:left="567"/>
        <w:jc w:val="both"/>
      </w:pPr>
      <w:r>
        <w:t xml:space="preserve">«22. [...] o alcance do conceito de «radiodifusão televisiva» não pode certamente ser inferido pela exclusão do conceito de «serviço da sociedade da informação». A Diretiva 98/34, tanto no seu artigo 1.º, n.º 2, como no seu anexo V, refere-se a serviços que não estão abrangidos pelo conceito de «serviço da sociedade da informação» e que não constituem, enquanto tais, serviços de radiodifusão televisiva. É o caso, nomeadamente, dos serviços de radiodifusão sonora. De igual modo, os serviços de radiodifusão televisiva não podem estar limitados aos serviços «fornecidos por envio de dados sem pedido individual e destinados à receção simultânea por um número ilimitado de destinatários», referidos no anexo V, ponto 3, da Diretiva 98/34. A consagrar-se tal interpretação, serviços como os de televisão por assinatura, difundidos para um número limitado de destinatários, seriam excluídos do conceito de «serviços de radiodifusão televisiva», quando integrem esse conceito, por força dos critérios fixados no artigo 1.º, alínea a), da Diretiva 89/552.</w:t>
      </w:r>
    </w:p>
    <w:p w14:paraId="08A8E406" w14:textId="77777777">
      <w:pPr>
        <w:pStyle w:val="P68B1DB1-Normal15"/>
        <w:widowControl w:val="0"/>
        <w:autoSpaceDE w:val="0"/>
        <w:autoSpaceDN w:val="0"/>
        <w:spacing w:after="0" w:line="240" w:lineRule="auto"/>
        <w:ind w:left="567"/>
        <w:jc w:val="both"/>
      </w:pPr>
    </w:p>
    <w:p w14:paraId="1DB468BF" w14:textId="6C9EEDEF">
      <w:pPr>
        <w:pStyle w:val="P68B1DB1-Normal15"/>
        <w:widowControl w:val="0"/>
        <w:autoSpaceDE w:val="0"/>
        <w:autoSpaceDN w:val="0"/>
        <w:spacing w:after="0" w:line="240" w:lineRule="auto"/>
        <w:ind w:left="567"/>
        <w:jc w:val="both"/>
        <w:rPr>
          <w:iCs/>
        </w:rPr>
      </w:pPr>
      <w:r>
        <w:t xml:space="preserve">23. Por último, não fazia parte das intenções do legislador comunitário, quando foram adotadas as Diretivas 98/34 e 98/48, alterar a Diretiva 89/552, que tinha sido modificada menos de um ano antes pela Diretiva 97/36. Assim, o considerando 20 da Diretiva 98/48, que alterou a Diretiva 98/34, precisa que a Diretiva 98/48 «não prejudica o âmbito de aplicação da Diretiva 89/552».</w:t>
      </w:r>
    </w:p>
    <w:p w14:paraId="044761EE" w14:textId="77777777">
      <w:pPr>
        <w:widowControl w:val="0"/>
        <w:autoSpaceDE w:val="0"/>
        <w:autoSpaceDN w:val="0"/>
        <w:spacing w:after="0" w:line="240" w:lineRule="auto"/>
        <w:jc w:val="both"/>
        <w:outlineLvl w:val="1"/>
      </w:pPr>
    </w:p>
    <w:p w14:paraId="52CB59CA" w14:textId="489ADDC7">
      <w:pPr>
        <w:pStyle w:val="P68B1DB1-Normal13"/>
        <w:widowControl w:val="0"/>
        <w:autoSpaceDE w:val="0"/>
        <w:autoSpaceDN w:val="0"/>
        <w:spacing w:after="0" w:line="240" w:lineRule="auto"/>
        <w:jc w:val="both"/>
        <w:outlineLvl w:val="1"/>
      </w:pPr>
      <w:hyperlink r:id="rId72" w:history="1">
        <w:r>
          <w:rPr>
            <w:color w:val="0000FF"/>
            <w:u w:val="single"/>
          </w:rPr>
          <w:t xml:space="preserve">Acórdão do Tribunal de Justiça de 12 de setembro de 2019</w:t>
        </w:r>
      </w:hyperlink>
      <w:r>
        <w:t xml:space="preserve"> no processo C-299/17, VG Media, n.º 38.</w:t>
      </w:r>
      <w:bookmarkEnd w:id="120"/>
    </w:p>
    <w:p w14:paraId="5E406CB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8980D4F" w14:textId="59AFD09D">
      <w:pPr>
        <w:pStyle w:val="P68B1DB1-Normal14"/>
        <w:widowControl w:val="0"/>
        <w:autoSpaceDE w:val="0"/>
        <w:autoSpaceDN w:val="0"/>
        <w:spacing w:after="0" w:line="240" w:lineRule="auto"/>
        <w:jc w:val="both"/>
      </w:pPr>
      <w:r>
        <w:t xml:space="preserve">As «regras técnicas» no domínio da propriedade intelectual não estão excluídas do âmbito de aplicação da diretiva, contrariamente às relativas às telecomunicações ou aos serviços financeiros.</w:t>
      </w:r>
    </w:p>
    <w:p w14:paraId="2C438590"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A61B68C" w14:textId="2AD8E891">
      <w:pPr>
        <w:pStyle w:val="P68B1DB1-Normal15"/>
        <w:widowControl w:val="0"/>
        <w:autoSpaceDE w:val="0"/>
        <w:autoSpaceDN w:val="0"/>
        <w:spacing w:after="0" w:line="240" w:lineRule="auto"/>
        <w:ind w:left="567"/>
        <w:jc w:val="both"/>
        <w:rPr>
          <w:iCs/>
        </w:rPr>
      </w:pPr>
      <w:r>
        <w:t>«</w:t>
      </w:r>
      <w:r>
        <w:t xml:space="preserve">38. [...] o facto de o § 87 g (4) da UrhG fazer parte de uma legislação nacional relativa ao direito de autor ou aos direitos conexos não é suscetível de pôr em causa esta apreciação. Com efeito, as regras técnicas em matéria de propriedade intelectual não estão expressamente excluídas do âmbito de aplicação do artigo 1.º, n.º 5, da Diretiva 98/34, ao contrário das que são objeto de uma regulamentação europeia em matéria de serviços de telecomunicações ou de serviços financeiros. Além disso, resulta do Acórdão de 8 de novembro de 2007, Schwibbert (C</w:t>
        <w:noBreakHyphen/>
        <w:t xml:space="preserve">20/05), que as disposições da legislação nacional em matéria de propriedade intelectual podem constituir uma «regra técnica» sujeita a notificação nos termos do artigo 8.º, n.º 1, da referida diretiva.»</w:t>
      </w:r>
    </w:p>
    <w:p w14:paraId="0BCBB4FB" w14:textId="0520F280">
      <w:pPr>
        <w:pStyle w:val="P68B1DB1-Normal16"/>
        <w:spacing w:after="0" w:line="240" w:lineRule="auto"/>
        <w:rPr>
          <w:i/>
          <w:iCs/>
        </w:rPr>
      </w:pPr>
      <w:r>
        <w:br w:type="page"/>
      </w:r>
    </w:p>
    <w:p w14:paraId="2B0FDBC5" w14:textId="7963B447">
      <w:pPr>
        <w:pStyle w:val="P68B1DB1-Heading13"/>
        <w:numPr>
          <w:ilvl w:val="0"/>
          <w:numId w:val="34"/>
        </w:numPr>
        <w:spacing w:before="0" w:after="0"/>
        <w:jc w:val="center"/>
        <w:rPr>
          <w:color w:val="auto"/>
        </w:rPr>
      </w:pPr>
      <w:bookmarkStart w:id="121" w:name="_Ref194485776"/>
      <w:bookmarkStart w:id="122" w:name="_Toc203035673"/>
      <w:r>
        <w:t xml:space="preserve">Obrigação de notificação</w:t>
      </w:r>
      <w:bookmarkEnd w:id="121"/>
      <w:bookmarkEnd w:id="122"/>
    </w:p>
    <w:p w14:paraId="29E2BE4E" w14:textId="77777777">
      <w:pPr>
        <w:pStyle w:val="BodyText"/>
      </w:pPr>
    </w:p>
    <w:p w14:paraId="480A7F64" w14:textId="46AC3047">
      <w:pPr>
        <w:pStyle w:val="P68B1DB1-Heading24"/>
        <w:numPr>
          <w:ilvl w:val="0"/>
          <w:numId w:val="36"/>
        </w:numPr>
        <w:spacing w:before="0" w:after="0"/>
        <w:jc w:val="center"/>
        <w:rPr>
          <w:bCs/>
          <w:color w:val="auto"/>
        </w:rPr>
      </w:pPr>
      <w:bookmarkStart w:id="123" w:name="_Ref194942628"/>
      <w:bookmarkStart w:id="124" w:name="_Toc203035674"/>
      <w:bookmarkStart w:id="125" w:name="_Ref194484702"/>
      <w:r>
        <w:t xml:space="preserve">Notificação na fase de projeto</w:t>
      </w:r>
      <w:bookmarkEnd w:id="123"/>
      <w:bookmarkEnd w:id="124"/>
    </w:p>
    <w:p w14:paraId="27EBED2C" w14:textId="3CCBF668">
      <w:pPr>
        <w:pStyle w:val="BodyText"/>
        <w:rPr>
          <w:b/>
          <w:bCs/>
        </w:rPr>
      </w:pPr>
    </w:p>
    <w:p w14:paraId="58135D0C" w14:textId="021350D1">
      <w:pPr>
        <w:pStyle w:val="P68B1DB1-BodyText11"/>
        <w:ind w:left="567"/>
        <w:rPr>
          <w:iCs/>
        </w:rPr>
      </w:pPr>
      <w:r>
        <w:t xml:space="preserve">«Sob reserva do disposto no artigo 7.º, os Estados-Membros comunicam imediatamente à Comissão qualquer projeto de regra técnica, exceto se se tratar da mera transposição integral de uma norma internacional ou europeia, bastando neste caso uma simples informação relativa a essa norma. devem igualmente comunicar à Comissão os motivos que tornam necessária a adoção de tal regra técnica, se esses motivos ainda não tiverem sido explicitados no projeto.»</w:t>
      </w:r>
    </w:p>
    <w:p w14:paraId="79E57C28" w14:textId="77777777">
      <w:pPr>
        <w:pStyle w:val="BodyText"/>
        <w:ind w:left="567"/>
        <w:rPr>
          <w:i/>
          <w:iCs/>
        </w:rPr>
      </w:pPr>
    </w:p>
    <w:p w14:paraId="4348B9F9" w14:textId="1F348A6E">
      <w:pPr>
        <w:pStyle w:val="BodyText"/>
        <w:jc w:val="right"/>
      </w:pPr>
      <w:r>
        <w:t xml:space="preserve">(artigo 5.º, n.º 1, primeira frase, da Diretiva (UE) 2015/1535)</w:t>
      </w:r>
    </w:p>
    <w:p w14:paraId="41A26F8C" w14:textId="77777777">
      <w:pPr>
        <w:pStyle w:val="BodyText"/>
        <w:rPr>
          <w:b/>
          <w:bCs/>
        </w:rPr>
      </w:pPr>
    </w:p>
    <w:p w14:paraId="39D0E534" w14:textId="627C2341">
      <w:pPr>
        <w:pStyle w:val="P68B1DB1-Normal13"/>
        <w:widowControl w:val="0"/>
        <w:autoSpaceDE w:val="0"/>
        <w:autoSpaceDN w:val="0"/>
        <w:spacing w:after="0" w:line="240" w:lineRule="auto"/>
        <w:jc w:val="both"/>
        <w:outlineLvl w:val="1"/>
      </w:pPr>
      <w:hyperlink r:id="rId73" w:history="1">
        <w:r>
          <w:rPr>
            <w:color w:val="0000FF"/>
            <w:u w:val="single"/>
          </w:rPr>
          <w:t xml:space="preserve">Acórdão do Tribunal de Justiça de 2 de agosto de 1993</w:t>
        </w:r>
      </w:hyperlink>
      <w:r>
        <w:t xml:space="preserve"> no processo C-139/92, Comissão/Itália, n.os 8 e 9.</w:t>
      </w:r>
      <w:bookmarkEnd w:id="126"/>
    </w:p>
    <w:p w14:paraId="1DF5BE2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7852024" w14:textId="67891414">
      <w:pPr>
        <w:widowControl w:val="0"/>
        <w:tabs>
          <w:tab w:val="left" w:pos="413"/>
        </w:tabs>
        <w:autoSpaceDE w:val="0"/>
        <w:autoSpaceDN w:val="0"/>
        <w:spacing w:after="0" w:line="240" w:lineRule="auto"/>
        <w:jc w:val="both"/>
        <w:rPr>
          <w:rFonts w:ascii="Times New Roman" w:hAnsi="Times New Roman" w:cs="Times New Roman" w:eastAsia="Times New Roman"/>
          <w:szCs w:val="20"/>
        </w:rPr>
        <w:pStyle w:val="P68B1DB1-Normal14"/>
      </w:pPr>
      <w:r>
        <w:t xml:space="preserve">Ao não notificar, na fase de projeto, um decreto ministerial relativo à definição e verificação da potência máxima, bem como à construção e instalação de motores para embarcações de recreio, a Itália não cumpriu as suas obrigações de notificação dos projetos de regras técnicas.</w:t>
      </w:r>
    </w:p>
    <w:p w14:paraId="478B471D" w14:textId="77777777">
      <w:pPr>
        <w:widowControl w:val="0"/>
        <w:tabs>
          <w:tab w:val="left" w:pos="413"/>
        </w:tabs>
        <w:autoSpaceDE w:val="0"/>
        <w:autoSpaceDN w:val="0"/>
        <w:spacing w:after="0" w:line="240" w:lineRule="auto"/>
        <w:jc w:val="both"/>
        <w:rPr>
          <w:rFonts w:ascii="Times New Roman" w:hAnsi="Times New Roman" w:cs="Times New Roman" w:eastAsia="Times New Roman"/>
          <w:szCs w:val="20"/>
        </w:rPr>
      </w:pPr>
    </w:p>
    <w:p w14:paraId="622C52BD" w14:textId="5E5EDE3D">
      <w:pPr>
        <w:pStyle w:val="P68B1DB1-Normal15"/>
        <w:widowControl w:val="0"/>
        <w:tabs>
          <w:tab w:val="left" w:pos="413"/>
        </w:tabs>
        <w:autoSpaceDE w:val="0"/>
        <w:autoSpaceDN w:val="0"/>
        <w:spacing w:after="0" w:line="240" w:lineRule="auto"/>
        <w:ind w:left="567"/>
        <w:jc w:val="both"/>
      </w:pPr>
      <w:r>
        <w:t xml:space="preserve">«8. O Governo italiano não contesta que não comunicou o decreto ministerial em causa à Comissão na fase de projeto. </w:t>
      </w:r>
    </w:p>
    <w:p w14:paraId="7A672690" w14:textId="77777777">
      <w:pPr>
        <w:pStyle w:val="P68B1DB1-Normal15"/>
        <w:widowControl w:val="0"/>
        <w:tabs>
          <w:tab w:val="left" w:pos="413"/>
        </w:tabs>
        <w:autoSpaceDE w:val="0"/>
        <w:autoSpaceDN w:val="0"/>
        <w:spacing w:after="0" w:line="240" w:lineRule="auto"/>
        <w:ind w:left="567"/>
        <w:jc w:val="both"/>
      </w:pPr>
    </w:p>
    <w:p w14:paraId="29BAA761" w14:textId="7880A2A6">
      <w:pPr>
        <w:pStyle w:val="P68B1DB1-Normal15"/>
        <w:widowControl w:val="0"/>
        <w:tabs>
          <w:tab w:val="left" w:pos="413"/>
        </w:tabs>
        <w:autoSpaceDE w:val="0"/>
        <w:autoSpaceDN w:val="0"/>
        <w:spacing w:after="0" w:line="240" w:lineRule="auto"/>
        <w:ind w:left="567"/>
        <w:jc w:val="both"/>
      </w:pPr>
      <w:r>
        <w:t xml:space="preserve">9. Uma vez que se verifica a existência de uma violação dos artigos 8.º e 9.º da diretiva, há que declarar, nos termos pretendidos pela Comissão, a existência de um incumprimento.»</w:t>
      </w:r>
    </w:p>
    <w:p w14:paraId="78B40755" w14:textId="77777777">
      <w:pPr>
        <w:widowControl w:val="0"/>
        <w:tabs>
          <w:tab w:val="left" w:pos="413"/>
        </w:tabs>
        <w:autoSpaceDE w:val="0"/>
        <w:autoSpaceDN w:val="0"/>
        <w:spacing w:after="0" w:line="240" w:lineRule="auto"/>
        <w:ind w:left="567"/>
        <w:jc w:val="both"/>
        <w:rPr>
          <w:rFonts w:ascii="Times New Roman" w:hAnsi="Times New Roman" w:cs="Times New Roman" w:eastAsia="Times New Roman"/>
          <w:i/>
          <w:iCs/>
          <w:sz w:val="20"/>
          <w:szCs w:val="16"/>
        </w:rPr>
      </w:pPr>
    </w:p>
    <w:p w14:paraId="2D8A3294" w14:textId="363AC32B">
      <w:pPr>
        <w:pStyle w:val="P68B1DB1-Normal13"/>
        <w:widowControl w:val="0"/>
        <w:autoSpaceDE w:val="0"/>
        <w:autoSpaceDN w:val="0"/>
        <w:spacing w:after="0" w:line="240" w:lineRule="auto"/>
        <w:jc w:val="both"/>
        <w:outlineLvl w:val="1"/>
      </w:pPr>
      <w:hyperlink r:id="rId74" w:history="1">
        <w:r>
          <w:rPr>
            <w:color w:val="0000FF"/>
            <w:u w:val="single"/>
          </w:rPr>
          <w:t xml:space="preserve">Acórdão do Tribunal de Justiça de 14 de julho de 1994</w:t>
        </w:r>
      </w:hyperlink>
      <w:r>
        <w:t xml:space="preserve"> no processo C-61/93, Comissão/Países Baixos, n.os 6 e 10.</w:t>
      </w:r>
      <w:bookmarkEnd w:id="127"/>
    </w:p>
    <w:p w14:paraId="29C324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E58EFBE" w14:textId="7468B0CD">
      <w:pPr>
        <w:pStyle w:val="P68B1DB1-Normal14"/>
        <w:widowControl w:val="0"/>
        <w:tabs>
          <w:tab w:val="left" w:pos="405"/>
        </w:tabs>
        <w:autoSpaceDE w:val="0"/>
        <w:autoSpaceDN w:val="0"/>
        <w:spacing w:after="0" w:line="240" w:lineRule="auto"/>
        <w:jc w:val="both"/>
      </w:pPr>
      <w:r>
        <w:t xml:space="preserve">Ao adotar decretos relativos aos requisitos de resistência das garrafas para refrigerantes e à composição, classificação, embalagem e rotulagem dos pesticidas, sem os notificar à Comissão na fase de projeto, os Países Baixos não cumpriram as suas obrigações de notificação dos projetos de regras técnicas.</w:t>
      </w:r>
    </w:p>
    <w:p w14:paraId="74F221D0" w14:textId="77777777">
      <w:pPr>
        <w:widowControl w:val="0"/>
        <w:tabs>
          <w:tab w:val="left" w:pos="405"/>
        </w:tabs>
        <w:autoSpaceDE w:val="0"/>
        <w:autoSpaceDN w:val="0"/>
        <w:spacing w:after="0" w:line="240" w:lineRule="auto"/>
        <w:jc w:val="both"/>
        <w:rPr>
          <w:rFonts w:ascii="Times New Roman" w:hAnsi="Times New Roman" w:cs="Times New Roman" w:eastAsia="Times New Roman"/>
          <w:szCs w:val="20"/>
        </w:rPr>
      </w:pPr>
    </w:p>
    <w:p w14:paraId="080827F2" w14:textId="79ECA7FF">
      <w:pPr>
        <w:pStyle w:val="P68B1DB1-Normal15"/>
        <w:widowControl w:val="0"/>
        <w:tabs>
          <w:tab w:val="left" w:pos="405"/>
        </w:tabs>
        <w:autoSpaceDE w:val="0"/>
        <w:autoSpaceDN w:val="0"/>
        <w:spacing w:after="0" w:line="240" w:lineRule="auto"/>
        <w:ind w:left="567"/>
        <w:jc w:val="both"/>
        <w:rPr>
          <w:iCs/>
        </w:rPr>
      </w:pPr>
      <w:r>
        <w:t xml:space="preserve">«6. Por carta de 17 de novembro de 1989, as autoridades neerlandesas reconheceram que a decisão de 16 de janeiro de 1989 continha normas técnicas, na aceção das disposições da Diretiva 83/189, e que haviam omitido comunicá-la à Comissão na fase de projeto. Recordaram, no entanto, que o decreto tinha sido enviado à Comissão, anexado a uma carta de 22 de maio de 1989, que fornecia a esta instituição informações sobre a privatização das autoridades competentes em matéria de ponderadores e de medidas.»</w:t>
      </w:r>
    </w:p>
    <w:p w14:paraId="3BF11A4C" w14:textId="77777777">
      <w:pPr>
        <w:widowControl w:val="0"/>
        <w:tabs>
          <w:tab w:val="left" w:pos="405"/>
        </w:tabs>
        <w:autoSpaceDE w:val="0"/>
        <w:autoSpaceDN w:val="0"/>
        <w:spacing w:after="0" w:line="240" w:lineRule="auto"/>
        <w:ind w:left="567"/>
        <w:jc w:val="both"/>
        <w:rPr>
          <w:rFonts w:ascii="Times New Roman" w:hAnsi="Times New Roman" w:cs="Times New Roman" w:eastAsia="Times New Roman"/>
          <w:i/>
          <w:iCs/>
          <w:sz w:val="20"/>
          <w:szCs w:val="16"/>
        </w:rPr>
      </w:pPr>
    </w:p>
    <w:p w14:paraId="2B8AB5F8" w14:textId="06F5DED9">
      <w:pPr>
        <w:pStyle w:val="P68B1DB1-Normal15"/>
        <w:widowControl w:val="0"/>
        <w:tabs>
          <w:tab w:val="left" w:pos="405"/>
        </w:tabs>
        <w:autoSpaceDE w:val="0"/>
        <w:autoSpaceDN w:val="0"/>
        <w:spacing w:after="0" w:line="240" w:lineRule="auto"/>
        <w:ind w:left="567"/>
        <w:jc w:val="both"/>
        <w:rPr>
          <w:iCs/>
        </w:rPr>
      </w:pPr>
      <w:r>
        <w:t xml:space="preserve">«10. É pacífico que, em conformidade com o artigo 8.º da diretiva, os projetos de decretos de 16 de janeiro de 1989, 24 de agosto de 1988 e 21 de outubro de 1988 deveriam ter sido imediatamente notificados à Comissão na fase de elaboração e que essa notificação não foi efetuada.»</w:t>
      </w:r>
    </w:p>
    <w:p w14:paraId="0373B53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8FB31A8" w14:textId="5B58EFDA">
      <w:pPr>
        <w:pStyle w:val="P68B1DB1-Normal13"/>
        <w:widowControl w:val="0"/>
        <w:autoSpaceDE w:val="0"/>
        <w:autoSpaceDN w:val="0"/>
        <w:spacing w:after="0" w:line="240" w:lineRule="auto"/>
        <w:jc w:val="both"/>
        <w:outlineLvl w:val="1"/>
      </w:pPr>
      <w:hyperlink r:id="rId75" w:history="1">
        <w:r>
          <w:rPr>
            <w:color w:val="0000FF"/>
            <w:u w:val="single"/>
          </w:rPr>
          <w:t xml:space="preserve">Acórdão do Tribunal de Justiça de 14 de julho de 1994</w:t>
        </w:r>
      </w:hyperlink>
      <w:r>
        <w:t xml:space="preserve"> no processo C-52/93, Comissão/Países Baixos, n.os 6 e 10.</w:t>
      </w:r>
      <w:bookmarkEnd w:id="128"/>
    </w:p>
    <w:p w14:paraId="27ACC27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9AE01B0" w14:textId="3AD35C06">
      <w:pPr>
        <w:pStyle w:val="P68B1DB1-Normal14"/>
        <w:widowControl w:val="0"/>
        <w:tabs>
          <w:tab w:val="left" w:pos="400"/>
        </w:tabs>
        <w:autoSpaceDE w:val="0"/>
        <w:autoSpaceDN w:val="0"/>
        <w:spacing w:after="0" w:line="240" w:lineRule="auto"/>
        <w:jc w:val="both"/>
      </w:pPr>
      <w:r>
        <w:t xml:space="preserve">Ao alterar o regulamento relativo às normas de qualidade para os bolbos de flores sem o notificar à Comissão na fase de projeto, os Países Baixos não cumpriram as suas obrigações de notificação dos projetos de regras técnicas.</w:t>
      </w:r>
    </w:p>
    <w:p w14:paraId="13839355" w14:textId="77777777">
      <w:pPr>
        <w:widowControl w:val="0"/>
        <w:tabs>
          <w:tab w:val="left" w:pos="400"/>
        </w:tabs>
        <w:autoSpaceDE w:val="0"/>
        <w:autoSpaceDN w:val="0"/>
        <w:spacing w:after="0" w:line="240" w:lineRule="auto"/>
        <w:jc w:val="both"/>
        <w:rPr>
          <w:rFonts w:ascii="Times New Roman" w:hAnsi="Times New Roman" w:cs="Times New Roman" w:eastAsia="Times New Roman"/>
          <w:szCs w:val="20"/>
        </w:rPr>
      </w:pPr>
    </w:p>
    <w:p w14:paraId="39B7E7EA" w14:textId="2172CC07">
      <w:pPr>
        <w:pStyle w:val="P68B1DB1-Normal15"/>
        <w:widowControl w:val="0"/>
        <w:tabs>
          <w:tab w:val="left" w:pos="400"/>
        </w:tabs>
        <w:autoSpaceDE w:val="0"/>
        <w:autoSpaceDN w:val="0"/>
        <w:spacing w:after="0" w:line="240" w:lineRule="auto"/>
        <w:ind w:left="567"/>
        <w:jc w:val="both"/>
        <w:rPr>
          <w:iCs/>
        </w:rPr>
      </w:pPr>
      <w:r>
        <w:t xml:space="preserve">«6. Por carta de 4 de novembro de 1991, as autoridades neerlandesas reconheceram que o regulamento em causa constituía uma regra técnica na aceção da Diretiva 83/189 e que não tinham comunicado à Comissão o projeto de alteração.»</w:t>
      </w:r>
    </w:p>
    <w:p w14:paraId="5F48D326" w14:textId="77777777">
      <w:pPr>
        <w:widowControl w:val="0"/>
        <w:tabs>
          <w:tab w:val="left" w:pos="400"/>
        </w:tabs>
        <w:autoSpaceDE w:val="0"/>
        <w:autoSpaceDN w:val="0"/>
        <w:spacing w:after="0" w:line="240" w:lineRule="auto"/>
        <w:ind w:left="567"/>
        <w:jc w:val="both"/>
        <w:rPr>
          <w:rFonts w:ascii="Times New Roman" w:hAnsi="Times New Roman" w:cs="Times New Roman" w:eastAsia="Times New Roman"/>
          <w:i/>
          <w:iCs/>
          <w:sz w:val="20"/>
          <w:szCs w:val="16"/>
        </w:rPr>
      </w:pPr>
    </w:p>
    <w:p w14:paraId="07D93C2A" w14:textId="4C09EDED">
      <w:pPr>
        <w:pStyle w:val="P68B1DB1-Normal15"/>
        <w:widowControl w:val="0"/>
        <w:tabs>
          <w:tab w:val="left" w:pos="400"/>
        </w:tabs>
        <w:autoSpaceDE w:val="0"/>
        <w:autoSpaceDN w:val="0"/>
        <w:spacing w:after="0" w:line="240" w:lineRule="auto"/>
        <w:ind w:left="567"/>
        <w:jc w:val="both"/>
        <w:rPr>
          <w:iCs/>
        </w:rPr>
      </w:pPr>
      <w:r>
        <w:t xml:space="preserve">«10. É pacífico que, em conformidade com o artigo 8.º da diretiva, o projeto de alteração XIII do regulamento PVS deveria ter sido imediatamente notificado à Comissão e que essa notificação não foi efetuada.»</w:t>
      </w:r>
    </w:p>
    <w:p w14:paraId="33E5C53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0CAA98B" w14:textId="07507EC2">
      <w:pPr>
        <w:pStyle w:val="P68B1DB1-Normal13"/>
        <w:widowControl w:val="0"/>
        <w:autoSpaceDE w:val="0"/>
        <w:autoSpaceDN w:val="0"/>
        <w:spacing w:after="0" w:line="240" w:lineRule="auto"/>
        <w:jc w:val="both"/>
        <w:outlineLvl w:val="1"/>
      </w:pPr>
      <w:hyperlink r:id="rId76" w:history="1">
        <w:r>
          <w:rPr>
            <w:color w:val="0000FF"/>
            <w:u w:val="single"/>
          </w:rPr>
          <w:t xml:space="preserve">Acórdão do Tribunal de Justiça de 8 de setembro de 2005</w:t>
        </w:r>
      </w:hyperlink>
      <w:r>
        <w:t xml:space="preserve"> no processo C-500/03, Comissão/Portugal, n.os 39 a 41.</w:t>
      </w:r>
      <w:bookmarkEnd w:id="129"/>
    </w:p>
    <w:p w14:paraId="49D6EA9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4F1E244" w14:textId="4211A048">
      <w:pPr>
        <w:pStyle w:val="P68B1DB1-Normal14"/>
        <w:widowControl w:val="0"/>
        <w:tabs>
          <w:tab w:val="left" w:pos="467"/>
        </w:tabs>
        <w:autoSpaceDE w:val="0"/>
        <w:autoSpaceDN w:val="0"/>
        <w:spacing w:after="0" w:line="240" w:lineRule="auto"/>
        <w:jc w:val="both"/>
      </w:pPr>
      <w:r>
        <w:t xml:space="preserve">A diretiva exige que os Estados-Membros notifiquem imediatamente a Comissão de qualquer projeto de regra técnica. Ao adotar uma regra técnica sem a notificar à Comissão, Portugal não cumpriu as suas obrigações de notificação dos projetos de regras técnicas.</w:t>
      </w:r>
    </w:p>
    <w:p w14:paraId="5E8234E0"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3B2937C4" w14:textId="73811036">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(Uma vez que o acórdão só está disponível em francês e português, o texto seguinte é uma tradução.)</w:t>
      </w:r>
    </w:p>
    <w:p w14:paraId="534A01FA"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44335DFA" w14:textId="33F97E95">
      <w:pPr>
        <w:pStyle w:val="P68B1DB1-Normal15"/>
        <w:widowControl w:val="0"/>
        <w:tabs>
          <w:tab w:val="left" w:pos="467"/>
        </w:tabs>
        <w:autoSpaceDE w:val="0"/>
        <w:autoSpaceDN w:val="0"/>
        <w:spacing w:after="0" w:line="240" w:lineRule="auto"/>
        <w:ind w:left="567"/>
        <w:jc w:val="both"/>
        <w:rPr>
          <w:iCs/>
        </w:rPr>
      </w:pPr>
      <w:r>
        <w:t xml:space="preserve">«39. Uma vez que a presente ação por incumprimento se limita a uma ação destinada a obter a declaração de incumprimento do procedimento formal de notificação prévia, basta salientar, sem que seja necessário responder aos outros argumentos das partes, que o Tribunal de Justiça já declarou que o artigo 8.º, n.º 1, da Diretiva 98/34 impõe aos Estados-Membros que comuniquem imediatamente à Comissão qualquer projeto de regra técnica (v., designadamente, neste sentido, no que respeita a disposições análogas às da referida diretiva, acórdãos de 2 de agosto de 1993, Comissão/Itália, 139/92, Colet.,</w:t>
        <w:noBreakHyphen/>
        <w:t xml:space="preserve">p. I 4707, n.º 3, e de 11 de Janeiro</w:t>
        <w:noBreakHyphen/>
        <w:t xml:space="preserve">de 1996, Comissão/Países Baixos, 273/94, Colet., p</w:t>
        <w:noBreakHyphen/>
        <w:t xml:space="preserve">. I-31, n.º 15).</w:t>
      </w:r>
    </w:p>
    <w:p w14:paraId="01A9092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4CD1D685" w14:textId="0579D9AC">
      <w:pPr>
        <w:pStyle w:val="P68B1DB1-Normal15"/>
        <w:widowControl w:val="0"/>
        <w:tabs>
          <w:tab w:val="left" w:pos="467"/>
        </w:tabs>
        <w:autoSpaceDE w:val="0"/>
        <w:autoSpaceDN w:val="0"/>
        <w:spacing w:after="0" w:line="240" w:lineRule="auto"/>
        <w:ind w:left="567"/>
        <w:jc w:val="both"/>
        <w:rPr>
          <w:iCs/>
        </w:rPr>
      </w:pPr>
      <w:r>
        <w:t xml:space="preserve">40. Uma vez que as disposições pertinentes do Decreto n.º 783/98 constituem regras técnicas na aceção da Diretiva 98/34, como foi recordado no n.º 31 do presente acórdão, a República Portuguesa estava obrigada a notificá-las sob a forma de projeto nos termos do artigo 8.º, n.º 1, da Diretiva 98/34 (v., designadamente, neste sentido, no que respeita a disposições análogas às da Diretiva 98/34, acórdãos de 7 de maio de 1998, Comissão/Bélgica, 145/97, Colet</w:t>
        <w:noBreakHyphen/>
        <w:t xml:space="preserve">., p</w:t>
        <w:noBreakHyphen/>
        <w:t xml:space="preserve">. I-2643, n.º 13, e de 21 de abril de 2005, Lindberg, 267/03, Colet</w:t>
        <w:noBreakHyphen/>
        <w:t xml:space="preserve">., p. I-I, n.º 43).</w:t>
      </w:r>
    </w:p>
    <w:p w14:paraId="291F779F"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06E06802" w14:textId="376F605B">
      <w:pPr>
        <w:pStyle w:val="P68B1DB1-Normal15"/>
        <w:widowControl w:val="0"/>
        <w:tabs>
          <w:tab w:val="left" w:pos="467"/>
        </w:tabs>
        <w:autoSpaceDE w:val="0"/>
        <w:autoSpaceDN w:val="0"/>
        <w:spacing w:after="0" w:line="240" w:lineRule="auto"/>
        <w:ind w:left="567"/>
        <w:jc w:val="both"/>
        <w:rPr>
          <w:iCs/>
        </w:rPr>
      </w:pPr>
      <w:r>
        <w:t xml:space="preserve">41. Por conseguinte, há que declarar que, ao adotar o Despacho n.º 783/98 sem o notificar à Comissão na fase de projeto, a República Portuguesa não cumpriu as obrigações que lhe incumbem por força do artigo 8.º da Diretiva 98/34.»</w:t>
      </w:r>
    </w:p>
    <w:p w14:paraId="46D65C64" w14:textId="77777777">
      <w:pPr>
        <w:widowControl w:val="0"/>
        <w:tabs>
          <w:tab w:val="left" w:pos="467"/>
        </w:tabs>
        <w:autoSpaceDE w:val="0"/>
        <w:autoSpaceDN w:val="0"/>
        <w:spacing w:after="0" w:line="240" w:lineRule="auto"/>
        <w:jc w:val="both"/>
        <w:rPr>
          <w:rFonts w:ascii="Times New Roman" w:hAnsi="Times New Roman" w:cs="Times New Roman" w:eastAsia="Times New Roman"/>
          <w:i/>
          <w:iCs/>
          <w:sz w:val="20"/>
          <w:szCs w:val="16"/>
        </w:rPr>
      </w:pPr>
    </w:p>
    <w:p w14:paraId="0E3DB178" w14:textId="7EEA9154">
      <w:pPr>
        <w:pStyle w:val="P68B1DB1-Normal13"/>
        <w:widowControl w:val="0"/>
        <w:autoSpaceDE w:val="0"/>
        <w:autoSpaceDN w:val="0"/>
        <w:spacing w:after="0" w:line="240" w:lineRule="auto"/>
        <w:jc w:val="both"/>
        <w:outlineLvl w:val="1"/>
      </w:pPr>
      <w:hyperlink r:id="rId77" w:history="1">
        <w:r>
          <w:rPr>
            <w:rStyle w:val="Hyperlink"/>
            <w:color w:val="0000FF"/>
          </w:rPr>
          <w:t xml:space="preserve">Acórdão do Tribunal de Justiça de 26 de outubro de 2006</w:t>
        </w:r>
      </w:hyperlink>
      <w:r>
        <w:t xml:space="preserve"> no processo C-65/05, Comissão/Grécia, n.os 60 a 62.</w:t>
      </w:r>
      <w:bookmarkEnd w:id="130"/>
    </w:p>
    <w:p w14:paraId="6FCE0CC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ECD135F" w14:textId="0E173B3B">
      <w:pPr>
        <w:pStyle w:val="P68B1DB1-Normal14"/>
        <w:widowControl w:val="0"/>
        <w:tabs>
          <w:tab w:val="left" w:pos="467"/>
        </w:tabs>
        <w:autoSpaceDE w:val="0"/>
        <w:autoSpaceDN w:val="0"/>
        <w:spacing w:after="0" w:line="240" w:lineRule="auto"/>
        <w:jc w:val="both"/>
      </w:pPr>
      <w:r>
        <w:t xml:space="preserve">A diretiva exige que os Estados-Membros notifiquem imediatamente a Comissão de qualquer projeto de regra técnica. Ao não ter procedido a essa notificação antes da adoção de uma regra técnica, a Grécia não cumpriu as obrigações que lhe incumbem por força da presente diretiva.</w:t>
      </w:r>
    </w:p>
    <w:p w14:paraId="2C6CFEB3"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282FC740" w14:textId="4215BA66">
      <w:pPr>
        <w:pStyle w:val="P68B1DB1-BodyText25"/>
        <w:ind w:left="510"/>
      </w:pPr>
      <w:r>
        <w:t xml:space="preserve">«60. [...] nada no Regulamento n.º 1367/2006 permite considerar que o conceito de «emissões para o ambiente», na aceção do artigo 6.º, n.º 1, primeiro período, deste regulamento, deve ser limitado às emissões provenientes de determinadas instalações industriais, como as fábricas e as centrais elétricas.</w:t>
      </w:r>
    </w:p>
    <w:p w14:paraId="4BFB9A72" w14:textId="77777777">
      <w:pPr>
        <w:pStyle w:val="P68B1DB1-BodyText25"/>
        <w:ind w:left="510"/>
      </w:pPr>
    </w:p>
    <w:p w14:paraId="0E60EA19" w14:textId="5C6F09B6">
      <w:pPr>
        <w:pStyle w:val="P68B1DB1-BodyText25"/>
        <w:ind w:left="510"/>
      </w:pPr>
      <w:r>
        <w:t xml:space="preserve">61. Esta limitação também não pode decorrer da Convenção de Aarhus, que deve ser tida em conta para interpretar o Regulamento n.º 1367/2006, uma vez que, como prevê o seu artigo 1.º, esse regulamento tem por objeto contribuir para a execução das obrigações decorrentes dessa convenção, estabelecendo regras destinadas a aplicar às instituições e aos órgãos da União as disposições da referida convenção.</w:t>
      </w:r>
    </w:p>
    <w:p w14:paraId="37017D07" w14:textId="77777777">
      <w:pPr>
        <w:pStyle w:val="P68B1DB1-BodyText25"/>
        <w:ind w:left="510"/>
      </w:pPr>
    </w:p>
    <w:p w14:paraId="36CD38D8" w14:textId="043FC15A">
      <w:pPr>
        <w:pStyle w:val="P68B1DB1-BodyText25"/>
        <w:ind w:left="510"/>
        <w:rPr>
          <w:iCs/>
        </w:rPr>
      </w:pPr>
      <w:r>
        <w:t xml:space="preserve">62. Pelo contrário, como o Tribunal de Justiça sublinhou no n.º 72 do acórdão hoje proferido, Bayer CropScience e Stichting De Bijenstichting (C-442/14), tal limitação é contrária à própria letra do artigo 4.º, n.º 4, primeiro parágrafo, alínea d), da Convenção de Aarhus. Com efeito, esta disposição prevê que as informações sobre as emissões que são relevantes para a proteção do ambiente devem ser divulgadas. As informações relativas às emissões provenientes de outras fontes que não as instalações industriais, tais como as resultantes da utilização de produtos fitofarmacêuticos em vegetais ou no solo, são tão relevantes para a proteção do ambiente como as informações relativas às emissões de origem industrial.»</w:t>
      </w:r>
    </w:p>
    <w:p w14:paraId="5A47A683" w14:textId="63BA7C02">
      <w:pPr>
        <w:spacing w:after="0" w:line="278" w:lineRule="auto"/>
        <w:rPr>
          <w:rFonts w:ascii="Times New Roman" w:hAnsi="Times New Roman" w:cs="Times New Roman" w:eastAsia="Times New Roman"/>
          <w:b/>
          <w:bCs/>
          <w:sz w:val="24"/>
          <w:szCs w:val="20"/>
        </w:rPr>
      </w:pPr>
      <w:r>
        <w:br w:type="page"/>
      </w:r>
    </w:p>
    <w:p w14:paraId="04343D49" w14:textId="77777777">
      <w:pPr>
        <w:pStyle w:val="BodyText"/>
        <w:rPr>
          <w:b/>
          <w:bCs/>
        </w:rPr>
      </w:pPr>
    </w:p>
    <w:p w14:paraId="7E3DD826" w14:textId="7480DFAD">
      <w:pPr>
        <w:pStyle w:val="P68B1DB1-Heading24"/>
        <w:numPr>
          <w:ilvl w:val="0"/>
          <w:numId w:val="36"/>
        </w:numPr>
        <w:spacing w:before="0" w:after="0"/>
        <w:jc w:val="center"/>
        <w:rPr>
          <w:bCs/>
          <w:color w:val="auto"/>
        </w:rPr>
      </w:pPr>
      <w:bookmarkStart w:id="131" w:name="_Ref195518088"/>
      <w:bookmarkStart w:id="132" w:name="_Toc203035675"/>
      <w:bookmarkEnd w:id="125"/>
      <w:r>
        <w:t xml:space="preserve">Notificações de novos regulamentos técnicos</w:t>
      </w:r>
      <w:bookmarkEnd w:id="131"/>
      <w:bookmarkEnd w:id="132"/>
    </w:p>
    <w:p w14:paraId="411799D7"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6C5E8F90" w14:textId="38D84DF9">
      <w:pPr>
        <w:pStyle w:val="P68B1DB1-Normal13"/>
        <w:widowControl w:val="0"/>
        <w:autoSpaceDE w:val="0"/>
        <w:autoSpaceDN w:val="0"/>
        <w:spacing w:after="0" w:line="240" w:lineRule="auto"/>
        <w:jc w:val="both"/>
        <w:outlineLvl w:val="1"/>
      </w:pPr>
      <w:hyperlink r:id="rId78" w:history="1">
        <w:r>
          <w:rPr>
            <w:color w:val="0000FF"/>
            <w:u w:val="single"/>
          </w:rPr>
          <w:t xml:space="preserve">Acórdão do Tribunal de Justiça de 1 de junho de 1994</w:t>
        </w:r>
      </w:hyperlink>
      <w:r>
        <w:t xml:space="preserve"> no processo C-317/92, Comissão/Alemanha, n.os 25 e 26.</w:t>
      </w:r>
      <w:bookmarkEnd w:id="133"/>
    </w:p>
    <w:p w14:paraId="02B677B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1B1FEA" w14:textId="0EA3039C">
      <w:pPr>
        <w:pStyle w:val="P68B1DB1-Normal14"/>
        <w:widowControl w:val="0"/>
        <w:autoSpaceDE w:val="0"/>
        <w:autoSpaceDN w:val="0"/>
        <w:spacing w:after="0" w:line="240" w:lineRule="auto"/>
        <w:jc w:val="both"/>
      </w:pPr>
      <w:r>
        <w:t xml:space="preserve">A extensão de uma «regra técnica» existente a novos produtos está abrangida pela obrigação de notificação, apesar de a regra técnica inicial, cujo âmbito de aplicação está a ser alargado, já ter sido notificada à Comissão.</w:t>
      </w:r>
    </w:p>
    <w:p w14:paraId="04A42097" w14:textId="77777777">
      <w:pPr>
        <w:widowControl w:val="0"/>
        <w:autoSpaceDE w:val="0"/>
        <w:autoSpaceDN w:val="0"/>
        <w:spacing w:after="0" w:line="240" w:lineRule="auto"/>
        <w:jc w:val="both"/>
        <w:rPr>
          <w:rFonts w:ascii="Times New Roman" w:hAnsi="Times New Roman" w:cs="Times New Roman" w:eastAsia="Times New Roman"/>
          <w:szCs w:val="20"/>
        </w:rPr>
      </w:pPr>
    </w:p>
    <w:p w14:paraId="357AEE3D" w14:textId="1CE95929">
      <w:pPr>
        <w:pStyle w:val="P68B1DB1-Normal15"/>
        <w:widowControl w:val="0"/>
        <w:autoSpaceDE w:val="0"/>
        <w:autoSpaceDN w:val="0"/>
        <w:spacing w:after="0" w:line="240" w:lineRule="auto"/>
        <w:ind w:left="567"/>
        <w:jc w:val="both"/>
      </w:pPr>
      <w:r>
        <w:t xml:space="preserve">«25. Esse argumento não pode ser acolhido. O regulamento alemão em causa constitui uma nova especificação técnica na aceção do artigo 1.º, já referido, uma vez que os instrumentos médicos esterilizados não reutilizáveis só podem ser comercializados ou utilizados na Alemanha se forem cumpridas determinadas obrigações cuja aplicação se limitava anteriormente à rotulagem dos medicamentos. A aplicação, a determinados produtos, de uma regra antes exclusiva de outros produtos, constitui, no que respeita aos primeiros, uma regra nova, devendo, consequentemente, ser objeto de notificação, nos termos da Diretiva 83/189.</w:t>
      </w:r>
    </w:p>
    <w:p w14:paraId="6F610070" w14:textId="77777777">
      <w:pPr>
        <w:pStyle w:val="P68B1DB1-Normal15"/>
        <w:widowControl w:val="0"/>
        <w:autoSpaceDE w:val="0"/>
        <w:autoSpaceDN w:val="0"/>
        <w:spacing w:after="0" w:line="240" w:lineRule="auto"/>
        <w:ind w:left="567"/>
        <w:jc w:val="both"/>
      </w:pPr>
    </w:p>
    <w:p w14:paraId="1DBC3163" w14:textId="3F0E4DF7">
      <w:pPr>
        <w:pStyle w:val="P68B1DB1-Normal15"/>
        <w:widowControl w:val="0"/>
        <w:autoSpaceDE w:val="0"/>
        <w:autoSpaceDN w:val="0"/>
        <w:spacing w:after="0" w:line="240" w:lineRule="auto"/>
        <w:ind w:left="567"/>
        <w:jc w:val="both"/>
      </w:pPr>
      <w:r>
        <w:t xml:space="preserve">26. Esta apreciação não é posta em causa pela circunstância de, como alega o Governo alemão, o alargamento do âmbito de aplicação da regra se basear numa disposição de habilitação comunicada anteriormente à Comissão. Efetivamente, essa medida de habilitação, enquanto tal, não deve ser objeto de notificação com base no referido artigo 8.º, uma vez que não constitui uma especificação nova. A situação é diferente no que respeita à execução dessa medida, que constitui uma nova especificação que deve ser notificada.»</w:t>
      </w:r>
    </w:p>
    <w:p w14:paraId="061E3A55"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4757D6C8" w14:textId="4D29C152">
      <w:pPr>
        <w:pStyle w:val="BodyText"/>
        <w:jc w:val="left"/>
        <w:rPr>
          <w:b/>
          <w:bCs/>
          <w:i/>
          <w:iCs/>
          <w:sz w:val="22"/>
          <w:szCs w:val="22"/>
        </w:rPr>
      </w:pPr>
      <w:hyperlink r:id="rId79" w:history="1">
        <w:r>
          <w:rPr>
            <w:rStyle w:val="Hyperlink"/>
            <w:b/>
            <w:i/>
            <w:color w:val="0000FF"/>
            <w:sz w:val="22"/>
            <w:szCs w:val="22"/>
          </w:rPr>
          <w:t xml:space="preserve">Acórdão do Tribunal de Justiça de 3 de junho de 1999</w:t>
        </w:r>
      </w:hyperlink>
      <w:r>
        <w:rPr>
          <w:b/>
          <w:i/>
          <w:sz w:val="22"/>
          <w:szCs w:val="22"/>
        </w:rPr>
        <w:t xml:space="preserve"> no processo C-33/189, Colim NV, n.º 22.</w:t>
      </w:r>
    </w:p>
    <w:p w14:paraId="04F11CCA" w14:textId="77777777">
      <w:pPr>
        <w:pStyle w:val="BodyText"/>
        <w:jc w:val="left"/>
      </w:pPr>
    </w:p>
    <w:p w14:paraId="540E63FC" w14:textId="5143314B">
      <w:pPr>
        <w:pStyle w:val="P68B1DB1-Normal14"/>
        <w:widowControl w:val="0"/>
        <w:tabs>
          <w:tab w:val="left" w:pos="396"/>
          <w:tab w:val="left" w:pos="425"/>
        </w:tabs>
        <w:autoSpaceDE w:val="0"/>
        <w:autoSpaceDN w:val="0"/>
        <w:spacing w:after="0" w:line="240" w:lineRule="auto"/>
        <w:jc w:val="both"/>
      </w:pPr>
      <w:r>
        <w:t xml:space="preserve">Uma medida nacional que reproduz ou substitui «regras técnicas» existentes, que já foram notificadas à Comissão, sem acrescentar novas especificações, não constitui um projeto de «regra técnica».</w:t>
      </w:r>
    </w:p>
    <w:p w14:paraId="471E900A"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F465EBB" w14:textId="22D1CEEE">
      <w:pPr>
        <w:pStyle w:val="P68B1DB1-BodyText25"/>
        <w:ind w:left="567"/>
      </w:pPr>
      <w:r>
        <w:t xml:space="preserve">«22. [...] a Diretiva 83/189 tem por objetivo proteger, através de um controlo preventivo, a livre circulação de mercadorias, que constitui um dos fundamentos da Comunidade (acórdão de 1997 de julho de 1753, Bic Benelux and Belgium, C-13/96, ainda não publicado na Coletânea, n.º 19). Esse controlo visa eliminar ou limitar os entraves à livre circulação das mercadorias que podiam resultar das regras técnicas que os Estados-Membros se propõem aprovar. Uma medida nacional que reproduz ou substitui, sem acrescentar especificações novas ou complementares, regras técnicas existentes que, se adotadas após a entrada em vigor da Diretiva 83/189, foram devidamente notificadas à Comissão, não pode ser considerada um «projeto» de regra técnica na aceção do artigo 1.º, n.º 6, da Diretiva 83/189 nem, por conseguinte, sujeita à obrigação de notificação.»</w:t>
      </w:r>
    </w:p>
    <w:p w14:paraId="10EB0A44" w14:textId="77777777">
      <w:pPr>
        <w:pStyle w:val="BodyText"/>
        <w:jc w:val="left"/>
      </w:pPr>
    </w:p>
    <w:p w14:paraId="0FD7863C" w14:textId="41998E8B">
      <w:pPr>
        <w:pStyle w:val="P68B1DB1-Normal13"/>
        <w:widowControl w:val="0"/>
        <w:autoSpaceDE w:val="0"/>
        <w:autoSpaceDN w:val="0"/>
        <w:spacing w:after="0" w:line="240" w:lineRule="auto"/>
        <w:jc w:val="both"/>
        <w:outlineLvl w:val="1"/>
      </w:pPr>
      <w:hyperlink r:id="rId80" w:history="1">
        <w:r>
          <w:rPr>
            <w:color w:val="0000FF"/>
            <w:u w:val="single"/>
          </w:rPr>
          <w:t xml:space="preserve">Acórdão de 21 de abril de 2005</w:t>
        </w:r>
      </w:hyperlink>
      <w:r>
        <w:t xml:space="preserve"> no processo C-267/03, Lindberg, n.os 82 e 85</w:t>
      </w:r>
      <w:bookmarkEnd w:id="134"/>
    </w:p>
    <w:p w14:paraId="5A455B86"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1D51892" w14:textId="03C8B255">
      <w:pPr>
        <w:pStyle w:val="P68B1DB1-Normal14"/>
        <w:widowControl w:val="0"/>
        <w:tabs>
          <w:tab w:val="left" w:pos="396"/>
          <w:tab w:val="left" w:pos="425"/>
        </w:tabs>
        <w:autoSpaceDE w:val="0"/>
        <w:autoSpaceDN w:val="0"/>
        <w:spacing w:after="0" w:line="240" w:lineRule="auto"/>
        <w:jc w:val="both"/>
      </w:pPr>
      <w:r>
        <w:t xml:space="preserve">Uma regra que se limite a reproduzir ou substituir regras já notificadas sem acrescentar novas «regras técnicas» não necessita de ser notificada.</w:t>
      </w:r>
    </w:p>
    <w:p w14:paraId="571C5A4D"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5C11DD3" w14:textId="55D687C5">
      <w:pPr>
        <w:pStyle w:val="P68B1DB1-P68B1DB1-ListParagraph226"/>
        <w:tabs>
          <w:tab w:val="left" w:pos="396"/>
          <w:tab w:val="left" w:pos="425"/>
        </w:tabs>
        <w:ind w:left="567" w:right="0" w:firstLine="0"/>
        <w:rPr>
          <w:iCs/>
        </w:rPr>
      </w:pPr>
      <w:r>
        <w:t xml:space="preserve">«82. [...] importa recordar, em primeiro lugar, que uma medida nacional que reproduz ou substitui, sem acrescentar especificações novas ou complementares, regras técnicas existentes que, se adotadas após a entrada em vigor da Diretiva 83/189, foram devidamente notificadas à Comissão, não pode ser considerada um «projeto» de regra técnica na aceção do artigo 1.º, n.º 9, da Diretiva 83/189 nem, por conseguinte, sujeita à obrigação de notificação (v. acórdão Colim, já referido, n.º 22). No caso em apreço, há que ter em conta a data de entrada em vigor da Diretiva 83/189 no que respeita ao Reino da Suécia.»</w:t>
      </w:r>
    </w:p>
    <w:p w14:paraId="0CA23066" w14:textId="77777777">
      <w:pPr>
        <w:pStyle w:val="P68B1DB1-ListParagraph2"/>
        <w:tabs>
          <w:tab w:val="left" w:pos="396"/>
          <w:tab w:val="left" w:pos="425"/>
        </w:tabs>
        <w:ind w:left="567" w:right="0"/>
        <w:rPr>
          <w:i/>
          <w:iCs/>
          <w:sz w:val="20"/>
          <w:szCs w:val="16"/>
        </w:rPr>
      </w:pPr>
    </w:p>
    <w:p w14:paraId="45277F90" w14:textId="583D0CBF">
      <w:pPr>
        <w:pStyle w:val="P68B1DB1-P68B1DB1-ListParagraph226"/>
        <w:tabs>
          <w:tab w:val="left" w:pos="396"/>
          <w:tab w:val="left" w:pos="425"/>
        </w:tabs>
        <w:ind w:left="567" w:right="0" w:firstLine="0"/>
      </w:pPr>
      <w:r>
        <w:t xml:space="preserve">«85. Tendo em conta o que precede, há que responder à terceira questão que a redefinição, na legislação nacional, de um serviço relacionado com a conceção de um produto, nomeadamente o da exploração de determinadas máquinas de jogo, como fez a lei de 1996, pode constituir uma regra técnica que deve ser notificada nos termos da Diretiva 83/189, se essa nova regulamentação não se limitar a reproduzir ou substituir, sem acrescentar especificações novas ou suplementares, regras técnicas existentes que, se adotadas após a entrada em vigor da Diretiva 83/189 no Estado-Membro em causa, foram devidamente notificadas à Comissão.»</w:t>
      </w:r>
    </w:p>
    <w:p w14:paraId="7351A3AE" w14:textId="77777777">
      <w:pPr>
        <w:pStyle w:val="P68B1DB1-P68B1DB1-ListParagraph226"/>
        <w:tabs>
          <w:tab w:val="left" w:pos="396"/>
          <w:tab w:val="left" w:pos="425"/>
        </w:tabs>
        <w:ind w:left="0" w:right="0" w:firstLine="0"/>
      </w:pPr>
    </w:p>
    <w:p w14:paraId="7F72B3E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81" w:history="1">
        <w:r>
          <w:rPr>
            <w:rStyle w:val="Hyperlink"/>
            <w:rFonts w:ascii="Times New Roman" w:hAnsi="Times New Roman" w:cs="Times New Roman" w:eastAsia="Times New Roman"/>
            <w:b/>
            <w:i/>
            <w:color w:val="0000FF"/>
            <w:szCs w:val="20"/>
          </w:rPr>
          <w:t xml:space="preserve">Acórdão do Tribunal de Justiça de 13 de março de 2025</w:t>
        </w:r>
      </w:hyperlink>
      <w:r>
        <w:rPr>
          <w:rFonts w:ascii="Times New Roman" w:hAnsi="Times New Roman" w:cs="Times New Roman" w:eastAsia="Times New Roman"/>
          <w:b/>
          <w:i/>
          <w:szCs w:val="20"/>
        </w:rPr>
        <w:t xml:space="preserve"> no processo C-120/24, Unigames UAB, n.os 57 e 58.</w:t>
      </w:r>
      <w:bookmarkEnd w:id="135"/>
    </w:p>
    <w:p w14:paraId="6E6DA28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7F00F2A0"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Qualquer alteração a um projeto de regra técnica que alargue substancialmente o seu âmbito de aplicação deve ser notificada. Uma alteração que introduza sanções para novos comportamentos deve ser considerada uma revisão substancial de uma regulamentação técnica.</w:t>
      </w:r>
    </w:p>
    <w:p w14:paraId="6268DF61"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C4E84CC" w14:textId="72CC56DD">
      <w:pPr>
        <w:pStyle w:val="P68B1DB1-Normal15"/>
        <w:widowControl w:val="0"/>
        <w:tabs>
          <w:tab w:val="left" w:pos="437"/>
        </w:tabs>
        <w:autoSpaceDE w:val="0"/>
        <w:autoSpaceDN w:val="0"/>
        <w:spacing w:after="0" w:line="240" w:lineRule="auto"/>
        <w:ind w:left="567"/>
        <w:jc w:val="both"/>
        <w:rPr>
          <w:iCs/>
        </w:rPr>
      </w:pPr>
      <w:r>
        <w:t xml:space="preserve">«57. Resulta do pedido de decisão prejudicial que o artigo 10.º, n.º 19, da Lei relativa aos jogos de fortuna ou azar «reviu substancialmente» a proibição de incentivar a participação nos jogos de fortuna ou azar. Em especial, o órgão jurisdicional de reenvio indica que o comportamento censurado à Unigame com base na lei atualmente em vigor, que consiste na publicação, no sítio Internet desta sociedade, de informações relativas às atividades de jogos de fortuna ou azar por ela propostas, não era suscetível de ser punido ao abrigo da antiga Lei relativa aos jogos de fortuna ou azar. Por conseguinte, segundo o órgão jurisdicional de reenvio, este artigo 10.º, n.º 19, alargou o âmbito de aplicação desta proibição.</w:t>
      </w:r>
    </w:p>
    <w:p w14:paraId="1B4969EB" w14:textId="77777777">
      <w:pPr>
        <w:pStyle w:val="P68B1DB1-Normal15"/>
        <w:widowControl w:val="0"/>
        <w:tabs>
          <w:tab w:val="left" w:pos="437"/>
        </w:tabs>
        <w:autoSpaceDE w:val="0"/>
        <w:autoSpaceDN w:val="0"/>
        <w:spacing w:after="0" w:line="240" w:lineRule="auto"/>
        <w:ind w:left="567"/>
        <w:jc w:val="both"/>
        <w:rPr>
          <w:iCs/>
        </w:rPr>
      </w:pPr>
    </w:p>
    <w:p w14:paraId="6A710DBF" w14:textId="5A8EA617">
      <w:pPr>
        <w:pStyle w:val="P68B1DB1-Normal15"/>
        <w:widowControl w:val="0"/>
        <w:tabs>
          <w:tab w:val="left" w:pos="437"/>
        </w:tabs>
        <w:autoSpaceDE w:val="0"/>
        <w:autoSpaceDN w:val="0"/>
        <w:spacing w:after="0" w:line="240" w:lineRule="auto"/>
        <w:ind w:left="567"/>
        <w:jc w:val="both"/>
        <w:rPr>
          <w:iCs/>
        </w:rPr>
      </w:pPr>
      <w:r>
        <w:t xml:space="preserve">58. Assim, resulta das informações que figuram no pedido de decisão prejudicial que o artigo 10.º, n.º 19, da Lei dos jogos de fortuna ou azar acrescentou requisitos novos ou adicionais, na aceção da jurisprudência recordada no n.º 52 do presente acórdão, em comparação com o artigo 10.º, n.º 19, da antiga Lei dos jogos de fortuna ou azar. Daqui resulta que, sem prejuízo das verificações que incumbe ao órgão jurisdicional de reenvio efetuar, a alteração que deu origem à lei atualmente em vigor deveria ter sido notificada nos termos do artigo 5.º, n.º 1, primeiro parágrafo, da Diretiva 2015/1535.»</w:t>
      </w:r>
    </w:p>
    <w:p w14:paraId="339BEA27" w14:textId="77777777">
      <w:pPr>
        <w:pStyle w:val="P68B1DB1-P68B1DB1-ListParagraph226"/>
        <w:tabs>
          <w:tab w:val="left" w:pos="396"/>
          <w:tab w:val="left" w:pos="425"/>
        </w:tabs>
        <w:ind w:left="0" w:right="0" w:firstLine="0"/>
        <w:rPr>
          <w:iCs/>
        </w:rPr>
      </w:pPr>
    </w:p>
    <w:p w14:paraId="6669AD1C" w14:textId="1CFF8354">
      <w:pPr>
        <w:pStyle w:val="P68B1DB1-Normal16"/>
        <w:spacing w:after="0" w:line="240" w:lineRule="auto"/>
        <w:rPr>
          <w:i/>
          <w:iCs/>
        </w:rPr>
      </w:pPr>
      <w:r>
        <w:br w:type="page"/>
      </w:r>
    </w:p>
    <w:p w14:paraId="7F22FE55" w14:textId="67315266">
      <w:pPr>
        <w:pStyle w:val="P68B1DB1-Heading24"/>
        <w:numPr>
          <w:ilvl w:val="0"/>
          <w:numId w:val="36"/>
        </w:numPr>
        <w:spacing w:before="0" w:after="0"/>
        <w:jc w:val="center"/>
        <w:rPr>
          <w:bCs/>
          <w:color w:val="auto"/>
        </w:rPr>
      </w:pPr>
      <w:bookmarkStart w:id="136" w:name="_Ref194484898"/>
      <w:bookmarkStart w:id="137" w:name="_Toc203035676"/>
      <w:r>
        <w:t xml:space="preserve">Notificação do texto completo</w:t>
      </w:r>
      <w:bookmarkEnd w:id="136"/>
      <w:bookmarkEnd w:id="137"/>
    </w:p>
    <w:p w14:paraId="7C840A0C" w14:textId="77777777">
      <w:pPr>
        <w:pStyle w:val="BodyText"/>
        <w:rPr>
          <w:b/>
          <w:bCs/>
        </w:rPr>
      </w:pPr>
    </w:p>
    <w:p w14:paraId="70826245" w14:textId="6B20BAFD">
      <w:pPr>
        <w:pStyle w:val="P68B1DB1-Normal13"/>
        <w:widowControl w:val="0"/>
        <w:autoSpaceDE w:val="0"/>
        <w:autoSpaceDN w:val="0"/>
        <w:spacing w:after="0" w:line="240" w:lineRule="auto"/>
        <w:jc w:val="both"/>
        <w:outlineLvl w:val="1"/>
      </w:pPr>
      <w:hyperlink r:id="rId82" w:history="1">
        <w:r>
          <w:rPr>
            <w:color w:val="0000FF"/>
            <w:u w:val="single"/>
          </w:rPr>
          <w:t xml:space="preserve">Acórdão de 16 de setembro de 1997</w:t>
        </w:r>
      </w:hyperlink>
      <w:r>
        <w:t xml:space="preserve">, Comissão/Itália, C-279/94, n.os 38 e 42</w:t>
      </w:r>
      <w:bookmarkEnd w:id="138"/>
    </w:p>
    <w:p w14:paraId="5500F145" w14:textId="77777777">
      <w:pPr>
        <w:widowControl w:val="0"/>
        <w:autoSpaceDE w:val="0"/>
        <w:autoSpaceDN w:val="0"/>
        <w:spacing w:after="0" w:line="240" w:lineRule="auto"/>
        <w:jc w:val="both"/>
        <w:rPr>
          <w:rFonts w:ascii="Times New Roman" w:hAnsi="Times New Roman" w:cs="Times New Roman" w:eastAsia="Times New Roman"/>
          <w:szCs w:val="20"/>
        </w:rPr>
      </w:pPr>
    </w:p>
    <w:p w14:paraId="2034B5D1" w14:textId="5EDE6A01">
      <w:pPr>
        <w:pStyle w:val="P68B1DB1-Normal14"/>
        <w:widowControl w:val="0"/>
        <w:autoSpaceDE w:val="0"/>
        <w:autoSpaceDN w:val="0"/>
        <w:spacing w:after="0" w:line="240" w:lineRule="auto"/>
        <w:jc w:val="both"/>
      </w:pPr>
      <w:r>
        <w:t xml:space="preserve">Um texto que contenha «regras técnicas» deve ser notificado na íntegra, incluindo as medidas que não sejam «regras técnicas», mesmo que apenas as «regras técnicas» estejam sujeitas ao prazo suspensivo.</w:t>
      </w:r>
    </w:p>
    <w:p w14:paraId="212FCCEC" w14:textId="77777777">
      <w:pPr>
        <w:widowControl w:val="0"/>
        <w:autoSpaceDE w:val="0"/>
        <w:autoSpaceDN w:val="0"/>
        <w:spacing w:after="0" w:line="240" w:lineRule="auto"/>
        <w:jc w:val="both"/>
        <w:rPr>
          <w:rFonts w:ascii="Times New Roman" w:hAnsi="Times New Roman" w:cs="Times New Roman" w:eastAsia="Times New Roman"/>
          <w:szCs w:val="20"/>
        </w:rPr>
      </w:pPr>
    </w:p>
    <w:p w14:paraId="41D543D7" w14:textId="2D86A463">
      <w:pPr>
        <w:pStyle w:val="P68B1DB1-Normal15"/>
        <w:widowControl w:val="0"/>
        <w:tabs>
          <w:tab w:val="left" w:pos="396"/>
          <w:tab w:val="left" w:pos="461"/>
        </w:tabs>
        <w:autoSpaceDE w:val="0"/>
        <w:autoSpaceDN w:val="0"/>
        <w:spacing w:after="0" w:line="240" w:lineRule="auto"/>
        <w:ind w:left="567"/>
        <w:jc w:val="both"/>
        <w:rPr>
          <w:iCs/>
        </w:rPr>
      </w:pPr>
      <w:r>
        <w:t xml:space="preserve">«38. No que respeita à obrigação do Governo italiano de notificar o texto integral da Lei n.º 257/92, incluindo as disposições que não constituem regras técnicas, há que salientar que, nos termos do artigo 8.º, n.º 1, primeiro parágrafo, última frase, da diretiva, os Estados-Membros devem igualmente comunicar à Comissão o texto das disposições legislativas ou regulamentares de base, principal e diretamente afetadas, se o conhecimento desse texto for necessário para avaliar as implicações do projeto de regra técnica.»</w:t>
      </w:r>
    </w:p>
    <w:p w14:paraId="2D985B3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iCs/>
          <w:sz w:val="20"/>
          <w:szCs w:val="16"/>
        </w:rPr>
      </w:pPr>
    </w:p>
    <w:p w14:paraId="48F0D541" w14:textId="215D3040">
      <w:pPr>
        <w:pStyle w:val="P68B1DB1-Normal15"/>
        <w:widowControl w:val="0"/>
        <w:tabs>
          <w:tab w:val="left" w:pos="396"/>
          <w:tab w:val="left" w:pos="461"/>
        </w:tabs>
        <w:autoSpaceDE w:val="0"/>
        <w:autoSpaceDN w:val="0"/>
        <w:spacing w:after="0" w:line="240" w:lineRule="auto"/>
        <w:ind w:left="567"/>
        <w:jc w:val="both"/>
        <w:rPr>
          <w:iCs/>
        </w:rPr>
      </w:pPr>
      <w:r>
        <w:t xml:space="preserve">«42. Todavia, o simples facto de todas as disposições da Lei n.º 257/92 serem notificadas à Comissão não obsta a que a República Italiana entre em vigor imediatamente e, portanto, sem esperar pelos resultados do procedimento de exame previsto pela diretiva, as disposições que não constituem regras técnicas.»</w:t>
      </w:r>
    </w:p>
    <w:p w14:paraId="7749D63B" w14:textId="5E15703E">
      <w:pPr>
        <w:pStyle w:val="P68B1DB1-Normal16"/>
        <w:spacing w:after="0" w:line="240" w:lineRule="auto"/>
        <w:rPr>
          <w:i/>
          <w:iCs/>
        </w:rPr>
      </w:pPr>
      <w:r>
        <w:br w:type="page"/>
      </w:r>
    </w:p>
    <w:p w14:paraId="66AC7FAE" w14:textId="2333E9D9">
      <w:pPr>
        <w:pStyle w:val="P68B1DB1-Heading24"/>
        <w:numPr>
          <w:ilvl w:val="0"/>
          <w:numId w:val="36"/>
        </w:numPr>
        <w:spacing w:before="0" w:after="0"/>
        <w:jc w:val="center"/>
        <w:rPr>
          <w:bCs/>
          <w:color w:val="auto"/>
        </w:rPr>
      </w:pPr>
      <w:bookmarkStart w:id="139" w:name="_Ref194484917"/>
      <w:bookmarkStart w:id="140" w:name="_Ref196314289"/>
      <w:bookmarkStart w:id="141" w:name="_Toc203035677"/>
      <w:r>
        <w:t xml:space="preserve">Notificação das </w:t>
      </w:r>
      <w:bookmarkEnd w:id="139"/>
      <w:r>
        <w:t xml:space="preserve">disposições de base em causa</w:t>
      </w:r>
      <w:bookmarkEnd w:id="140"/>
      <w:bookmarkEnd w:id="141"/>
    </w:p>
    <w:p w14:paraId="02AB25EF" w14:textId="77777777">
      <w:pPr>
        <w:pStyle w:val="BodyText"/>
        <w:ind w:left="1440"/>
        <w:jc w:val="right"/>
        <w:rPr>
          <w:i/>
          <w:iCs/>
        </w:rPr>
      </w:pPr>
    </w:p>
    <w:p w14:paraId="7ADAEEA1" w14:textId="057664EC">
      <w:pPr>
        <w:pStyle w:val="P68B1DB1-BodyText11"/>
        <w:ind w:left="1440"/>
        <w:rPr>
          <w:iCs/>
        </w:rPr>
      </w:pPr>
      <w:r>
        <w:t xml:space="preserve">«Se for caso disso, e salvo se já tiver sido enviado com uma comunicação prévia, os Estados-Membros comunicarão simultaneamente à Comissão o texto das disposições legislativas ou regulamentares de base, principal e diretamente em causa, se o conhecimento desse texto for necessário para avaliar as implicações do projeto de regra técnica.»</w:t>
      </w:r>
    </w:p>
    <w:p w14:paraId="3C018828" w14:textId="77777777">
      <w:pPr>
        <w:pStyle w:val="BodyText"/>
        <w:ind w:left="1440"/>
        <w:jc w:val="right"/>
        <w:rPr>
          <w:i/>
          <w:iCs/>
        </w:rPr>
      </w:pPr>
    </w:p>
    <w:p w14:paraId="21D14611" w14:textId="15758967">
      <w:pPr>
        <w:pStyle w:val="BodyText"/>
        <w:ind w:left="1440"/>
        <w:jc w:val="right"/>
      </w:pPr>
      <w:r>
        <w:t xml:space="preserve">(artigo 5.º, n.º 1, segunda frase, da Diretiva (UE) 2015/1535)</w:t>
      </w:r>
    </w:p>
    <w:p w14:paraId="7479C45A" w14:textId="77777777">
      <w:pPr>
        <w:pStyle w:val="BodyText"/>
        <w:ind w:left="1440"/>
        <w:jc w:val="right"/>
        <w:rPr>
          <w:i/>
          <w:iCs/>
        </w:rPr>
      </w:pPr>
    </w:p>
    <w:p w14:paraId="7E6EAA27" w14:textId="714E980B">
      <w:pPr>
        <w:pStyle w:val="P68B1DB1-Normal13"/>
        <w:widowControl w:val="0"/>
        <w:autoSpaceDE w:val="0"/>
        <w:autoSpaceDN w:val="0"/>
        <w:spacing w:after="0" w:line="240" w:lineRule="auto"/>
        <w:jc w:val="both"/>
        <w:outlineLvl w:val="1"/>
      </w:pPr>
      <w:hyperlink r:id="rId83" w:history="1">
        <w:r>
          <w:rPr>
            <w:color w:val="0000FF"/>
            <w:u w:val="single"/>
          </w:rPr>
          <w:t xml:space="preserve">Acórdão do Tribunal de Justiça de 7 de maio de 1998</w:t>
        </w:r>
      </w:hyperlink>
      <w:r>
        <w:t xml:space="preserve"> no processo C-145/97, Comissão/Bélgica, n.os 11 e 12.</w:t>
      </w:r>
      <w:bookmarkEnd w:id="142"/>
    </w:p>
    <w:p w14:paraId="768284F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32E540" w14:textId="0817AF48">
      <w:pPr>
        <w:pStyle w:val="P68B1DB1-Normal14"/>
        <w:widowControl w:val="0"/>
        <w:tabs>
          <w:tab w:val="left" w:pos="437"/>
        </w:tabs>
        <w:autoSpaceDE w:val="0"/>
        <w:autoSpaceDN w:val="0"/>
        <w:spacing w:after="0" w:line="240" w:lineRule="auto"/>
        <w:jc w:val="both"/>
      </w:pPr>
      <w:r>
        <w:t xml:space="preserve">Os Estados-Membros devem comunicar não só o projeto de texto que contém as «regras técnicas», mas também o texto das disposições legislativas ou regulamentares de base, principal e diretamente relacionadas. Esta obrigação tem por objetivo permitir à Comissão dispor do maior número possível de informações e, assim, exercer eficazmente os poderes que lhe são conferidos pela diretiva.</w:t>
      </w:r>
    </w:p>
    <w:p w14:paraId="239177AF"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52AC3E4" w14:textId="74A8268E">
      <w:pPr>
        <w:pStyle w:val="P68B1DB1-P68B1DB1-Normal1623"/>
        <w:widowControl w:val="0"/>
        <w:tabs>
          <w:tab w:val="left" w:pos="437"/>
        </w:tabs>
        <w:autoSpaceDE w:val="0"/>
        <w:autoSpaceDN w:val="0"/>
        <w:spacing w:after="0" w:line="240" w:lineRule="auto"/>
        <w:ind w:left="567"/>
        <w:jc w:val="both"/>
        <w:rPr>
          <w:i/>
        </w:rPr>
      </w:pPr>
      <w:r>
        <w:t xml:space="preserve">«11. Em segundo lugar, no que respeita ao alcance exato da obrigação de comunicação, o artigo 8.º, n.º 1, primeiro parágrafo, da diretiva prevê que os Estados-Membros comuniquem igualmente o texto das disposições legislativas ou regulamentares de base, principal e diretamente em causa, se o conhecimento desse texto for necessário para avaliar as implicações do projeto de regra técnica.</w:t>
      </w:r>
    </w:p>
    <w:p w14:paraId="34A9E602" w14:textId="77777777">
      <w:pPr>
        <w:pStyle w:val="P68B1DB1-Normal16"/>
        <w:widowControl w:val="0"/>
        <w:tabs>
          <w:tab w:val="left" w:pos="437"/>
        </w:tabs>
        <w:autoSpaceDE w:val="0"/>
        <w:autoSpaceDN w:val="0"/>
        <w:spacing w:after="0" w:line="240" w:lineRule="auto"/>
        <w:ind w:left="567"/>
        <w:jc w:val="both"/>
        <w:rPr>
          <w:i/>
        </w:rPr>
      </w:pPr>
    </w:p>
    <w:p w14:paraId="4EF4E053" w14:textId="6423D8FC">
      <w:pPr>
        <w:pStyle w:val="P68B1DB1-P68B1DB1-Normal1623"/>
        <w:widowControl w:val="0"/>
        <w:tabs>
          <w:tab w:val="left" w:pos="437"/>
        </w:tabs>
        <w:autoSpaceDE w:val="0"/>
        <w:autoSpaceDN w:val="0"/>
        <w:spacing w:after="0" w:line="240" w:lineRule="auto"/>
        <w:ind w:left="567"/>
        <w:jc w:val="both"/>
        <w:rPr>
          <w:i/>
        </w:rPr>
      </w:pPr>
      <w:r>
        <w:t xml:space="preserve">12. Como o Tribunal de Justiça esclareceu no seu acórdão de 1997 de dezembro de 4743, Comissão/Itália (C-279/94, Colet., p. I-40, n.º), o objetivo desta disposição é permitir à Comissão dispor do maior número possível de informações sobre qualquer projeto de regulamento técnico no que respeita ao seu conteúdo, âmbito e contexto geral, a fim de lhe permitir exercer o mais eficazmente possível os poderes que lhe são conferidos pela diretiva.»</w:t>
      </w:r>
    </w:p>
    <w:p w14:paraId="4E67514A" w14:textId="77777777">
      <w:pPr>
        <w:pStyle w:val="P68B1DB1-Normal16"/>
        <w:spacing w:after="0" w:line="240" w:lineRule="auto"/>
      </w:pPr>
      <w:r>
        <w:br w:type="page"/>
      </w:r>
    </w:p>
    <w:p w14:paraId="6CA665D0" w14:textId="62A7B166">
      <w:pPr>
        <w:pStyle w:val="P68B1DB1-Heading24"/>
        <w:numPr>
          <w:ilvl w:val="0"/>
          <w:numId w:val="36"/>
        </w:numPr>
        <w:spacing w:before="0" w:after="0"/>
        <w:jc w:val="center"/>
        <w:rPr>
          <w:bCs/>
          <w:color w:val="auto"/>
        </w:rPr>
      </w:pPr>
      <w:bookmarkStart w:id="143" w:name="_Ref194484926"/>
      <w:bookmarkStart w:id="144" w:name="_Ref196314295"/>
      <w:bookmarkStart w:id="145" w:name="_Toc203035678"/>
      <w:r>
        <w:t xml:space="preserve">Nova notificação</w:t>
      </w:r>
      <w:bookmarkEnd w:id="143"/>
      <w:r>
        <w:t xml:space="preserve"> durante o período de espera</w:t>
      </w:r>
      <w:bookmarkEnd w:id="144"/>
      <w:bookmarkEnd w:id="145"/>
    </w:p>
    <w:p w14:paraId="469CC5E9" w14:textId="77777777">
      <w:pPr>
        <w:pStyle w:val="BodyText"/>
        <w:ind w:left="1440"/>
        <w:jc w:val="right"/>
        <w:rPr>
          <w:i/>
          <w:iCs/>
        </w:rPr>
      </w:pPr>
    </w:p>
    <w:p w14:paraId="07616479" w14:textId="3F014BDB">
      <w:pPr>
        <w:pStyle w:val="P68B1DB1-BodyText11"/>
        <w:ind w:left="1440"/>
        <w:rPr>
          <w:iCs/>
        </w:rPr>
      </w:pPr>
      <w:r>
        <w:t xml:space="preserve">«Os Estados-Membros comunicarão de novo o projeto de regra técnica à Comissão, nas condições previstas nos primeiro e segundo parágrafos do presente número, se introduzirem alterações significativas no projeto de regra técnica que tenham por efeito alterar significativamente o seu âmbito de aplicação, reduzir o calendário de aplicação inicialmente previsto, acrescentar especificações ou exigências ou torná-las mais restritivas.»</w:t>
      </w:r>
    </w:p>
    <w:p w14:paraId="3E582DDB" w14:textId="77777777">
      <w:pPr>
        <w:pStyle w:val="BodyText"/>
        <w:ind w:left="1440"/>
        <w:jc w:val="right"/>
        <w:rPr>
          <w:i/>
          <w:iCs/>
        </w:rPr>
      </w:pPr>
    </w:p>
    <w:p w14:paraId="57E3F15D" w14:textId="51B7D3EF">
      <w:pPr>
        <w:pStyle w:val="BodyText"/>
        <w:ind w:left="1440"/>
        <w:jc w:val="right"/>
      </w:pPr>
      <w:r>
        <w:t xml:space="preserve">(artigo 5.º, n.º 1, terceiro período, da Diretiva (UE) 2015/1535)</w:t>
      </w:r>
    </w:p>
    <w:p w14:paraId="3C5D4E98" w14:textId="77777777">
      <w:pPr>
        <w:widowControl w:val="0"/>
        <w:tabs>
          <w:tab w:val="left" w:pos="437"/>
        </w:tabs>
        <w:autoSpaceDE w:val="0"/>
        <w:autoSpaceDN w:val="0"/>
        <w:spacing w:after="0" w:line="240" w:lineRule="auto"/>
        <w:jc w:val="both"/>
      </w:pPr>
    </w:p>
    <w:p w14:paraId="0923F993" w14:textId="2074D78C">
      <w:pPr>
        <w:pStyle w:val="P68B1DB1-Normal13"/>
        <w:widowControl w:val="0"/>
        <w:autoSpaceDE w:val="0"/>
        <w:autoSpaceDN w:val="0"/>
        <w:spacing w:after="0" w:line="240" w:lineRule="auto"/>
        <w:jc w:val="both"/>
        <w:outlineLvl w:val="1"/>
      </w:pPr>
      <w:hyperlink r:id="rId84" w:history="1">
        <w:r>
          <w:rPr>
            <w:color w:val="0000FF"/>
            <w:u w:val="single"/>
          </w:rPr>
          <w:t xml:space="preserve">Acórdão do Tribunal de Justiça de 15 de abril de 2010</w:t>
        </w:r>
      </w:hyperlink>
      <w:r>
        <w:t xml:space="preserve"> no processo C-433/05, Sandström, n.os 47 e 48.</w:t>
      </w:r>
      <w:bookmarkEnd w:id="146"/>
    </w:p>
    <w:p w14:paraId="442A3D5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7AEB5DB" w14:textId="57E34DD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As alterações a um projeto de regra técnica já notificado à Comissão, que se limitam a flexibilizar as condições de utilização do produto em causa, não constituem uma alteração significativa que exija uma nova notificação.</w:t>
      </w:r>
    </w:p>
    <w:p w14:paraId="14CAB084" w14:textId="77777777">
      <w:pPr>
        <w:widowControl w:val="0"/>
        <w:autoSpaceDE w:val="0"/>
        <w:autoSpaceDN w:val="0"/>
        <w:spacing w:after="0" w:line="240" w:lineRule="auto"/>
        <w:jc w:val="both"/>
        <w:rPr>
          <w:rFonts w:ascii="Times New Roman" w:hAnsi="Times New Roman" w:cs="Times New Roman" w:eastAsia="Times New Roman"/>
          <w:szCs w:val="20"/>
        </w:rPr>
      </w:pPr>
    </w:p>
    <w:p w14:paraId="711A665A" w14:textId="07F4B9B5">
      <w:pPr>
        <w:pStyle w:val="P68B1DB1-Normal15"/>
        <w:widowControl w:val="0"/>
        <w:autoSpaceDE w:val="0"/>
        <w:autoSpaceDN w:val="0"/>
        <w:spacing w:after="0" w:line="240" w:lineRule="auto"/>
        <w:ind w:left="567"/>
        <w:jc w:val="both"/>
      </w:pPr>
      <w:r>
        <w:t xml:space="preserve">«47. [...] tendo em conta o objetivo da Diretiva 98/34, recordado no n.º 41 do presente acórdão, as alterações introduzidas num projeto de regra técnica já notificado à Comissão nos termos do artigo 8.º, n.º 1, primeiro parágrafo, da Diretiva 98/34, que contêm, relativamente ao projeto notificado, uma simples flexibilização das condições de utilização do produto em causa e que, por conseguinte, reduzem o eventual impacto da regra técnica no comércio, não constituem uma alteração significativa do projeto na aceção do artigo 8.º, n.º 1, terceiro parágrafo, desta diretiva. Consequentemente, estas alterações não estão sujeitas à obrigação de notificação prévia.</w:t>
      </w:r>
    </w:p>
    <w:p w14:paraId="1CD58368" w14:textId="77777777">
      <w:pPr>
        <w:pStyle w:val="P68B1DB1-Normal15"/>
        <w:widowControl w:val="0"/>
        <w:autoSpaceDE w:val="0"/>
        <w:autoSpaceDN w:val="0"/>
        <w:spacing w:after="0" w:line="240" w:lineRule="auto"/>
        <w:ind w:left="567"/>
        <w:jc w:val="both"/>
      </w:pPr>
    </w:p>
    <w:p w14:paraId="07688F8B" w14:textId="1AE41F0D">
      <w:pPr>
        <w:pStyle w:val="P68B1DB1-Normal15"/>
        <w:widowControl w:val="0"/>
        <w:autoSpaceDE w:val="0"/>
        <w:autoSpaceDN w:val="0"/>
        <w:spacing w:after="0" w:line="240" w:lineRule="auto"/>
        <w:ind w:left="567"/>
        <w:jc w:val="both"/>
        <w:rPr>
          <w:iCs/>
        </w:rPr>
      </w:pPr>
      <w:r>
        <w:t xml:space="preserve">48. Embora, nos termos do artigo 8.º, n.º 3, da Diretiva 98/34, os Estados-Membros comuniquem sem demora à Comissão o texto definitivo de uma regra técnica, a não comunicação de uma alteração não significativa dessa regulamentação antes da sua adoção não afeta a aplicabilidade desse regulamento, na falta de obrigação de notificação prévia.»</w:t>
      </w:r>
    </w:p>
    <w:p w14:paraId="56651A14"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595AF62A" w14:textId="0AF157F1">
      <w:pPr>
        <w:pStyle w:val="P68B1DB1-Normal13"/>
        <w:widowControl w:val="0"/>
        <w:autoSpaceDE w:val="0"/>
        <w:autoSpaceDN w:val="0"/>
        <w:spacing w:after="0" w:line="240" w:lineRule="auto"/>
        <w:jc w:val="both"/>
        <w:outlineLvl w:val="1"/>
      </w:pPr>
      <w:hyperlink r:id="rId85" w:history="1">
        <w:r>
          <w:rPr>
            <w:color w:val="0000FF"/>
            <w:u w:val="single"/>
          </w:rPr>
          <w:t xml:space="preserve">Acórdão do Tribunal de Justiça de 31 de janeiro de 2013</w:t>
        </w:r>
      </w:hyperlink>
      <w:r>
        <w:t xml:space="preserve"> no processo C-26/11, Belgische Petroleum Unie e o., n.os 56 e 57.</w:t>
      </w:r>
      <w:bookmarkEnd w:id="147"/>
    </w:p>
    <w:p w14:paraId="11A2865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307C232" w14:textId="029CC044">
      <w:pPr>
        <w:pStyle w:val="P68B1DB1-Normal14"/>
        <w:widowControl w:val="0"/>
        <w:tabs>
          <w:tab w:val="left" w:pos="412"/>
        </w:tabs>
        <w:autoSpaceDE w:val="0"/>
        <w:autoSpaceDN w:val="0"/>
        <w:spacing w:after="0" w:line="240" w:lineRule="auto"/>
        <w:jc w:val="both"/>
      </w:pPr>
      <w:r>
        <w:t xml:space="preserve">A diretiva não impõe uma nova notificação de um projeto de legislação nacional quando, após ter sido notificado, o projeto tenha sido alterado para ter em conta as observações da Comissão e o projeto alterado tenha sido posteriormente comunicado à Comissão.</w:t>
      </w:r>
    </w:p>
    <w:p w14:paraId="7BB1B9C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8681219" w14:textId="6C2D482D">
      <w:pPr>
        <w:pStyle w:val="P68B1DB1-Normal15"/>
        <w:widowControl w:val="0"/>
        <w:tabs>
          <w:tab w:val="left" w:pos="412"/>
        </w:tabs>
        <w:autoSpaceDE w:val="0"/>
        <w:autoSpaceDN w:val="0"/>
        <w:spacing w:after="0" w:line="240" w:lineRule="auto"/>
        <w:ind w:left="567"/>
        <w:jc w:val="both"/>
      </w:pPr>
      <w:r>
        <w:t xml:space="preserve">«56. [...] nestas circunstâncias, o Reino da Bélgica limitou-se a alterar as disposições do projeto de lei em conformidade com um pedido da Comissão para eliminar um entrave às trocas comerciais, pelo que, por força do artigo 10.º, n.º 1, último travessão, da Diretiva 98/34, a obrigação de notificação à Comissão nos termos do artigo 8.º, n.º 1, primeiro parágrafo, desta diretiva não se aplica ao projeto de lei sobre a obrigação de mistura.</w:t>
      </w:r>
    </w:p>
    <w:p w14:paraId="4B8B3C65" w14:textId="77777777">
      <w:pPr>
        <w:pStyle w:val="P68B1DB1-Normal15"/>
        <w:widowControl w:val="0"/>
        <w:tabs>
          <w:tab w:val="left" w:pos="412"/>
        </w:tabs>
        <w:autoSpaceDE w:val="0"/>
        <w:autoSpaceDN w:val="0"/>
        <w:spacing w:after="0" w:line="240" w:lineRule="auto"/>
        <w:ind w:left="567"/>
        <w:jc w:val="both"/>
      </w:pPr>
    </w:p>
    <w:p w14:paraId="2643CC13" w14:textId="30521DC9">
      <w:pPr>
        <w:pStyle w:val="P68B1DB1-Normal15"/>
        <w:widowControl w:val="0"/>
        <w:tabs>
          <w:tab w:val="left" w:pos="412"/>
        </w:tabs>
        <w:autoSpaceDE w:val="0"/>
        <w:autoSpaceDN w:val="0"/>
        <w:spacing w:after="0" w:line="240" w:lineRule="auto"/>
        <w:ind w:left="567"/>
        <w:jc w:val="both"/>
        <w:rPr>
          <w:iCs/>
        </w:rPr>
      </w:pPr>
      <w:r>
        <w:t xml:space="preserve">57. Nestas condições, há que responder à segunda questão que o artigo 8.º da Diretiva 98/34, lido em conjugação com o artigo 10.º, n.º 1, último travessão, desta diretiva, deve ser interpretado no sentido de que não exige a notificação de um projeto de regulamentação nacional que obriga as empresas petrolíferas que colocam no mercado gasolina e/ou combustível para motores diesel a colocar no mercado, no mesmo ano civil, determinadas percentagens de biocombustíveis, quando, após ter sido notificado nos termos do artigo 8.º, n.º 1, primeiro parágrafo, o projeto foi alterado para ter em conta as observações da Comissão a seu respeito e o projeto alterado foi posteriormente comunicado à Comissão.»</w:t>
      </w:r>
    </w:p>
    <w:p w14:paraId="236E4111"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43993F44" w14:textId="3D80E37E">
      <w:pPr>
        <w:pStyle w:val="P68B1DB1-Normal14"/>
        <w:widowControl w:val="0"/>
        <w:autoSpaceDE w:val="0"/>
        <w:autoSpaceDN w:val="0"/>
        <w:spacing w:after="0" w:line="240" w:lineRule="auto"/>
        <w:jc w:val="both"/>
        <w:outlineLvl w:val="1"/>
        <w:rPr>
          <w:b/>
          <w:i/>
        </w:rPr>
      </w:pPr>
      <w:hyperlink r:id="rId86" w:history="1">
        <w:r>
          <w:rPr>
            <w:b/>
            <w:i/>
            <w:color w:val="0000FF"/>
            <w:u w:val="single"/>
          </w:rPr>
          <w:t xml:space="preserve">Acórdão do Tribunal de Justiça de 10 de julho de 2014 no processo</w:t>
        </w:r>
        <w:r>
          <w:rPr>
            <w:rFonts w:ascii="Open Sans" w:hAnsi="Open Sans" w:cs="Open Sans" w:eastAsiaTheme="minorHAnsi"/>
            <w:color w:val="000000"/>
            <w:sz w:val="18"/>
            <w:szCs w:val="18"/>
          </w:rPr>
          <w:t xml:space="preserve"> </w:t>
        </w:r>
        <w:r>
          <w:rPr>
            <w:b/>
            <w:i/>
          </w:rPr>
          <w:t xml:space="preserve">C-307/13, Ivansson</w:t>
        </w:r>
        <w:r>
          <w:rPr>
            <w:b/>
            <w:i/>
            <w:color w:val="0000FF"/>
            <w:u w:val="single"/>
          </w:rPr>
          <w:t xml:space="preserve"> </w:t>
        </w:r>
        <w:r>
          <w:rPr>
            <w:b/>
            <w:i/>
          </w:rPr>
          <w:t xml:space="preserve"> e o.</w:t>
        </w:r>
        <w:r>
          <w:rPr>
            <w:b/>
            <w:i/>
            <w:color w:val="0000FF"/>
            <w:u w:val="single"/>
          </w:rPr>
          <w:t xml:space="preserve">, n.os 48 a 50</w:t>
        </w:r>
      </w:hyperlink>
      <w:r>
        <w:rPr>
          <w:sz w:val="25"/>
        </w:rPr>
        <w:t>.</w:t>
      </w:r>
      <w:bookmarkEnd w:id="148"/>
    </w:p>
    <w:p w14:paraId="27463427" w14:textId="77777777">
      <w:pPr>
        <w:widowControl w:val="0"/>
        <w:autoSpaceDE w:val="0"/>
        <w:autoSpaceDN w:val="0"/>
        <w:spacing w:after="0" w:line="240" w:lineRule="auto"/>
        <w:ind w:left="-142"/>
        <w:jc w:val="both"/>
        <w:rPr>
          <w:rFonts w:ascii="Times New Roman" w:hAnsi="Times New Roman" w:cs="Times New Roman" w:eastAsia="Times New Roman"/>
          <w:szCs w:val="20"/>
        </w:rPr>
      </w:pPr>
    </w:p>
    <w:p w14:paraId="0B57A13E" w14:textId="12E99D5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Qualquer alteração significativa do calendário de execução de uma medida nacional, incluindo uma redução substancial, deve ser comunicada à Comissão. A falta de notificação torna a medida inaplicável e inoponível aos particulares.</w:t>
      </w:r>
    </w:p>
    <w:p w14:paraId="0B31DCA0" w14:textId="77777777">
      <w:pPr>
        <w:widowControl w:val="0"/>
        <w:autoSpaceDE w:val="0"/>
        <w:autoSpaceDN w:val="0"/>
        <w:spacing w:after="0" w:line="240" w:lineRule="auto"/>
        <w:ind w:hanging="142"/>
        <w:jc w:val="both"/>
        <w:rPr>
          <w:rFonts w:ascii="Times New Roman" w:hAnsi="Times New Roman" w:cs="Times New Roman" w:eastAsia="Times New Roman"/>
          <w:szCs w:val="20"/>
        </w:rPr>
      </w:pPr>
    </w:p>
    <w:p w14:paraId="2FC99E88" w14:textId="427CE55A">
      <w:pPr>
        <w:pStyle w:val="P68B1DB1-Normal15"/>
        <w:widowControl w:val="0"/>
        <w:tabs>
          <w:tab w:val="left" w:pos="396"/>
          <w:tab w:val="left" w:pos="407"/>
        </w:tabs>
        <w:autoSpaceDE w:val="0"/>
        <w:autoSpaceDN w:val="0"/>
        <w:spacing w:after="0" w:line="240" w:lineRule="auto"/>
        <w:ind w:left="567"/>
        <w:jc w:val="both"/>
      </w:pPr>
      <w:r>
        <w:t xml:space="preserve">«48. A este respeito, há que recordar que o Tribunal de Justiça declarou que a inobservância da obrigação de notificação à Comissão constitui um vício processual na adoção das regras técnicas em causa e torna essas regras técnicas inaplicáveis e, por conseguinte, inoponíveis aos particulares (v., nomeadamente, acórdãos CIA Security International, C-194/94, n.º 54, e Schwibbert, C-20/05, n.º 44). Os particulares podem invocar esta inaplicabilidade perante o órgão jurisdicional nacional, que deve recusar aplicar uma regra técnica nacional que não tenha sido notificada em conformidade com a Diretiva 98/34 (v., nomeadamente, acórdão Schwibbert, já referido, n.º 44 e jurisprudência referida).</w:t>
      </w:r>
    </w:p>
    <w:p w14:paraId="64D396E7" w14:textId="77777777">
      <w:pPr>
        <w:pStyle w:val="P68B1DB1-Normal15"/>
        <w:widowControl w:val="0"/>
        <w:tabs>
          <w:tab w:val="left" w:pos="396"/>
          <w:tab w:val="left" w:pos="407"/>
        </w:tabs>
        <w:autoSpaceDE w:val="0"/>
        <w:autoSpaceDN w:val="0"/>
        <w:spacing w:after="0" w:line="240" w:lineRule="auto"/>
        <w:ind w:left="567"/>
        <w:jc w:val="both"/>
      </w:pPr>
    </w:p>
    <w:p w14:paraId="24511168" w14:textId="41EC6123">
      <w:pPr>
        <w:pStyle w:val="P68B1DB1-Normal15"/>
        <w:widowControl w:val="0"/>
        <w:tabs>
          <w:tab w:val="left" w:pos="396"/>
          <w:tab w:val="left" w:pos="407"/>
        </w:tabs>
        <w:autoSpaceDE w:val="0"/>
        <w:autoSpaceDN w:val="0"/>
        <w:spacing w:after="0" w:line="240" w:lineRule="auto"/>
        <w:ind w:left="567"/>
        <w:jc w:val="both"/>
      </w:pPr>
      <w:r>
        <w:t xml:space="preserve">49. Daqui resulta que, se a comunicação à Comissão do § 9 do DSF contivesse efetivamente a data de 1 de maio de 2003 como data de entrada em vigor e a redução do seu calendário de execução para 15 de abril de 2003 era significativa, a não comunicação desta disposição nacional à Comissão torná-la-ia inoponível aos demandados no processo principal.</w:t>
      </w:r>
    </w:p>
    <w:p w14:paraId="5515956D" w14:textId="77777777">
      <w:pPr>
        <w:pStyle w:val="P68B1DB1-Normal15"/>
        <w:widowControl w:val="0"/>
        <w:tabs>
          <w:tab w:val="left" w:pos="396"/>
          <w:tab w:val="left" w:pos="407"/>
        </w:tabs>
        <w:autoSpaceDE w:val="0"/>
        <w:autoSpaceDN w:val="0"/>
        <w:spacing w:after="0" w:line="240" w:lineRule="auto"/>
        <w:ind w:left="567"/>
        <w:jc w:val="both"/>
      </w:pPr>
    </w:p>
    <w:p w14:paraId="74B7B30E" w14:textId="7B5C59D5">
      <w:pPr>
        <w:pStyle w:val="P68B1DB1-Normal15"/>
        <w:widowControl w:val="0"/>
        <w:tabs>
          <w:tab w:val="left" w:pos="396"/>
          <w:tab w:val="left" w:pos="407"/>
        </w:tabs>
        <w:autoSpaceDE w:val="0"/>
        <w:autoSpaceDN w:val="0"/>
        <w:spacing w:after="0" w:line="240" w:lineRule="auto"/>
        <w:ind w:left="567"/>
        <w:jc w:val="both"/>
      </w:pPr>
      <w:r>
        <w:t xml:space="preserve">50. Por conseguinte, há que responder à segunda questão que, se a redução do calendário de entrada em vigor de uma regra técnica estiver sujeita à obrigação de comunicação à Comissão, prevista no artigo 8.º, n.º 1, terceiro parágrafo, da Diretiva 98/34, a não apresentação dessa comunicação tornaria essa medida nacional inaplicável, pelo que não poderia ser invocada contra os particulares.»</w:t>
      </w:r>
    </w:p>
    <w:p w14:paraId="761A5A99" w14:textId="77777777">
      <w:pPr>
        <w:pStyle w:val="P68B1DB1-Normal15"/>
        <w:widowControl w:val="0"/>
        <w:tabs>
          <w:tab w:val="left" w:pos="396"/>
          <w:tab w:val="left" w:pos="407"/>
        </w:tabs>
        <w:autoSpaceDE w:val="0"/>
        <w:autoSpaceDN w:val="0"/>
        <w:spacing w:after="0" w:line="240" w:lineRule="auto"/>
        <w:jc w:val="both"/>
        <w:rPr>
          <w:iCs/>
        </w:rPr>
      </w:pPr>
    </w:p>
    <w:p w14:paraId="5BAF695F" w14:textId="64410CB4">
      <w:pPr>
        <w:pStyle w:val="P68B1DB1-Normal16"/>
        <w:spacing w:after="0" w:line="278" w:lineRule="auto"/>
      </w:pPr>
      <w:r>
        <w:br w:type="page"/>
      </w:r>
    </w:p>
    <w:p w14:paraId="6577BC49" w14:textId="03B1ACB8">
      <w:pPr>
        <w:pStyle w:val="P68B1DB1-Heading13"/>
        <w:numPr>
          <w:ilvl w:val="0"/>
          <w:numId w:val="34"/>
        </w:numPr>
        <w:spacing w:before="0" w:after="0"/>
        <w:jc w:val="center"/>
        <w:rPr>
          <w:bCs/>
          <w:color w:val="auto"/>
          <w:sz w:val="22"/>
          <w:szCs w:val="22"/>
        </w:rPr>
      </w:pPr>
      <w:bookmarkStart w:id="149" w:name="_Ref195517367"/>
      <w:bookmarkStart w:id="150" w:name="_Toc203035679"/>
      <w:r>
        <w:t xml:space="preserve">Exceções à obrigação de notificação</w:t>
      </w:r>
      <w:bookmarkEnd w:id="149"/>
      <w:bookmarkEnd w:id="150"/>
    </w:p>
    <w:p w14:paraId="3C30462C" w14:textId="2740E9B7">
      <w:pPr>
        <w:spacing w:after="0" w:line="278" w:lineRule="auto"/>
        <w:rPr>
          <w:rFonts w:ascii="Times New Roman" w:hAnsi="Times New Roman" w:cs="Times New Roman"/>
          <w:i/>
          <w:sz w:val="20"/>
          <w:szCs w:val="20"/>
        </w:rPr>
      </w:pPr>
    </w:p>
    <w:p w14:paraId="0F730AF8" w14:textId="3DA91853">
      <w:pPr>
        <w:pStyle w:val="P68B1DB1-Heading24"/>
        <w:numPr>
          <w:ilvl w:val="0"/>
          <w:numId w:val="37"/>
        </w:numPr>
        <w:spacing w:before="0" w:after="0"/>
        <w:jc w:val="center"/>
        <w:rPr>
          <w:bCs/>
          <w:color w:val="auto"/>
        </w:rPr>
      </w:pPr>
      <w:bookmarkStart w:id="151" w:name="_Ref194484715"/>
      <w:bookmarkStart w:id="152" w:name="_Ref194942600"/>
      <w:bookmarkStart w:id="153" w:name="_Toc203035680"/>
      <w:r>
        <w:t xml:space="preserve">Transposição de um ato legislativo europeu</w:t>
      </w:r>
      <w:bookmarkEnd w:id="151"/>
      <w:bookmarkEnd w:id="152"/>
      <w:bookmarkEnd w:id="153"/>
    </w:p>
    <w:p w14:paraId="4B7876F4" w14:textId="77777777">
      <w:pPr>
        <w:pStyle w:val="BodyText"/>
        <w:rPr>
          <w:b/>
          <w:bCs/>
        </w:rPr>
      </w:pPr>
    </w:p>
    <w:p w14:paraId="61507248" w14:textId="663D0F44">
      <w:pPr>
        <w:pStyle w:val="P68B1DB1-BodyText11"/>
        <w:ind w:left="567"/>
        <w:rPr>
          <w:i/>
        </w:rPr>
      </w:pPr>
      <w:r>
        <w:t xml:space="preserve">«Os artigos 5.º e 6.º não são aplicáveis às disposições legislativas, regulamentares e administrativas dos Estados-Membros ou aos acordos voluntários através dos quais os Estados-Membros: </w:t>
      </w:r>
    </w:p>
    <w:p w14:paraId="2762B474" w14:textId="77777777">
      <w:pPr>
        <w:pStyle w:val="BodyText"/>
        <w:ind w:left="567"/>
        <w:rPr>
          <w:i/>
        </w:rPr>
      </w:pPr>
    </w:p>
    <w:p w14:paraId="753FC221" w14:textId="4E9C46C0">
      <w:pPr>
        <w:pStyle w:val="P68B1DB1-BodyText11"/>
        <w:ind w:left="1440"/>
        <w:rPr>
          <w:iCs/>
        </w:rPr>
      </w:pPr>
      <w:r>
        <w:t xml:space="preserve">a) Cumprir atos vinculativos da União que resultem na adoção de especificações técnicas ou regras relativas aos serviços;»</w:t>
      </w:r>
    </w:p>
    <w:p w14:paraId="2A077376" w14:textId="77777777">
      <w:pPr>
        <w:pStyle w:val="BodyText"/>
        <w:ind w:left="567"/>
        <w:rPr>
          <w:i/>
          <w:iCs/>
        </w:rPr>
      </w:pPr>
    </w:p>
    <w:p w14:paraId="7AE538ED" w14:textId="4CFA3BCA">
      <w:pPr>
        <w:pStyle w:val="BodyText"/>
        <w:jc w:val="right"/>
      </w:pPr>
      <w:r>
        <w:t xml:space="preserve">(Artigo 7.º, n.º 1, alínea a), da Diretiva (UE) 2015/1535)</w:t>
      </w:r>
    </w:p>
    <w:p w14:paraId="7807BF7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C483B06" w14:textId="24AB8D26">
      <w:pPr>
        <w:pStyle w:val="P68B1DB1-Normal13"/>
        <w:widowControl w:val="0"/>
        <w:autoSpaceDE w:val="0"/>
        <w:autoSpaceDN w:val="0"/>
        <w:spacing w:after="0" w:line="240" w:lineRule="auto"/>
        <w:jc w:val="both"/>
        <w:outlineLvl w:val="1"/>
      </w:pPr>
      <w:hyperlink r:id="rId87" w:history="1">
        <w:r>
          <w:rPr>
            <w:color w:val="0000FF"/>
            <w:u w:val="single"/>
          </w:rPr>
          <w:t xml:space="preserve">Acórdão do Tribunal de Justiça de 17 de setembro de 1996</w:t>
        </w:r>
      </w:hyperlink>
      <w:r>
        <w:t xml:space="preserve"> no processo C-289/94, Comissão/Itália, n.os 43 a 45.</w:t>
      </w:r>
      <w:bookmarkEnd w:id="154"/>
    </w:p>
    <w:p w14:paraId="5A0D4173"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4994C4AC" w14:textId="06B0EF04">
      <w:pPr>
        <w:pStyle w:val="P68B1DB1-Normal14"/>
        <w:widowControl w:val="0"/>
        <w:tabs>
          <w:tab w:val="left" w:pos="393"/>
          <w:tab w:val="left" w:pos="396"/>
        </w:tabs>
        <w:autoSpaceDE w:val="0"/>
        <w:autoSpaceDN w:val="0"/>
        <w:spacing w:after="0" w:line="240" w:lineRule="auto"/>
        <w:jc w:val="both"/>
      </w:pPr>
      <w:r>
        <w:t xml:space="preserve">Para que uma medida nacional possa ser considerada uma medida de transposição isenta de notificação, é necessário estabelecer um nexo direto com um ato comunitário vinculativo. </w:t>
      </w:r>
    </w:p>
    <w:p w14:paraId="6B49E9E7"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i/>
          <w:iCs/>
          <w:sz w:val="20"/>
          <w:szCs w:val="16"/>
        </w:rPr>
      </w:pPr>
    </w:p>
    <w:p w14:paraId="433CF3E1" w14:textId="20EF3A37">
      <w:pPr>
        <w:pStyle w:val="P68B1DB1-Normal15"/>
        <w:widowControl w:val="0"/>
        <w:tabs>
          <w:tab w:val="left" w:pos="393"/>
          <w:tab w:val="left" w:pos="396"/>
        </w:tabs>
        <w:autoSpaceDE w:val="0"/>
        <w:autoSpaceDN w:val="0"/>
        <w:spacing w:after="0" w:line="240" w:lineRule="auto"/>
        <w:ind w:left="567"/>
        <w:jc w:val="both"/>
      </w:pPr>
      <w:r>
        <w:t xml:space="preserve">«43. Por seu lado, a Diretiva 91/492 contém disposições muito mais amplas sobre a comercialização não só de moluscos bivalves, mas também de gastrópodes marinhos, tunicados e equinodermes. Com efeito, a diretiva estabelece novas exigências relativas a todas as fases da apanha, da manipulação, da armazenagem, do transporte e da distribuição dos moluscos; institui também um sistema de registo e de marcação que permitem identificar, para efeitos sanitários, a origem de cada lote. </w:t>
      </w:r>
    </w:p>
    <w:p w14:paraId="7B3D1E4A" w14:textId="77777777">
      <w:pPr>
        <w:pStyle w:val="P68B1DB1-Normal15"/>
        <w:widowControl w:val="0"/>
        <w:tabs>
          <w:tab w:val="left" w:pos="393"/>
          <w:tab w:val="left" w:pos="396"/>
        </w:tabs>
        <w:autoSpaceDE w:val="0"/>
        <w:autoSpaceDN w:val="0"/>
        <w:spacing w:after="0" w:line="240" w:lineRule="auto"/>
        <w:ind w:left="567"/>
        <w:jc w:val="both"/>
      </w:pPr>
    </w:p>
    <w:p w14:paraId="48887BBE" w14:textId="149910F2">
      <w:pPr>
        <w:pStyle w:val="P68B1DB1-Normal15"/>
        <w:widowControl w:val="0"/>
        <w:tabs>
          <w:tab w:val="left" w:pos="393"/>
          <w:tab w:val="left" w:pos="396"/>
        </w:tabs>
        <w:autoSpaceDE w:val="0"/>
        <w:autoSpaceDN w:val="0"/>
        <w:spacing w:after="0" w:line="240" w:lineRule="auto"/>
        <w:ind w:left="567"/>
        <w:jc w:val="both"/>
      </w:pPr>
      <w:r>
        <w:t xml:space="preserve">44. Acresce que a falta de um nexo direto entre a Diretiva 91/492 e os dois decretos em questão é corroborada pela afirmação do Governo italiano segundo a qual a referida diretiva foi transposta para o direito italiano através do Decreto legislativo n.º 530 de 30 de dezembro de 1992, já referido, que, segundo as suas próprias afirmações, constitui o texto único de implementação da Diretiva 91/492 e em relação à qual a Comissão enviou, em 27 de janeiro de 1993, um parecer circunstanciado criticando este decreto na medida em que se aplicava a uma terceira toxina (NSP) não prevista na Diretiva 91/492. </w:t>
      </w:r>
    </w:p>
    <w:p w14:paraId="19342BDA" w14:textId="77777777">
      <w:pPr>
        <w:pStyle w:val="P68B1DB1-Normal15"/>
        <w:widowControl w:val="0"/>
        <w:tabs>
          <w:tab w:val="left" w:pos="393"/>
          <w:tab w:val="left" w:pos="396"/>
        </w:tabs>
        <w:autoSpaceDE w:val="0"/>
        <w:autoSpaceDN w:val="0"/>
        <w:spacing w:after="0" w:line="240" w:lineRule="auto"/>
        <w:ind w:left="567"/>
        <w:jc w:val="both"/>
      </w:pPr>
    </w:p>
    <w:p w14:paraId="1A450F93" w14:textId="4F2BD9E6">
      <w:pPr>
        <w:pStyle w:val="P68B1DB1-Normal15"/>
        <w:widowControl w:val="0"/>
        <w:tabs>
          <w:tab w:val="left" w:pos="393"/>
          <w:tab w:val="left" w:pos="396"/>
        </w:tabs>
        <w:autoSpaceDE w:val="0"/>
        <w:autoSpaceDN w:val="0"/>
        <w:spacing w:after="0" w:line="240" w:lineRule="auto"/>
        <w:ind w:left="567"/>
        <w:jc w:val="both"/>
      </w:pPr>
      <w:r>
        <w:t xml:space="preserve">45. Uma vez que não constituem medidas de transposição da Diretiva 91/492 suscetíveis de justificar a aplicação do artigo 10.º da Diretiva 83/189, o Decreto n.º 257, de 1 de agosto de 1990, e o Decreto de 1 de setembro de 1990 deviam ser notificados à Comissão nos termos do artigo 8.º desta última diretiva.»</w:t>
      </w:r>
    </w:p>
    <w:p w14:paraId="0EB5A280" w14:textId="77777777">
      <w:pPr>
        <w:pStyle w:val="P68B1DB1-Normal15"/>
        <w:widowControl w:val="0"/>
        <w:tabs>
          <w:tab w:val="left" w:pos="393"/>
          <w:tab w:val="left" w:pos="396"/>
        </w:tabs>
        <w:autoSpaceDE w:val="0"/>
        <w:autoSpaceDN w:val="0"/>
        <w:spacing w:after="0" w:line="240" w:lineRule="auto"/>
        <w:ind w:left="567"/>
        <w:jc w:val="both"/>
        <w:rPr>
          <w:iCs/>
        </w:rPr>
      </w:pPr>
    </w:p>
    <w:p w14:paraId="667344E1" w14:textId="52345967">
      <w:pPr>
        <w:pStyle w:val="P68B1DB1-Normal13"/>
        <w:widowControl w:val="0"/>
        <w:autoSpaceDE w:val="0"/>
        <w:autoSpaceDN w:val="0"/>
        <w:spacing w:after="0" w:line="240" w:lineRule="auto"/>
        <w:jc w:val="both"/>
        <w:outlineLvl w:val="1"/>
      </w:pPr>
      <w:hyperlink r:id="rId88" w:history="1">
        <w:r>
          <w:rPr>
            <w:color w:val="0000FF"/>
            <w:u w:val="single"/>
          </w:rPr>
          <w:t xml:space="preserve">Acórdão do Tribunal de Justiça de 26 de setembro de 2000</w:t>
        </w:r>
      </w:hyperlink>
      <w:r>
        <w:t xml:space="preserve"> no processo C-443/98, Unilever, n.os 28 e 29.</w:t>
      </w:r>
      <w:bookmarkEnd w:id="155"/>
    </w:p>
    <w:p w14:paraId="6F265AB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72ABF8" w14:textId="6CA475E3">
      <w:pPr>
        <w:pStyle w:val="P68B1DB1-Normal14"/>
        <w:widowControl w:val="0"/>
        <w:autoSpaceDE w:val="0"/>
        <w:autoSpaceDN w:val="0"/>
        <w:spacing w:after="0" w:line="240" w:lineRule="auto"/>
        <w:jc w:val="both"/>
      </w:pPr>
      <w:r>
        <w:t xml:space="preserve">Quando os Estados-Membros dispõem de uma ampla margem de apreciação na transposição de uma diretiva da União, as medidas nacionais adotadas para esse efeito não podem ser consideradas disposições nacionais «conformes com um ato comunitário vinculativo».</w:t>
      </w:r>
    </w:p>
    <w:p w14:paraId="233C173F" w14:textId="77777777">
      <w:pPr>
        <w:widowControl w:val="0"/>
        <w:autoSpaceDE w:val="0"/>
        <w:autoSpaceDN w:val="0"/>
        <w:spacing w:after="0" w:line="240" w:lineRule="auto"/>
        <w:jc w:val="both"/>
        <w:rPr>
          <w:rFonts w:ascii="Times New Roman" w:hAnsi="Times New Roman" w:cs="Times New Roman" w:eastAsia="Times New Roman"/>
          <w:szCs w:val="20"/>
        </w:rPr>
      </w:pPr>
    </w:p>
    <w:p w14:paraId="4D09BAA2" w14:textId="2C7E5999">
      <w:pPr>
        <w:pStyle w:val="P68B1DB1-Normal15"/>
        <w:widowControl w:val="0"/>
        <w:autoSpaceDE w:val="0"/>
        <w:autoSpaceDN w:val="0"/>
        <w:spacing w:after="0" w:line="240" w:lineRule="auto"/>
        <w:ind w:left="567"/>
        <w:jc w:val="both"/>
      </w:pPr>
      <w:r>
        <w:t xml:space="preserve">«28. Em segundo lugar, o Governo italiano alega que a lei controvertida estava isenta da obrigação de notificação prevista no artigo 10.º da Diretiva 83/189, uma vez que foi adotada em conformidade com a Diretiva 79/112/CEE do Conselho, de 18 de dezembro de 1978, relativa à aproximação das legislações dos Estados-Membros respeitantes à rotulagem, apresentação e publicidade dos géneros alimentícios destinados ao consumidor final (JO 1979, L 33, p. 1). O artigo 3.º, n.º 1, (7), desta diretiva exige que o local de origem ou de proveniência do produto seja indicado no rótulo nos casos em que a omissão dessa informação seja suscetível de induzir o consumidor em erro quanto à verdadeira origem ou proveniência do género alimentício.</w:t>
      </w:r>
    </w:p>
    <w:p w14:paraId="0949ABBA" w14:textId="77777777">
      <w:pPr>
        <w:pStyle w:val="P68B1DB1-Normal15"/>
        <w:widowControl w:val="0"/>
        <w:autoSpaceDE w:val="0"/>
        <w:autoSpaceDN w:val="0"/>
        <w:spacing w:after="0" w:line="240" w:lineRule="auto"/>
        <w:ind w:left="567"/>
        <w:jc w:val="both"/>
      </w:pPr>
    </w:p>
    <w:p w14:paraId="7E20C2A2" w14:textId="32F76FBD">
      <w:pPr>
        <w:pStyle w:val="P68B1DB1-Normal15"/>
        <w:widowControl w:val="0"/>
        <w:autoSpaceDE w:val="0"/>
        <w:autoSpaceDN w:val="0"/>
        <w:spacing w:after="0" w:line="240" w:lineRule="auto"/>
        <w:ind w:left="567"/>
        <w:jc w:val="both"/>
      </w:pPr>
      <w:r>
        <w:t xml:space="preserve">29. Esta tese não pode ser aceite. Como salientou a Comissão, esta disposição da Diretiva 79/112, redigida em termos gerais, deixa aos Estados-Membros uma margem de manobra suficiente para concluir que uma regulamentação nacional em matéria de rotulagem relativa à origem, como a adotada na lei impugnada, não pode ser considerada uma disposição nacional conforme a um ato comunitário vinculativo na aceção do artigo 10.º, n.º 1, primeiro travessão, da Diretiva 83/189.»</w:t>
      </w:r>
    </w:p>
    <w:p w14:paraId="49D7BF4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4D10AEF" w14:textId="6F48CDC6">
      <w:pPr>
        <w:pStyle w:val="P68B1DB1-Normal13"/>
        <w:widowControl w:val="0"/>
        <w:autoSpaceDE w:val="0"/>
        <w:autoSpaceDN w:val="0"/>
        <w:spacing w:after="0" w:line="240" w:lineRule="auto"/>
        <w:jc w:val="both"/>
        <w:outlineLvl w:val="1"/>
      </w:pPr>
      <w:hyperlink r:id="rId89" w:history="1">
        <w:r>
          <w:rPr>
            <w:color w:val="0000FF"/>
            <w:u w:val="single"/>
          </w:rPr>
          <w:t xml:space="preserve">Acórdão do Tribunal de Justiça de 22 de janeiro de 2000</w:t>
        </w:r>
      </w:hyperlink>
      <w:r>
        <w:t xml:space="preserve"> no processo C-390/99, Canal Satélite Digital, n.º 48.</w:t>
      </w:r>
      <w:bookmarkEnd w:id="156"/>
    </w:p>
    <w:p w14:paraId="129D695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DFD60C" w14:textId="77777777">
      <w:pPr>
        <w:pStyle w:val="P68B1DB1-Normal14"/>
        <w:widowControl w:val="0"/>
        <w:tabs>
          <w:tab w:val="left" w:pos="396"/>
          <w:tab w:val="left" w:pos="405"/>
        </w:tabs>
        <w:autoSpaceDE w:val="0"/>
        <w:autoSpaceDN w:val="0"/>
        <w:spacing w:after="0" w:line="240" w:lineRule="auto"/>
        <w:jc w:val="both"/>
      </w:pPr>
      <w:r>
        <w:t xml:space="preserve">As disposições nacionais que transpõem medidas comunitárias vinculativas que contenham «especificações técnicas» não estão sujeitas à obrigação de notificação, desde que se limitem estritamente a essa transposição.</w:t>
      </w:r>
    </w:p>
    <w:p w14:paraId="15236C38" w14:textId="77777777">
      <w:pPr>
        <w:pStyle w:val="P68B1DB1-Normal15"/>
        <w:widowControl w:val="0"/>
        <w:tabs>
          <w:tab w:val="left" w:pos="396"/>
          <w:tab w:val="left" w:pos="405"/>
        </w:tabs>
        <w:autoSpaceDE w:val="0"/>
        <w:autoSpaceDN w:val="0"/>
        <w:spacing w:after="0" w:line="240" w:lineRule="auto"/>
        <w:ind w:left="567" w:hanging="142"/>
        <w:jc w:val="both"/>
        <w:rPr>
          <w:iCs/>
        </w:rPr>
      </w:pPr>
      <w:r>
        <w:t xml:space="preserve">    </w:t>
      </w:r>
    </w:p>
    <w:p w14:paraId="6015C260" w14:textId="48904931">
      <w:pPr>
        <w:pStyle w:val="P68B1DB1-Normal15"/>
        <w:widowControl w:val="0"/>
        <w:tabs>
          <w:tab w:val="left" w:pos="396"/>
          <w:tab w:val="left" w:pos="405"/>
        </w:tabs>
        <w:autoSpaceDE w:val="0"/>
        <w:autoSpaceDN w:val="0"/>
        <w:spacing w:after="0" w:line="240" w:lineRule="auto"/>
        <w:ind w:left="567"/>
        <w:jc w:val="both"/>
      </w:pPr>
      <w:r>
        <w:t xml:space="preserve">«48. No que respeita à segunda parte da terceira questão, que se refere à obrigação de notificação prevista no artigo 8.º da Diretiva 83/189, resulta do artigo 10.º desta mesma diretiva que os seus artigos 8.º e 9.º não são aplicáveis às disposições legislativas, regulamentares ou administrativas dos Estados-Membros ou aos acordos voluntários pelos quais estes últimos dão cumprimento aos atos comunitários obrigatórios que têm por efeito a adoção de especificações técnicas. Assim, na medida em que a legislação nacional em causa no processo principal transpõe a Diretiva 95/47, e apenas nessa medida, não haverá obrigação de notificação nos termos da Diretiva 83/189.»</w:t>
      </w:r>
    </w:p>
    <w:p w14:paraId="0E6C95FC"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i/>
          <w:iCs/>
          <w:sz w:val="20"/>
          <w:szCs w:val="16"/>
        </w:rPr>
      </w:pPr>
    </w:p>
    <w:p w14:paraId="6306D56B" w14:textId="28E735BF">
      <w:pPr>
        <w:pStyle w:val="P68B1DB1-Normal13"/>
        <w:widowControl w:val="0"/>
        <w:autoSpaceDE w:val="0"/>
        <w:autoSpaceDN w:val="0"/>
        <w:spacing w:after="0" w:line="240" w:lineRule="auto"/>
        <w:jc w:val="both"/>
        <w:outlineLvl w:val="1"/>
      </w:pPr>
      <w:hyperlink r:id="rId90" w:history="1">
        <w:r>
          <w:rPr>
            <w:color w:val="0000FF"/>
            <w:u w:val="single"/>
          </w:rPr>
          <w:t xml:space="preserve">Acórdão do Tribunal de Justiça de 8 de setembro de 2005</w:t>
        </w:r>
      </w:hyperlink>
      <w:r>
        <w:t xml:space="preserve"> no processo C-500/03, Comissão/Portugal, n.os 34 e 35.</w:t>
      </w:r>
      <w:bookmarkEnd w:id="157"/>
    </w:p>
    <w:p w14:paraId="183658EB"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630E23D4" w14:textId="570B0609">
      <w:pPr>
        <w:widowControl w:val="0"/>
        <w:tabs>
          <w:tab w:val="left" w:pos="467"/>
        </w:tabs>
        <w:autoSpaceDE w:val="0"/>
        <w:autoSpaceDN w:val="0"/>
        <w:spacing w:after="0" w:line="240" w:lineRule="auto"/>
        <w:jc w:val="both"/>
        <w:rPr>
          <w:rFonts w:ascii="Times New Roman" w:hAnsi="Times New Roman" w:cs="Times New Roman" w:eastAsia="Times New Roman"/>
          <w:szCs w:val="20"/>
        </w:rPr>
        <w:pStyle w:val="P68B1DB1-Normal14"/>
      </w:pPr>
      <w:r>
        <w:t xml:space="preserve">As disposições nacionais que determinam as características das embarcações de recreio não podem beneficiar da isenção de notificação reservada às transposições, quando a diretiva invocada deixa aos Estados-Membros a liberdade de definirem as condições que considerem necessárias para proteger o ambiente, a configuração e a segurança das vias navegáveis.</w:t>
      </w:r>
    </w:p>
    <w:p w14:paraId="4D369937"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0FD9A15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(Sendo o acórdão apenas disponível em francês e português, o texto seguinte é uma tradução.)</w:t>
      </w:r>
    </w:p>
    <w:p w14:paraId="6FE719E7" w14:textId="77777777">
      <w:pPr>
        <w:pStyle w:val="P68B1DB1-Normal31"/>
        <w:widowControl w:val="0"/>
        <w:tabs>
          <w:tab w:val="left" w:pos="396"/>
          <w:tab w:val="left" w:pos="405"/>
        </w:tabs>
        <w:autoSpaceDE w:val="0"/>
        <w:autoSpaceDN w:val="0"/>
        <w:spacing w:after="0" w:line="240" w:lineRule="auto"/>
        <w:ind w:left="567"/>
        <w:jc w:val="both"/>
      </w:pPr>
    </w:p>
    <w:p w14:paraId="747BC5AF" w14:textId="6053190E">
      <w:pPr>
        <w:pStyle w:val="P68B1DB1-Normal31"/>
        <w:widowControl w:val="0"/>
        <w:tabs>
          <w:tab w:val="left" w:pos="396"/>
          <w:tab w:val="left" w:pos="405"/>
        </w:tabs>
        <w:autoSpaceDE w:val="0"/>
        <w:autoSpaceDN w:val="0"/>
        <w:spacing w:after="0" w:line="240" w:lineRule="auto"/>
        <w:ind w:left="567"/>
        <w:jc w:val="both"/>
        <w:rPr>
          <w:iCs/>
        </w:rPr>
      </w:pPr>
      <w:r>
        <w:t xml:space="preserve">«34. [...] Os Estados-Membros têm o direito, previsto no artigo 2.º, n.º 2, da Diretiva 94/25, de definir, a nível nacional, as condições que considerem necessárias para a navegação em determinadas águas, a fim de proteger o ambiente e as redes de vias navegáveis e garantir a segurança nessas águas. No entanto, estas disposições nacionais não podem, em caso algum, ser consideradas como tendo sido adotadas para efeitos do cumprimento de um ato comunitário vinculativo.</w:t>
      </w:r>
    </w:p>
    <w:p w14:paraId="4B5BC30F" w14:textId="77777777">
      <w:pPr>
        <w:widowControl w:val="0"/>
        <w:tabs>
          <w:tab w:val="left" w:pos="396"/>
          <w:tab w:val="left" w:pos="405"/>
        </w:tabs>
        <w:autoSpaceDE w:val="0"/>
        <w:autoSpaceDN w:val="0"/>
        <w:spacing w:after="0" w:line="240" w:lineRule="auto"/>
        <w:ind w:left="567"/>
        <w:jc w:val="both"/>
        <w:rPr>
          <w:rFonts w:ascii="Times New Roman" w:hAnsi="Times New Roman" w:cs="Times New Roman"/>
          <w:i/>
          <w:iCs/>
          <w:sz w:val="20"/>
          <w:szCs w:val="16"/>
        </w:rPr>
      </w:pPr>
    </w:p>
    <w:p w14:paraId="21B97694" w14:textId="6F5A910D">
      <w:pPr>
        <w:pStyle w:val="P68B1DB1-Normal31"/>
        <w:widowControl w:val="0"/>
        <w:tabs>
          <w:tab w:val="left" w:pos="396"/>
          <w:tab w:val="left" w:pos="405"/>
        </w:tabs>
        <w:autoSpaceDE w:val="0"/>
        <w:autoSpaceDN w:val="0"/>
        <w:spacing w:after="0" w:line="240" w:lineRule="auto"/>
        <w:ind w:left="567"/>
        <w:jc w:val="both"/>
      </w:pPr>
      <w:r>
        <w:t xml:space="preserve">35. Daqui resulta que o regulamento relativo à navegação nas lagoas, que introduz limites técnicos para as embarcações de recreio nos termos do artigo 2.º, n.º 2, da Diretiva 94/25, não está abrangido pelo âmbito de aplicação do artigo 10.º, n.º 1, primeiro travessão, da Diretiva 98/34.»</w:t>
      </w:r>
    </w:p>
    <w:p w14:paraId="7D5DF054" w14:textId="4AE1CCCE">
      <w:pPr>
        <w:spacing w:after="0" w:line="278" w:lineRule="auto"/>
        <w:rPr>
          <w:rFonts w:ascii="Times New Roman" w:hAnsi="Times New Roman" w:cs="Times New Roman" w:eastAsia="Times New Roman"/>
          <w:i/>
          <w:iCs/>
          <w:sz w:val="20"/>
          <w:szCs w:val="16"/>
        </w:rPr>
      </w:pPr>
      <w:r>
        <w:br w:type="page"/>
      </w:r>
    </w:p>
    <w:p w14:paraId="17D9CF1D" w14:textId="0805DD41">
      <w:pPr>
        <w:pStyle w:val="P68B1DB1-Heading24"/>
        <w:numPr>
          <w:ilvl w:val="0"/>
          <w:numId w:val="37"/>
        </w:numPr>
        <w:spacing w:before="0" w:after="0"/>
        <w:jc w:val="center"/>
        <w:rPr>
          <w:bCs/>
          <w:color w:val="auto"/>
        </w:rPr>
      </w:pPr>
      <w:bookmarkStart w:id="158" w:name="_Ref195517548"/>
      <w:bookmarkStart w:id="159" w:name="_Toc203035681"/>
      <w:r>
        <w:t xml:space="preserve">Utilização de uma cláusula de salvaguarda</w:t>
      </w:r>
      <w:bookmarkEnd w:id="158"/>
      <w:bookmarkEnd w:id="159"/>
    </w:p>
    <w:p w14:paraId="19EB441C" w14:textId="77777777">
      <w:pPr>
        <w:pStyle w:val="BodyText"/>
        <w:ind w:left="567"/>
      </w:pPr>
    </w:p>
    <w:p w14:paraId="3421D751" w14:textId="45643AD7">
      <w:pPr>
        <w:pStyle w:val="P68B1DB1-BodyText11"/>
        <w:ind w:left="567"/>
        <w:rPr>
          <w:iCs/>
        </w:rPr>
      </w:pPr>
      <w:r>
        <w:t xml:space="preserve">«Os artigos 5.º e 6.º </w:t>
      </w:r>
      <w:r>
        <w:rPr>
          <w:i w:val="0"/>
        </w:rPr>
        <w:t xml:space="preserve">[relativos à obrigação de notificação e ao prazo suspensivo] </w:t>
      </w:r>
      <w:r>
        <w:t xml:space="preserve">não são aplicáveis às disposições legislativas, regulamentares e administrativas dos Estados-Membros ou aos acordos voluntários através dos quais os Estados-Membros: </w:t>
      </w:r>
    </w:p>
    <w:p w14:paraId="034842B2" w14:textId="40165944">
      <w:pPr>
        <w:pStyle w:val="P68B1DB1-BodyText11"/>
        <w:ind w:left="1134" w:firstLine="306"/>
        <w:rPr>
          <w:iCs/>
        </w:rPr>
      </w:pPr>
      <w:r>
        <w:t>[...]</w:t>
      </w:r>
    </w:p>
    <w:p w14:paraId="412F859B" w14:textId="2872F60B">
      <w:pPr>
        <w:pStyle w:val="P68B1DB1-BodyText11"/>
        <w:ind w:left="1287" w:firstLine="153"/>
        <w:rPr>
          <w:iCs/>
        </w:rPr>
      </w:pPr>
      <w:r>
        <w:t xml:space="preserve">c) Fazer uso das cláusulas de salvaguarda previstas em atos vinculativos da União;»</w:t>
      </w:r>
    </w:p>
    <w:p w14:paraId="3AF0BFA4" w14:textId="77777777">
      <w:pPr>
        <w:pStyle w:val="P68B1DB1-BodyText11"/>
        <w:ind w:left="567"/>
        <w:rPr>
          <w:iCs/>
        </w:rPr>
      </w:pPr>
    </w:p>
    <w:p w14:paraId="6099E717" w14:textId="6C5840E7">
      <w:pPr>
        <w:pStyle w:val="BodyText"/>
        <w:jc w:val="right"/>
      </w:pPr>
      <w:r>
        <w:t xml:space="preserve">(Artigo 7.º, n.º 1, alínea c), da Diretiva (UE) 2015/1535)</w:t>
      </w:r>
    </w:p>
    <w:p w14:paraId="0B43480F" w14:textId="77777777">
      <w:pPr>
        <w:pStyle w:val="BodyText"/>
        <w:jc w:val="right"/>
      </w:pPr>
    </w:p>
    <w:p w14:paraId="2F300DBD" w14:textId="39C2EC6A">
      <w:pPr>
        <w:pStyle w:val="P68B1DB1-BodyText11"/>
        <w:ind w:left="567"/>
        <w:rPr>
          <w:iCs/>
        </w:rPr>
      </w:pPr>
      <w:r>
        <w:t xml:space="preserve">«As medidas de harmonização acima referidas compreenderão, nos casos adequados, uma cláusula de salvaguarda que autorize os Estados-Membros a tomarem, por uma ou mais razões não económicas previstas no artigo 36.º, medidas provisórias sujeitas a um processo de controlo da União.»</w:t>
      </w:r>
    </w:p>
    <w:p w14:paraId="618BDE87" w14:textId="77777777">
      <w:pPr>
        <w:pStyle w:val="BodyText"/>
        <w:jc w:val="right"/>
      </w:pPr>
    </w:p>
    <w:p w14:paraId="4DE4DD33" w14:textId="77777777">
      <w:pPr>
        <w:pStyle w:val="BodyText"/>
        <w:jc w:val="right"/>
      </w:pPr>
      <w:r>
        <w:t xml:space="preserve">(Artigo 114.º, n.º 10,do Tratado sobre o Funcionamento da União Europeia)</w:t>
      </w:r>
    </w:p>
    <w:p w14:paraId="1738F0ED" w14:textId="77777777">
      <w:pPr>
        <w:widowControl w:val="0"/>
        <w:autoSpaceDE w:val="0"/>
        <w:autoSpaceDN w:val="0"/>
        <w:spacing w:after="0" w:line="240" w:lineRule="auto"/>
        <w:jc w:val="both"/>
        <w:outlineLvl w:val="1"/>
      </w:pPr>
    </w:p>
    <w:p w14:paraId="1204158B" w14:textId="77777777">
      <w:pPr>
        <w:pStyle w:val="P68B1DB1-Normal13"/>
        <w:widowControl w:val="0"/>
        <w:autoSpaceDE w:val="0"/>
        <w:autoSpaceDN w:val="0"/>
        <w:spacing w:after="0" w:line="240" w:lineRule="auto"/>
        <w:jc w:val="both"/>
        <w:outlineLvl w:val="1"/>
      </w:pPr>
      <w:hyperlink r:id="rId91" w:history="1">
        <w:r>
          <w:rPr>
            <w:color w:val="0000FF"/>
            <w:u w:val="single"/>
          </w:rPr>
          <w:t xml:space="preserve">Acórdão do Tribunal de Justiça de 8 de setembro de 2005</w:t>
        </w:r>
      </w:hyperlink>
      <w:r>
        <w:t xml:space="preserve"> no processo C-500/03, Comissão/Portugal, n.os 34 e 35.</w:t>
      </w:r>
      <w:bookmarkEnd w:id="160"/>
    </w:p>
    <w:p w14:paraId="41BB4299"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35A522BC" w14:textId="2746C9C6">
      <w:pPr>
        <w:pStyle w:val="P68B1DB1-Normal14"/>
        <w:widowControl w:val="0"/>
        <w:tabs>
          <w:tab w:val="left" w:pos="467"/>
        </w:tabs>
        <w:autoSpaceDE w:val="0"/>
        <w:autoSpaceDN w:val="0"/>
        <w:spacing w:after="0" w:line="240" w:lineRule="auto"/>
        <w:jc w:val="both"/>
      </w:pPr>
      <w:r>
        <w:t xml:space="preserve">As disposições nacionais que criam medidas permanentes não podem beneficiar da isenção de notificação reservada às cláusulas de salvaguarda, uma vez que, por definição, estas últimas apenas incluem medidas provisórias.</w:t>
      </w:r>
    </w:p>
    <w:p w14:paraId="5FE003FC"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3005B5D0" w14:textId="1B50DC69">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(Uma vez que o acórdão só está disponível em francês e português, o texto seguinte é uma tradução.)</w:t>
      </w:r>
    </w:p>
    <w:p w14:paraId="3BBB6CDB"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5FBF5694" w14:textId="0105632E">
      <w:pPr>
        <w:pStyle w:val="P68B1DB1-BodyText25"/>
        <w:ind w:left="567"/>
        <w:rPr>
          <w:iCs/>
        </w:rPr>
      </w:pPr>
      <w:r>
        <w:t xml:space="preserve">«39. Uma vez que a presente ação por incumprimento se limita a uma ação destinada a obter a declaração de incumprimento do procedimento formal de notificação prévia, basta salientar, sem que seja necessário responder aos outros argumentos das partes, que o Tribunal de Justiça já declarou que o artigo 8.º, n.º 1, da Diretiva 98/34 impõe aos Estados-Membros que comuniquem imediatamente à Comissão qualquer projeto de regra técnica (v., designadamente, neste sentido, no que respeita a disposições análogas às da referida diretiva, acórdãos de 2 de agosto de 1993, Comissão/Itália, C-139/92, Colet., p. I-4707, n.º 3, e de 11 de janeiro de 1996, Comissão/Países Baixos, C-273/94, Colet., p. I-31, n.º 15).</w:t>
      </w:r>
    </w:p>
    <w:p w14:paraId="4A696586" w14:textId="77777777">
      <w:pPr>
        <w:pStyle w:val="BodyText"/>
        <w:ind w:left="567"/>
        <w:rPr>
          <w:i/>
          <w:iCs/>
          <w:sz w:val="20"/>
          <w:szCs w:val="16"/>
        </w:rPr>
      </w:pPr>
    </w:p>
    <w:p w14:paraId="7FC8797C" w14:textId="46BA7B1B">
      <w:pPr>
        <w:pStyle w:val="P68B1DB1-BodyText25"/>
        <w:ind w:left="567"/>
        <w:jc w:val="left"/>
      </w:pPr>
      <w:r>
        <w:t xml:space="preserve">40. Uma vez que as disposições pertinentes do Decreto n.º 783/98 constituem regras técnicas na aceção da Diretiva 98/34, como foi recordado no n.º 31 do presente acórdão, a República Portuguesa estava obrigada a notificá-las sob a forma de projeto nos termos do artigo 8.º, n.º 1, da Diretiva 98/34 (v., designadamente, neste sentido, no que respeita a disposições análogas às da Diretiva 98/34, acórdãos de 7 de maio de 1998, Comissão/Bélgica, C-145/97, Colet., p. I-2643, n.º 13, e de 21 de abril de 2005, Lindberg, C-267/03, Colet., p. I-I, n.º 43).»</w:t>
      </w:r>
    </w:p>
    <w:p w14:paraId="4127997B" w14:textId="77777777">
      <w:pPr>
        <w:pStyle w:val="BodyText"/>
        <w:jc w:val="left"/>
      </w:pPr>
    </w:p>
    <w:p w14:paraId="74FE5E6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92" w:history="1">
        <w:r>
          <w:rPr>
            <w:color w:val="0000FF"/>
            <w:u w:val="single"/>
          </w:rPr>
          <w:t xml:space="preserve">Acórdão do Tribunal de Justiça de 8 de outubro de 2020</w:t>
        </w:r>
      </w:hyperlink>
      <w:r>
        <w:t xml:space="preserve"> no processo C-514/19, Union des industries de la protection des plantes, n.os 46 e 47.</w:t>
      </w:r>
      <w:bookmarkEnd w:id="161"/>
      <w:r>
        <w:t xml:space="preserve"> </w:t>
      </w:r>
    </w:p>
    <w:p w14:paraId="4EFFE1E6" w14:textId="09D2A0BD">
      <w:pPr>
        <w:widowControl w:val="0"/>
        <w:autoSpaceDE w:val="0"/>
        <w:autoSpaceDN w:val="0"/>
        <w:spacing w:after="0" w:line="240" w:lineRule="auto"/>
        <w:jc w:val="both"/>
        <w:outlineLvl w:val="1"/>
        <w:rPr>
          <w:rFonts w:ascii="Times New Roman" w:hAnsi="Times New Roman" w:cs="Times New Roman" w:eastAsia="Times New Roman"/>
          <w:b/>
          <w:i/>
          <w:szCs w:val="20"/>
        </w:rPr>
      </w:pPr>
      <w:bookmarkStart w:id="162" w:name="_Toc198043891"/>
      <w:r>
        <w:rPr>
          <w:rFonts w:ascii="Times New Roman" w:hAnsi="Times New Roman" w:cs="Times New Roman" w:eastAsia="Times New Roman"/>
          <w:b/>
          <w:i/>
          <w:szCs w:val="20"/>
        </w:rPr>
        <w:t xml:space="preserve">(remetendo para as </w:t>
      </w:r>
      <w:hyperlink r:id="rId93" w:history="1">
        <w:r>
          <w:rPr>
            <w:rStyle w:val="Hyperlink"/>
            <w:rFonts w:ascii="Times New Roman" w:hAnsi="Times New Roman" w:cs="Times New Roman" w:eastAsia="Times New Roman"/>
            <w:b/>
            <w:i/>
            <w:color w:val="0000FF"/>
            <w:szCs w:val="20"/>
          </w:rPr>
          <w:t xml:space="preserve">conclusões da advogada-geral J. Kokott</w:t>
        </w:r>
      </w:hyperlink>
      <w:r>
        <w:rPr>
          <w:rFonts w:ascii="Times New Roman" w:hAnsi="Times New Roman" w:cs="Times New Roman" w:eastAsia="Times New Roman"/>
          <w:b/>
          <w:i/>
          <w:szCs w:val="20"/>
        </w:rPr>
        <w:t xml:space="preserve">, já referidas, n.º 58)</w:t>
      </w:r>
      <w:bookmarkEnd w:id="162"/>
    </w:p>
    <w:p w14:paraId="498A15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705E59" w14:textId="4AA22297">
      <w:pPr>
        <w:pStyle w:val="P68B1DB1-Normal14"/>
        <w:widowControl w:val="0"/>
        <w:autoSpaceDE w:val="0"/>
        <w:autoSpaceDN w:val="0"/>
        <w:spacing w:after="0" w:line="240" w:lineRule="auto"/>
        <w:jc w:val="both"/>
      </w:pPr>
      <w:r>
        <w:t xml:space="preserve">Uma cláusula correspondente à definição constante do artigo 114.º do Tratado sobre o Funcionamento da União Europeia é uma cláusula de salvaguarda, mesmo que não seja mencionada no ato que a prevê. Por conseguinte, beneficia de uma isenção da obrigação de notificação.</w:t>
      </w:r>
    </w:p>
    <w:p w14:paraId="1CAE009C" w14:textId="77777777">
      <w:pPr>
        <w:widowControl w:val="0"/>
        <w:autoSpaceDE w:val="0"/>
        <w:autoSpaceDN w:val="0"/>
        <w:spacing w:after="0" w:line="240" w:lineRule="auto"/>
        <w:jc w:val="both"/>
        <w:rPr>
          <w:rFonts w:ascii="Times New Roman" w:hAnsi="Times New Roman" w:cs="Times New Roman" w:eastAsia="Times New Roman"/>
          <w:szCs w:val="20"/>
        </w:rPr>
      </w:pPr>
    </w:p>
    <w:p w14:paraId="659EDCBA" w14:textId="7C97939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32"/>
      </w:pPr>
      <w:r>
        <w:t xml:space="preserve">(Acórdão do Tribunal de Justiça)</w:t>
      </w:r>
      <w:r>
        <w:rPr>
          <w:i/>
        </w:rPr>
        <w:t xml:space="preserve"> «46 [...] o artigo 71.º, n.º 1, do referido regulamento deve ser tratado como uma cláusula de salvaguarda, como salientou a advogada-geral no n.º 58 das suas</w:t>
      </w:r>
      <w:r>
        <w:t xml:space="preserve"> conclusões.</w:t>
      </w:r>
    </w:p>
    <w:p w14:paraId="1A86B765" w14:textId="77777777">
      <w:pPr>
        <w:widowControl w:val="0"/>
        <w:autoSpaceDE w:val="0"/>
        <w:autoSpaceDN w:val="0"/>
        <w:spacing w:after="0" w:line="240" w:lineRule="auto"/>
        <w:ind w:left="567"/>
        <w:jc w:val="both"/>
        <w:rPr>
          <w:rFonts w:ascii="Times New Roman" w:hAnsi="Times New Roman" w:cs="Times New Roman" w:eastAsia="Times New Roman"/>
          <w:i/>
          <w:sz w:val="20"/>
          <w:szCs w:val="20"/>
        </w:rPr>
      </w:pPr>
    </w:p>
    <w:p w14:paraId="42FB846B" w14:textId="4A135D8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18"/>
      </w:pPr>
      <w:r>
        <w:t xml:space="preserve">47. A diferença entre os procedimentos previstos, respetivamente, no artigo 5.º da referida diretiva e no artigo 71.º do referido regulamento é, portanto, confirmada pelo artigo 7.º, n.º 1, alínea c), da referida diretiva, que prevê que os artigos 5.º e 6.º da referida diretiva não se aplicam às disposições dos Estados-Membros através das quais estes últimos recorram a cláusulas de salvaguarda previstas em atos vinculativos da União.»</w:t>
      </w:r>
    </w:p>
    <w:p w14:paraId="285FA492" w14:textId="77777777">
      <w:pPr>
        <w:widowControl w:val="0"/>
        <w:autoSpaceDE w:val="0"/>
        <w:autoSpaceDN w:val="0"/>
        <w:spacing w:after="0" w:line="240" w:lineRule="auto"/>
        <w:ind w:left="567"/>
        <w:jc w:val="both"/>
        <w:rPr>
          <w:rFonts w:ascii="Times New Roman" w:hAnsi="Times New Roman" w:cs="Times New Roman" w:eastAsia="Times New Roman"/>
          <w:i/>
          <w:iCs/>
          <w:sz w:val="20"/>
          <w:szCs w:val="20"/>
        </w:rPr>
      </w:pPr>
    </w:p>
    <w:p w14:paraId="7FF60EBF" w14:textId="14EB520E">
      <w:pPr>
        <w:pStyle w:val="P68B1DB1-Normal32"/>
        <w:widowControl w:val="0"/>
        <w:autoSpaceDE w:val="0"/>
        <w:autoSpaceDN w:val="0"/>
        <w:spacing w:after="0" w:line="240" w:lineRule="auto"/>
        <w:ind w:left="567"/>
        <w:jc w:val="both"/>
        <w:rPr>
          <w:i/>
          <w:iCs/>
        </w:rPr>
      </w:pPr>
      <w:r>
        <w:t xml:space="preserve">(conclusões da advogada-geral J. Kokott)</w:t>
      </w:r>
      <w:r>
        <w:rPr>
          <w:i/>
        </w:rPr>
        <w:t xml:space="preserve"> </w:t>
      </w:r>
      <w:bookmarkStart w:id="163" w:name="point58"/>
      <w:r>
        <w:rPr>
          <w:i/>
        </w:rPr>
        <w:t>‘</w:t>
      </w:r>
      <w:bookmarkEnd w:id="163"/>
      <w:r>
        <w:rPr>
          <w:i/>
        </w:rPr>
        <w:t xml:space="preserve">58.      É certo que o artigo 71.º do Regulamento (CE) n.º 1107/2009, diferentemente de muitas regulamentações comparáveis, não tem como epígrafe a expressão «cláusula de salvaguarda», mas o conteúdo desta disposição corresponde à definição de cláusula de salvaguarda prevista no artigo 114.º, n.º 10, TFUE. Por conseguinte, pode também ser considerada uma cláusula de salvaguarda para efeitos do artigo 7.º, n.º 1, alínea c), da Diretiva Notificação.»</w:t>
      </w:r>
    </w:p>
    <w:p w14:paraId="09CE6B87" w14:textId="77777777">
      <w:pPr>
        <w:pStyle w:val="BodyText"/>
        <w:jc w:val="left"/>
      </w:pPr>
    </w:p>
    <w:p w14:paraId="34956999" w14:textId="0CAA93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94" w:history="1">
        <w:r>
          <w:rPr>
            <w:rStyle w:val="Hyperlink"/>
            <w:rFonts w:ascii="Times New Roman" w:hAnsi="Times New Roman" w:cs="Times New Roman" w:eastAsia="Times New Roman"/>
            <w:b/>
            <w:i/>
            <w:color w:val="0000FF"/>
            <w:szCs w:val="20"/>
          </w:rPr>
          <w:t xml:space="preserve">Acórdão de 9 de março de 2023</w:t>
        </w:r>
      </w:hyperlink>
      <w:r>
        <w:rPr>
          <w:rFonts w:ascii="Times New Roman" w:hAnsi="Times New Roman" w:cs="Times New Roman" w:eastAsia="Times New Roman"/>
          <w:b/>
          <w:i/>
          <w:szCs w:val="20"/>
        </w:rPr>
        <w:t xml:space="preserve">, Vapo Atlantic (</w:t>
        <w:noBreakHyphen/>
        <w:t xml:space="preserve">C 604/21), n.os 55 a 57</w:t>
      </w:r>
      <w:bookmarkEnd w:id="164"/>
    </w:p>
    <w:p w14:paraId="6300E3F4" w14:textId="77777777">
      <w:pPr>
        <w:widowControl w:val="0"/>
        <w:autoSpaceDE w:val="0"/>
        <w:autoSpaceDN w:val="0"/>
        <w:spacing w:after="0" w:line="240" w:lineRule="auto"/>
        <w:jc w:val="both"/>
        <w:rPr>
          <w:rFonts w:ascii="Times New Roman" w:hAnsi="Times New Roman" w:cs="Times New Roman" w:eastAsia="Times New Roman"/>
          <w:szCs w:val="20"/>
        </w:rPr>
      </w:pPr>
    </w:p>
    <w:p w14:paraId="13992C07" w14:textId="74D47E48">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165" w:name="_Toc198043893"/>
      <w:r>
        <w:t xml:space="preserve">Uma exceção à obrigação de notificação baseada numa «cláusula de salvaguarda» só é possível se o ato de harmonização invocado contiver explicitamente uma cláusula correspondente à definição estabelecida no artigo 114.º do Tratado sobre o Funcionamento da União Europeia.</w:t>
      </w:r>
      <w:bookmarkEnd w:id="165"/>
    </w:p>
    <w:p w14:paraId="701D9589"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E98A7C3" w14:textId="65F75C30">
      <w:pPr>
        <w:pStyle w:val="P68B1DB1-Normal20"/>
        <w:widowControl w:val="0"/>
        <w:autoSpaceDE w:val="0"/>
        <w:autoSpaceDN w:val="0"/>
        <w:spacing w:after="0" w:line="240" w:lineRule="auto"/>
        <w:ind w:left="567"/>
        <w:jc w:val="both"/>
        <w:outlineLvl w:val="1"/>
      </w:pPr>
      <w:bookmarkStart w:id="166" w:name="_Toc198043894"/>
      <w:r>
        <w:t xml:space="preserve">«55. Importa salientar que os dois primeiros parágrafos do artigo 4.º, n.º 1, da Diretiva 2009/30 se limitam a fixar aos Estados-Membros um prazo para a transposição da mesma, a saber, até 31 de dezembro de 2010, através de disposições legislativas, regulamentares ou administrativas necessárias para esse efeito, exigindo-lhes que comuniquem imediatamente à Comissão o texto dessas disposições. O terceiro parágrafo desta disposição prevê, por sua vez, que, quando os Estados-Membros aprovarem tais disposições, estas devem fazer referência à Diretiva 2009/30.</w:t>
      </w:r>
      <w:bookmarkEnd w:id="166"/>
    </w:p>
    <w:p w14:paraId="3168B0DE" w14:textId="77777777">
      <w:pPr>
        <w:pStyle w:val="P68B1DB1-Normal20"/>
        <w:widowControl w:val="0"/>
        <w:autoSpaceDE w:val="0"/>
        <w:autoSpaceDN w:val="0"/>
        <w:spacing w:after="0" w:line="240" w:lineRule="auto"/>
        <w:ind w:left="567"/>
        <w:jc w:val="both"/>
        <w:outlineLvl w:val="1"/>
      </w:pPr>
    </w:p>
    <w:p w14:paraId="18560400" w14:textId="0F72F49C">
      <w:pPr>
        <w:pStyle w:val="P68B1DB1-Normal20"/>
        <w:widowControl w:val="0"/>
        <w:autoSpaceDE w:val="0"/>
        <w:autoSpaceDN w:val="0"/>
        <w:spacing w:after="0" w:line="240" w:lineRule="auto"/>
        <w:ind w:left="567"/>
        <w:jc w:val="both"/>
        <w:outlineLvl w:val="1"/>
      </w:pPr>
      <w:bookmarkStart w:id="167" w:name="_Toc198043895"/>
      <w:r>
        <w:t xml:space="preserve">56. Ora, nada no texto do artigo 4.º, n.º 1, da Diretiva 2009/30 leva a pensar que o legislador da União pretendeu introduzir nesta diretiva uma cláusula de salvaguarda na aceção do artigo 114.º, n.º 10, TFUE, a que os Estados-Membros poderiam ter recorrido.</w:t>
      </w:r>
      <w:bookmarkEnd w:id="167"/>
    </w:p>
    <w:p w14:paraId="36E43530" w14:textId="77777777">
      <w:pPr>
        <w:pStyle w:val="P68B1DB1-Normal20"/>
        <w:widowControl w:val="0"/>
        <w:autoSpaceDE w:val="0"/>
        <w:autoSpaceDN w:val="0"/>
        <w:spacing w:after="0" w:line="240" w:lineRule="auto"/>
        <w:ind w:left="567"/>
        <w:jc w:val="both"/>
        <w:outlineLvl w:val="1"/>
      </w:pPr>
    </w:p>
    <w:p w14:paraId="50D2526D" w14:textId="49B1A184">
      <w:pPr>
        <w:pStyle w:val="P68B1DB1-Normal20"/>
        <w:widowControl w:val="0"/>
        <w:autoSpaceDE w:val="0"/>
        <w:autoSpaceDN w:val="0"/>
        <w:spacing w:after="0" w:line="240" w:lineRule="auto"/>
        <w:ind w:left="567"/>
        <w:jc w:val="both"/>
        <w:outlineLvl w:val="1"/>
        <w:rPr>
          <w:iCs/>
        </w:rPr>
      </w:pPr>
      <w:bookmarkStart w:id="168" w:name="_Toc198043896"/>
      <w:r>
        <w:t xml:space="preserve">57. A este respeito, esta última disposição prevê que as medidas de harmonização compreenderão, nos casos adequados, uma cláusula de salvaguarda que autorize os Estados-Membros a tomarem, por uma ou mais razões não económicas previstas no artigo 36.º TFUE, medidas provisórias sujeitas a um processo de controlo da União. Daqui resulta que essa cláusula de salvaguarda deve estar expressamente prevista no ato de harmonização. O artigo 4.º, n.º 1, da Diretiva 2009/30 não tem essas características e não pode, portanto, constituir uma tal cláusula de salvaguarda.»</w:t>
      </w:r>
      <w:bookmarkEnd w:id="168"/>
    </w:p>
    <w:p w14:paraId="12FF84E6" w14:textId="18A9A21E">
      <w:pPr>
        <w:pStyle w:val="P68B1DB1-Normal29"/>
        <w:spacing w:after="0" w:line="240" w:lineRule="auto"/>
      </w:pPr>
      <w:r>
        <w:br w:type="page"/>
      </w:r>
    </w:p>
    <w:p w14:paraId="6087D716" w14:textId="3F11D8EF">
      <w:pPr>
        <w:pStyle w:val="P68B1DB1-Heading24"/>
        <w:numPr>
          <w:ilvl w:val="0"/>
          <w:numId w:val="37"/>
        </w:numPr>
        <w:spacing w:before="0" w:after="0"/>
        <w:jc w:val="center"/>
        <w:rPr>
          <w:bCs/>
          <w:color w:val="auto"/>
        </w:rPr>
      </w:pPr>
      <w:bookmarkStart w:id="169" w:name="_Ref195517564"/>
      <w:bookmarkStart w:id="170" w:name="_Toc203035682"/>
      <w:r>
        <w:t xml:space="preserve">Alteração em conformidade com um pedido da Comissão</w:t>
      </w:r>
      <w:bookmarkEnd w:id="169"/>
      <w:bookmarkEnd w:id="170"/>
    </w:p>
    <w:p w14:paraId="049085CF" w14:textId="77777777">
      <w:pPr>
        <w:pStyle w:val="BodyText"/>
        <w:jc w:val="left"/>
      </w:pPr>
    </w:p>
    <w:p w14:paraId="40F4BBF6" w14:textId="77777777">
      <w:pPr>
        <w:pStyle w:val="P68B1DB1-BodyText11"/>
        <w:ind w:left="567"/>
        <w:rPr>
          <w:iCs/>
        </w:rPr>
      </w:pPr>
      <w:r>
        <w:t xml:space="preserve">«Os artigos 5.º e 6.º </w:t>
      </w:r>
      <w:r>
        <w:rPr>
          <w:i w:val="0"/>
        </w:rPr>
        <w:t xml:space="preserve">[relativos à obrigação de notificação e ao prazo suspensivo] </w:t>
      </w:r>
      <w:r>
        <w:t xml:space="preserve">não são aplicáveis às disposições legislativas, regulamentares e administrativas dos Estados-Membros ou aos acordos voluntários através dos quais os Estados-Membros: </w:t>
      </w:r>
    </w:p>
    <w:p w14:paraId="07DBADDA" w14:textId="77777777">
      <w:pPr>
        <w:pStyle w:val="P68B1DB1-BodyText11"/>
        <w:ind w:left="1287" w:firstLine="153"/>
        <w:rPr>
          <w:iCs/>
        </w:rPr>
      </w:pPr>
      <w:r>
        <w:t>[...]</w:t>
      </w:r>
    </w:p>
    <w:p w14:paraId="11A943BD" w14:textId="080C60F0">
      <w:pPr>
        <w:pStyle w:val="P68B1DB1-BodyText11"/>
        <w:ind w:left="1440"/>
        <w:rPr>
          <w:iCs/>
        </w:rPr>
      </w:pPr>
      <w:r>
        <w:t xml:space="preserve">f) Limitar-se a alterar uma regra técnica na aceção do artigo 1.º, n.º 1, alínea f), em conformidade com um pedido da Comissão, com vista a eliminar um entrave ao comércio ou, no caso das regras relativas aos serviços, à livre circulação de serviços ou à liberdade de estabelecimento dos operadores de serviços.»</w:t>
      </w:r>
    </w:p>
    <w:p w14:paraId="21F03EA5" w14:textId="77777777">
      <w:pPr>
        <w:pStyle w:val="BodyText"/>
        <w:jc w:val="center"/>
      </w:pPr>
    </w:p>
    <w:p w14:paraId="7883B4B7" w14:textId="369773F7">
      <w:pPr>
        <w:pStyle w:val="BodyText"/>
        <w:jc w:val="right"/>
      </w:pPr>
      <w:r>
        <w:t xml:space="preserve">(Artigo 7.º, n.º 1, alínea f), da Diretiva (UE) 2015/1535)</w:t>
      </w:r>
    </w:p>
    <w:p w14:paraId="21BFE903" w14:textId="77777777">
      <w:pPr>
        <w:pStyle w:val="BodyText"/>
        <w:jc w:val="left"/>
      </w:pPr>
    </w:p>
    <w:p w14:paraId="46B1E740" w14:textId="2C38BA2E">
      <w:pPr>
        <w:pStyle w:val="P68B1DB1-Normal13"/>
        <w:widowControl w:val="0"/>
        <w:autoSpaceDE w:val="0"/>
        <w:autoSpaceDN w:val="0"/>
        <w:spacing w:after="0" w:line="240" w:lineRule="auto"/>
        <w:jc w:val="both"/>
        <w:outlineLvl w:val="1"/>
      </w:pPr>
      <w:hyperlink r:id="rId95" w:history="1">
        <w:r>
          <w:rPr>
            <w:color w:val="0000FF"/>
            <w:u w:val="single"/>
          </w:rPr>
          <w:t xml:space="preserve">Acórdão do Tribunal de Justiça de 31 de janeiro de 2013</w:t>
        </w:r>
      </w:hyperlink>
      <w:r>
        <w:t xml:space="preserve"> no processo C-26/11, Belgische Petroleum Unie e o., n.os 56 e 57.</w:t>
      </w:r>
      <w:bookmarkEnd w:id="171"/>
    </w:p>
    <w:p w14:paraId="320154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95DB689" w14:textId="2F4EA0A1">
      <w:pPr>
        <w:widowControl w:val="0"/>
        <w:tabs>
          <w:tab w:val="left" w:pos="412"/>
        </w:tabs>
        <w:autoSpaceDE w:val="0"/>
        <w:autoSpaceDN w:val="0"/>
        <w:spacing w:after="0" w:line="240" w:lineRule="auto"/>
        <w:jc w:val="both"/>
        <w:rPr>
          <w:rFonts w:ascii="Times New Roman" w:hAnsi="Times New Roman" w:cs="Times New Roman" w:eastAsia="Times New Roman"/>
          <w:szCs w:val="20"/>
        </w:rPr>
        <w:pStyle w:val="P68B1DB1-Normal14"/>
      </w:pPr>
      <w:r>
        <w:t xml:space="preserve">A diretiva não impõe a notificação de um projeto de legislação nacional quando, após a notificação inicial, o projeto tenha sido alterado para ter em conta as observações da Comissão e a versão alterada tenha sido posteriormente comunicada à Comissão.</w:t>
      </w:r>
    </w:p>
    <w:p w14:paraId="0634FD8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D4E24F0" w14:textId="03842035">
      <w:pPr>
        <w:pStyle w:val="P68B1DB1-Normal15"/>
        <w:widowControl w:val="0"/>
        <w:tabs>
          <w:tab w:val="left" w:pos="412"/>
        </w:tabs>
        <w:autoSpaceDE w:val="0"/>
        <w:autoSpaceDN w:val="0"/>
        <w:spacing w:after="0" w:line="240" w:lineRule="auto"/>
        <w:ind w:left="567"/>
        <w:jc w:val="both"/>
      </w:pPr>
      <w:r>
        <w:t xml:space="preserve">«56. [...] nestas circunstâncias, o Reino da Bélgica limitou-se a alterar as disposições do projeto de lei em conformidade com um pedido da Comissão para eliminar um entrave às trocas comerciais, pelo que, por força do artigo 10.º, n.º 1, último travessão, da Diretiva 98/34, a obrigação de notificação à Comissão nos termos do artigo 8.º, n.º 1, primeiro parágrafo, desta diretiva não se aplica ao projeto de lei sobre a obrigação de mistura.</w:t>
      </w:r>
    </w:p>
    <w:p w14:paraId="39EC120F" w14:textId="77777777">
      <w:pPr>
        <w:pStyle w:val="P68B1DB1-Normal15"/>
        <w:widowControl w:val="0"/>
        <w:tabs>
          <w:tab w:val="left" w:pos="412"/>
        </w:tabs>
        <w:autoSpaceDE w:val="0"/>
        <w:autoSpaceDN w:val="0"/>
        <w:spacing w:after="0" w:line="240" w:lineRule="auto"/>
        <w:ind w:left="567"/>
        <w:jc w:val="both"/>
      </w:pPr>
    </w:p>
    <w:p w14:paraId="2E743C69" w14:textId="2B1CBA3C">
      <w:pPr>
        <w:pStyle w:val="P68B1DB1-Normal15"/>
        <w:widowControl w:val="0"/>
        <w:tabs>
          <w:tab w:val="left" w:pos="412"/>
        </w:tabs>
        <w:autoSpaceDE w:val="0"/>
        <w:autoSpaceDN w:val="0"/>
        <w:spacing w:after="0" w:line="240" w:lineRule="auto"/>
        <w:ind w:left="567"/>
        <w:jc w:val="both"/>
        <w:rPr>
          <w:iCs/>
        </w:rPr>
      </w:pPr>
      <w:r>
        <w:t xml:space="preserve">57. Nestas condições, há que responder à segunda questão que o artigo 8.º da Diretiva 98/34, lido em conjugação com o artigo 10.º, n.º 1, último travessão, desta diretiva, deve ser interpretado no sentido de que não exige a notificação de um projeto de regulamentação nacional que obriga as empresas petrolíferas que colocam no mercado gasolina e/ou combustível para motores diesel a colocar no mercado, no mesmo ano civil, determinadas percentagens de biocombustíveis, quando, após ter sido notificado nos termos do artigo 8.º, n.º 1, primeiro parágrafo, o projeto foi alterado para ter em conta as observações da Comissão a seu respeito e o projeto alterado foi posteriormente comunicado à Comissão.»</w:t>
      </w:r>
    </w:p>
    <w:p w14:paraId="1F05DBDF" w14:textId="3ED0BCB3">
      <w:pPr>
        <w:spacing w:after="0" w:line="278" w:lineRule="auto"/>
        <w:rPr>
          <w:rFonts w:ascii="Times New Roman" w:hAnsi="Times New Roman" w:cs="Times New Roman" w:eastAsia="Times New Roman"/>
          <w:sz w:val="24"/>
          <w:szCs w:val="20"/>
        </w:rPr>
      </w:pPr>
      <w:r>
        <w:br w:type="page"/>
      </w:r>
    </w:p>
    <w:p w14:paraId="4DF08AEF" w14:textId="0EBF7EE3">
      <w:pPr>
        <w:pStyle w:val="P68B1DB1-Heading24"/>
        <w:numPr>
          <w:ilvl w:val="1"/>
          <w:numId w:val="1"/>
        </w:numPr>
        <w:spacing w:before="0" w:after="0"/>
        <w:jc w:val="center"/>
        <w:rPr>
          <w:bCs/>
          <w:color w:val="auto"/>
        </w:rPr>
      </w:pPr>
      <w:bookmarkStart w:id="172" w:name="_Ref195517581"/>
      <w:bookmarkStart w:id="173" w:name="_Toc203035683"/>
      <w:r>
        <w:t xml:space="preserve">Circunstâncias que não constituem exceções</w:t>
      </w:r>
      <w:bookmarkEnd w:id="172"/>
      <w:bookmarkEnd w:id="173"/>
    </w:p>
    <w:p w14:paraId="6006C68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EFB943D" w14:textId="7608A244">
      <w:pPr>
        <w:pStyle w:val="P68B1DB1-Normal13"/>
        <w:widowControl w:val="0"/>
        <w:autoSpaceDE w:val="0"/>
        <w:autoSpaceDN w:val="0"/>
        <w:spacing w:after="0" w:line="240" w:lineRule="auto"/>
        <w:jc w:val="both"/>
        <w:outlineLvl w:val="1"/>
      </w:pPr>
      <w:hyperlink r:id="rId96" w:history="1">
        <w:r>
          <w:rPr>
            <w:color w:val="0000FF"/>
            <w:u w:val="single"/>
          </w:rPr>
          <w:t xml:space="preserve">Acórdão do Tribunal de Justiça de 11 de janeiro de 1996</w:t>
        </w:r>
      </w:hyperlink>
      <w:r>
        <w:t xml:space="preserve"> no processo C-273/94, Comissão/Países Baixos, n.os 14 e 15.</w:t>
      </w:r>
      <w:bookmarkEnd w:id="174"/>
    </w:p>
    <w:p w14:paraId="1472EEE2"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18431E5C" w14:textId="0D0BB9C0">
      <w:pPr>
        <w:pStyle w:val="P68B1DB1-Normal14"/>
        <w:widowControl w:val="0"/>
        <w:tabs>
          <w:tab w:val="left" w:pos="396"/>
          <w:tab w:val="left" w:pos="405"/>
        </w:tabs>
        <w:autoSpaceDE w:val="0"/>
        <w:autoSpaceDN w:val="0"/>
        <w:spacing w:after="0" w:line="240" w:lineRule="auto"/>
        <w:jc w:val="both"/>
      </w:pPr>
      <w:r>
        <w:t xml:space="preserve">A obrigação de notificação não depende do efeito presumido da regra sobre o comércio entre Estados-Membros.</w:t>
      </w:r>
    </w:p>
    <w:p w14:paraId="61F0631F" w14:textId="77777777">
      <w:pPr>
        <w:widowControl w:val="0"/>
        <w:tabs>
          <w:tab w:val="left" w:pos="396"/>
          <w:tab w:val="left" w:pos="405"/>
        </w:tabs>
        <w:autoSpaceDE w:val="0"/>
        <w:autoSpaceDN w:val="0"/>
        <w:spacing w:after="0" w:line="240" w:lineRule="auto"/>
        <w:ind w:hanging="142"/>
        <w:jc w:val="both"/>
        <w:rPr>
          <w:rFonts w:ascii="Times New Roman" w:hAnsi="Times New Roman" w:cs="Times New Roman" w:eastAsia="Times New Roman"/>
          <w:szCs w:val="20"/>
        </w:rPr>
      </w:pPr>
    </w:p>
    <w:p w14:paraId="4DB865D5" w14:textId="0821625F">
      <w:pPr>
        <w:pStyle w:val="P68B1DB1-Normal15"/>
        <w:widowControl w:val="0"/>
        <w:tabs>
          <w:tab w:val="left" w:pos="396"/>
          <w:tab w:val="left" w:pos="405"/>
        </w:tabs>
        <w:autoSpaceDE w:val="0"/>
        <w:autoSpaceDN w:val="0"/>
        <w:spacing w:after="0" w:line="240" w:lineRule="auto"/>
        <w:ind w:left="567"/>
        <w:jc w:val="both"/>
        <w:rPr>
          <w:iCs/>
        </w:rPr>
      </w:pPr>
      <w:r>
        <w:t xml:space="preserve">«14. Esta apreciação não pode ser posta em causa pelo argumento do Governo neerlandês segundo o qual o regulamento controvertido teria como efeito favorecer a comercialização de margarina, de modo que seria conforme com o objetivo principal da diretiva, que é o de eliminar os entraves às trocas intracomunitárias de mercadorias. </w:t>
      </w:r>
    </w:p>
    <w:p w14:paraId="0A0FB981" w14:textId="77777777">
      <w:pPr>
        <w:pStyle w:val="P68B1DB1-Normal15"/>
        <w:widowControl w:val="0"/>
        <w:tabs>
          <w:tab w:val="left" w:pos="396"/>
          <w:tab w:val="left" w:pos="405"/>
        </w:tabs>
        <w:autoSpaceDE w:val="0"/>
        <w:autoSpaceDN w:val="0"/>
        <w:spacing w:after="0" w:line="240" w:lineRule="auto"/>
        <w:ind w:left="567"/>
        <w:jc w:val="both"/>
        <w:rPr>
          <w:iCs/>
        </w:rPr>
      </w:pPr>
    </w:p>
    <w:p w14:paraId="6299CAB3" w14:textId="03C7906F">
      <w:pPr>
        <w:pStyle w:val="P68B1DB1-Normal15"/>
        <w:widowControl w:val="0"/>
        <w:tabs>
          <w:tab w:val="left" w:pos="396"/>
          <w:tab w:val="left" w:pos="405"/>
        </w:tabs>
        <w:autoSpaceDE w:val="0"/>
        <w:autoSpaceDN w:val="0"/>
        <w:spacing w:after="0" w:line="240" w:lineRule="auto"/>
        <w:ind w:left="567"/>
        <w:jc w:val="both"/>
        <w:rPr>
          <w:iCs/>
        </w:rPr>
      </w:pPr>
      <w:r>
        <w:t xml:space="preserve">15. Efetivamente, os Estados-Membros são obrigados a comunicar à Comissão qualquer projeto de regra técnica, nos termos do artigo 8.º da diretiva. Tal obrigação não pode ser sujeita à apreciação unilateral, pelo Estado-Membro que elaborou o regulamento, dos efeitos que este pode ter sobre o comércio entre os Estados-Membros.»</w:t>
      </w:r>
    </w:p>
    <w:p w14:paraId="41021C9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90F34A8" w14:textId="346D3994">
      <w:pPr>
        <w:pStyle w:val="P68B1DB1-Normal13"/>
        <w:widowControl w:val="0"/>
        <w:autoSpaceDE w:val="0"/>
        <w:autoSpaceDN w:val="0"/>
        <w:spacing w:after="0" w:line="240" w:lineRule="auto"/>
        <w:jc w:val="both"/>
        <w:outlineLvl w:val="1"/>
      </w:pPr>
      <w:hyperlink r:id="rId97" w:history="1">
        <w:r>
          <w:rPr>
            <w:color w:val="0000FF"/>
            <w:u w:val="single"/>
          </w:rPr>
          <w:t xml:space="preserve">Acórdão do Tribunal de Justiça de 16 de junho de 1998</w:t>
        </w:r>
      </w:hyperlink>
      <w:r>
        <w:t xml:space="preserve"> no processo C-226/97, Lemmens, n.os 18 a 20.</w:t>
      </w:r>
      <w:bookmarkEnd w:id="175"/>
    </w:p>
    <w:p w14:paraId="2763D12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5C4B0B" w14:textId="36C19F49">
      <w:pPr>
        <w:pStyle w:val="P68B1DB1-Normal14"/>
        <w:widowControl w:val="0"/>
        <w:tabs>
          <w:tab w:val="left" w:pos="396"/>
          <w:tab w:val="left" w:pos="461"/>
        </w:tabs>
        <w:autoSpaceDE w:val="0"/>
        <w:autoSpaceDN w:val="0"/>
        <w:spacing w:after="0" w:line="240" w:lineRule="auto"/>
        <w:jc w:val="both"/>
      </w:pPr>
      <w:r>
        <w:t xml:space="preserve">A diretiva aplica-se às «regras técnicas», independentemente do motivo da sua adoção. O facto de uma medida abranger o direito penal não a isenta da obrigação de notificação. Assim, as disposições nacionais que regulam os aparelhos de análise respiratória utilizados pela polícia para medir o álcool constituem uma regra técnica que deveria ter sido notificada à Comissão antes da sua adoção.</w:t>
      </w:r>
    </w:p>
    <w:p w14:paraId="5EB7B877"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B871DF8" w14:textId="6718B4DE">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«18. Quanto ao Governo francês, considera que a diretiva não se aplica aos produtos que, como os que estão em causa no processo principal, se destinam a utilizações que relevam das prerrogativas da autoridade pública e, a fortiori, do exercício da ação penal dos Estados-Membros.</w:t>
      </w:r>
    </w:p>
    <w:p w14:paraId="09959B2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6EE31E9F" w14:textId="39DFA6E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19. Estes argumentos não podem ser aceites. Embora, em princípio, a legislação penal e as regras de processo penal sejam da competência dos Estados-Membros, daí não resulta que este ramo do direito não possa ser afetado pelo direito comunitário (v., neste sentido, acórdãos de 1989 de julho de 195, Cowan, 186/87, Colet., p. 19, n.º 1981, e Casati, 203/80, Colet., p. 2595, n.º 27).</w:t>
      </w:r>
    </w:p>
    <w:p w14:paraId="1A1AA4B0"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06227DC3" w14:textId="6F9850E1">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20. Neste caso, nada na diretiva indica que as regras técnicas na aceção do seu artigo 1.º, pelo facto de pertencerem ao domínio do direito penal, estão excluídas da obrigação de notificação e que o seu âmbito de aplicação se limita aos produtos destinados a usos que não relevam das prerrogativas da autoridade pública. Como o Tribunal de Justiça já declarou no acórdão de 1997 de dezembro de 1753, Bic Benelux (C-13/96, Colet., p. I-19, n.º), uma diretiva é aplicável às regras técnicas, independentemente dos motivos pelos quais tenham sido adotadas.»</w:t>
      </w:r>
    </w:p>
    <w:p w14:paraId="28C6FF3B"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743F486D" w14:textId="7F85DF8F">
      <w:pPr>
        <w:pStyle w:val="P68B1DB1-Normal13"/>
        <w:widowControl w:val="0"/>
        <w:autoSpaceDE w:val="0"/>
        <w:autoSpaceDN w:val="0"/>
        <w:spacing w:after="0" w:line="240" w:lineRule="auto"/>
        <w:jc w:val="both"/>
        <w:outlineLvl w:val="1"/>
      </w:pPr>
      <w:hyperlink r:id="rId98" w:history="1">
        <w:r>
          <w:rPr>
            <w:color w:val="0000FF"/>
            <w:u w:val="single"/>
          </w:rPr>
          <w:t xml:space="preserve">Acórdão de 21 de abril de 2005</w:t>
        </w:r>
      </w:hyperlink>
      <w:r>
        <w:t xml:space="preserve"> no processo C-267/03, Lindberg, n.os 86, 91 e 92</w:t>
      </w:r>
      <w:bookmarkEnd w:id="176"/>
    </w:p>
    <w:p w14:paraId="3ACA6C58"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02AB316E" w14:textId="77777777">
      <w:pPr>
        <w:pStyle w:val="P68B1DB1-Normal14"/>
        <w:widowControl w:val="0"/>
        <w:tabs>
          <w:tab w:val="left" w:pos="396"/>
          <w:tab w:val="left" w:pos="425"/>
        </w:tabs>
        <w:autoSpaceDE w:val="0"/>
        <w:autoSpaceDN w:val="0"/>
        <w:spacing w:after="0" w:line="240" w:lineRule="auto"/>
        <w:jc w:val="both"/>
      </w:pPr>
      <w:r>
        <w:t xml:space="preserve">O valor do produto a que se refere uma regra, a dimensão do seu mercado e o efeito dessa regra no comércio intracomunitário não são critérios pertinentes para determinar se uma «regra técnica» deve ser notificada.</w:t>
      </w:r>
    </w:p>
    <w:p w14:paraId="7C940B0B" w14:textId="77777777">
      <w:pPr>
        <w:pStyle w:val="P68B1DB1-ListParagraph2"/>
        <w:tabs>
          <w:tab w:val="left" w:pos="396"/>
          <w:tab w:val="left" w:pos="425"/>
        </w:tabs>
        <w:ind w:left="0" w:right="0" w:firstLine="0"/>
        <w:rPr>
          <w:i/>
          <w:iCs/>
          <w:sz w:val="20"/>
          <w:szCs w:val="16"/>
        </w:rPr>
      </w:pPr>
    </w:p>
    <w:p w14:paraId="097F5F5F" w14:textId="000A86FC">
      <w:pPr>
        <w:pStyle w:val="P68B1DB1-P68B1DB1-ListParagraph226"/>
        <w:tabs>
          <w:tab w:val="left" w:pos="396"/>
          <w:tab w:val="left" w:pos="425"/>
        </w:tabs>
        <w:ind w:left="709"/>
      </w:pPr>
      <w:r>
        <w:t xml:space="preserve">«86. Através da sua quarta questão, o órgão jurisdicional de reenvio interroga o Tribunal de Justiça sobre a importância que se deve dar, para efeitos da obrigação de notificação prevista pela Diretiva 83/189, às seguintes circunstâncias:</w:t>
      </w:r>
    </w:p>
    <w:p w14:paraId="767A8711" w14:textId="77777777">
      <w:pPr>
        <w:pStyle w:val="P68B1DB1-P68B1DB1-ListParagraph226"/>
        <w:tabs>
          <w:tab w:val="left" w:pos="396"/>
          <w:tab w:val="left" w:pos="425"/>
        </w:tabs>
        <w:ind w:left="709"/>
      </w:pPr>
      <w:r>
        <w:t xml:space="preserve">— A substituição de uma obrigação de licença por uma proibição do direito nacional,</w:t>
      </w:r>
    </w:p>
    <w:p w14:paraId="559C82EC" w14:textId="77777777">
      <w:pPr>
        <w:pStyle w:val="P68B1DB1-P68B1DB1-ListParagraph226"/>
        <w:tabs>
          <w:tab w:val="left" w:pos="396"/>
          <w:tab w:val="left" w:pos="425"/>
        </w:tabs>
        <w:ind w:left="709"/>
      </w:pPr>
      <w:r>
        <w:t xml:space="preserve">— O maior ou menor valor do produto/serviço,</w:t>
      </w:r>
    </w:p>
    <w:p w14:paraId="7057795D" w14:textId="77777777">
      <w:pPr>
        <w:pStyle w:val="P68B1DB1-P68B1DB1-ListParagraph226"/>
        <w:tabs>
          <w:tab w:val="left" w:pos="396"/>
          <w:tab w:val="left" w:pos="425"/>
        </w:tabs>
        <w:ind w:left="709"/>
      </w:pPr>
      <w:r>
        <w:t xml:space="preserve">— A dimensão do mercado do produto/serviço ou</w:t>
      </w:r>
    </w:p>
    <w:p w14:paraId="7E4DCD6F" w14:textId="27AB1FF7">
      <w:pPr>
        <w:pStyle w:val="P68B1DB1-P68B1DB1-ListParagraph226"/>
        <w:tabs>
          <w:tab w:val="left" w:pos="396"/>
          <w:tab w:val="left" w:pos="425"/>
        </w:tabs>
        <w:ind w:left="709"/>
      </w:pPr>
      <w:r>
        <w:t xml:space="preserve">— O efeito de uma nova disposição nacional sobre a utilização, que poderia ser uma proibição total de utilização ou uma proibição ou restrição num dos vários domínios de utilização possíveis?»</w:t>
      </w:r>
    </w:p>
    <w:p w14:paraId="09CF2785" w14:textId="77777777">
      <w:pPr>
        <w:pStyle w:val="P68B1DB1-ListParagraph2"/>
        <w:tabs>
          <w:tab w:val="left" w:pos="396"/>
          <w:tab w:val="left" w:pos="425"/>
        </w:tabs>
        <w:ind w:left="567" w:right="0" w:firstLine="0"/>
        <w:rPr>
          <w:i/>
          <w:iCs/>
          <w:sz w:val="20"/>
          <w:szCs w:val="16"/>
        </w:rPr>
      </w:pPr>
    </w:p>
    <w:p w14:paraId="3F0A28BA" w14:textId="4FD6ACDF">
      <w:pPr>
        <w:pStyle w:val="P68B1DB1-P68B1DB1-ListParagraph226"/>
        <w:tabs>
          <w:tab w:val="left" w:pos="396"/>
          <w:tab w:val="left" w:pos="425"/>
        </w:tabs>
        <w:ind w:firstLine="0"/>
      </w:pPr>
      <w:r>
        <w:t xml:space="preserve">«91. Em relação às segunda e terceira hipóteses objeto da quarta questão prejudicial, há que recordar, tal como foi referido no n.º 50 do presente acórdão, que a Diretiva 83/189 prevê um mecanismo processual de controlo preventivo que permite verificar se uma norma nacional que inclui uma regra técnica se insere nas disposições do Tratado relativas à livre circulação de mercadorias e, se tal for o caso, analisar se tal norma é compatível com essas disposições.</w:t>
      </w:r>
    </w:p>
    <w:p w14:paraId="057FE2DD" w14:textId="77777777">
      <w:pPr>
        <w:pStyle w:val="P68B1DB1-P68B1DB1-ListParagraph226"/>
        <w:tabs>
          <w:tab w:val="left" w:pos="396"/>
          <w:tab w:val="left" w:pos="425"/>
        </w:tabs>
        <w:ind w:firstLine="0"/>
      </w:pPr>
    </w:p>
    <w:p w14:paraId="56F7C7B8" w14:textId="2531A314">
      <w:pPr>
        <w:pStyle w:val="P68B1DB1-P68B1DB1-ListParagraph226"/>
        <w:tabs>
          <w:tab w:val="left" w:pos="396"/>
          <w:tab w:val="left" w:pos="425"/>
        </w:tabs>
        <w:ind w:firstLine="0"/>
      </w:pPr>
      <w:r>
        <w:t xml:space="preserve">92. A este respeito, foi decidido, no n.º 51 do presente acórdão, que os eventuais efeitos da regra técnica no comércio intracomunitário não constituem um critério para a definição do âmbito de aplicação da Diretiva 83/189, no que respeita, nomeadamente, à obrigação de notificação nela prevista.»</w:t>
      </w:r>
    </w:p>
    <w:p w14:paraId="197312D1" w14:textId="0484FE14">
      <w:pPr>
        <w:pStyle w:val="P68B1DB1-Normal33"/>
        <w:spacing w:after="0" w:line="278" w:lineRule="auto"/>
        <w:rPr>
          <w:rFonts w:ascii="Times New Roman" w:hAnsi="Times New Roman" w:cs="Times New Roman" w:eastAsia="Times New Roman"/>
          <w:i/>
          <w:iCs/>
        </w:rPr>
      </w:pPr>
      <w:r>
        <w:br w:type="page"/>
      </w:r>
    </w:p>
    <w:p w14:paraId="2785F247" w14:textId="4A9302E3">
      <w:pPr>
        <w:pStyle w:val="P68B1DB1-Heading13"/>
        <w:numPr>
          <w:ilvl w:val="0"/>
          <w:numId w:val="34"/>
        </w:numPr>
        <w:spacing w:before="0" w:after="0"/>
        <w:jc w:val="center"/>
        <w:rPr>
          <w:bCs/>
          <w:color w:val="auto"/>
        </w:rPr>
      </w:pPr>
      <w:bookmarkStart w:id="177" w:name="_Ref194485817"/>
      <w:bookmarkStart w:id="178" w:name="_Toc203035684"/>
      <w:r>
        <w:t>Inaplicabilidade</w:t>
      </w:r>
      <w:bookmarkEnd w:id="177"/>
      <w:bookmarkEnd w:id="178"/>
    </w:p>
    <w:p w14:paraId="20AC6D1C" w14:textId="77777777">
      <w:pPr>
        <w:pStyle w:val="BodyText"/>
        <w:ind w:left="2715"/>
        <w:rPr>
          <w:b/>
          <w:bCs/>
          <w:sz w:val="28"/>
          <w:szCs w:val="22"/>
        </w:rPr>
      </w:pPr>
    </w:p>
    <w:p w14:paraId="58AC44F0" w14:textId="1BBB272D">
      <w:pPr>
        <w:pStyle w:val="P68B1DB1-Heading24"/>
        <w:numPr>
          <w:ilvl w:val="0"/>
          <w:numId w:val="38"/>
        </w:numPr>
        <w:spacing w:before="0" w:after="0"/>
        <w:jc w:val="center"/>
        <w:rPr>
          <w:bCs/>
          <w:color w:val="auto"/>
        </w:rPr>
      </w:pPr>
      <w:bookmarkStart w:id="179" w:name="_Ref194485057"/>
      <w:bookmarkStart w:id="180" w:name="_Toc203035685"/>
      <w:r>
        <w:t xml:space="preserve">Inaplicabilidade em caso de não notificação</w:t>
      </w:r>
      <w:bookmarkEnd w:id="179"/>
      <w:bookmarkEnd w:id="180"/>
    </w:p>
    <w:p w14:paraId="39906D0F"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41D0CCA" w14:textId="7E812DB1">
      <w:pPr>
        <w:pStyle w:val="P68B1DB1-Normal13"/>
        <w:widowControl w:val="0"/>
        <w:autoSpaceDE w:val="0"/>
        <w:autoSpaceDN w:val="0"/>
        <w:spacing w:after="0" w:line="240" w:lineRule="auto"/>
        <w:jc w:val="both"/>
        <w:outlineLvl w:val="1"/>
      </w:pPr>
      <w:hyperlink r:id="rId99" w:history="1">
        <w:r>
          <w:rPr>
            <w:color w:val="0000FF"/>
            <w:u w:val="single"/>
          </w:rPr>
          <w:t xml:space="preserve">Acórdão do Tribunal de Justiça de 30 de abril de 1996</w:t>
        </w:r>
      </w:hyperlink>
      <w:r>
        <w:t xml:space="preserve"> no processo C-194/94, CIA Security International SA, n.os 48 e 55.</w:t>
      </w:r>
      <w:bookmarkEnd w:id="181"/>
    </w:p>
    <w:p w14:paraId="6980445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8CBEA0B" w14:textId="2A001F71">
      <w:pPr>
        <w:pStyle w:val="P68B1DB1-Normal14"/>
        <w:widowControl w:val="0"/>
        <w:tabs>
          <w:tab w:val="left" w:pos="409"/>
        </w:tabs>
        <w:autoSpaceDE w:val="0"/>
        <w:autoSpaceDN w:val="0"/>
        <w:spacing w:after="0" w:line="240" w:lineRule="auto"/>
        <w:jc w:val="both"/>
      </w:pPr>
      <w:r>
        <w:t xml:space="preserve">A violação da obrigação de notificação torna inaplicáveis as «regras técnicas» em causa, pelo que não podem ser opostas aos particulares. Os particulares podem invocar os artigos 8.º e 9.º da Diretiva 83/189 perante um órgão jurisdicional nacional que deve recusar aplicar uma «regra técnica» nacional que não tenha sido notificada em conformidade com esta diretiva.</w:t>
      </w:r>
    </w:p>
    <w:p w14:paraId="41DE99AA"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13B9D75E" w14:textId="7C49EE29">
      <w:pPr>
        <w:pStyle w:val="P68B1DB1-Normal18"/>
        <w:widowControl w:val="0"/>
        <w:tabs>
          <w:tab w:val="left" w:pos="409"/>
        </w:tabs>
        <w:autoSpaceDE w:val="0"/>
        <w:autoSpaceDN w:val="0"/>
        <w:spacing w:after="0" w:line="240" w:lineRule="auto"/>
        <w:ind w:left="567"/>
        <w:jc w:val="both"/>
        <w:rPr>
          <w:iCs/>
        </w:rPr>
      </w:pPr>
      <w:r>
        <w:t xml:space="preserve">«48. Tal consequência da violação das obrigações resultantes da Diretiva 83/189 não depende de uma disposição expressa neste sentido. Como já foi assinalado, está fora de dúvida que o objetivo da diretiva é a proteção da livre circulação de mercadorias através de um controlo preventivo e que a obrigação de notificação constitui um meio essencial para a realização deste controlo comunitário. A eficácia do controlo comunitário será muito maior se a diretiva for interpretada no sentido de que a violação da obrigação de notificação constitui um vício processual essencial suscetível de tornar as regras técnicas em causa inaplicáveis aos particulares.»</w:t>
      </w:r>
    </w:p>
    <w:p w14:paraId="5B87E4FF" w14:textId="77777777">
      <w:pPr>
        <w:widowControl w:val="0"/>
        <w:tabs>
          <w:tab w:val="left" w:pos="409"/>
        </w:tabs>
        <w:autoSpaceDE w:val="0"/>
        <w:autoSpaceDN w:val="0"/>
        <w:spacing w:after="0" w:line="240" w:lineRule="auto"/>
        <w:ind w:left="567"/>
        <w:jc w:val="both"/>
        <w:rPr>
          <w:rFonts w:ascii="Times New Roman" w:hAnsi="Times New Roman" w:cs="Times New Roman" w:eastAsia="Times New Roman"/>
          <w:i/>
          <w:iCs/>
          <w:sz w:val="20"/>
          <w:szCs w:val="20"/>
        </w:rPr>
      </w:pPr>
    </w:p>
    <w:p w14:paraId="0768FF27" w14:textId="3B428811">
      <w:pPr>
        <w:pStyle w:val="P68B1DB1-Normal18"/>
        <w:widowControl w:val="0"/>
        <w:tabs>
          <w:tab w:val="left" w:pos="409"/>
        </w:tabs>
        <w:autoSpaceDE w:val="0"/>
        <w:autoSpaceDN w:val="0"/>
        <w:spacing w:after="0" w:line="240" w:lineRule="auto"/>
        <w:ind w:left="567"/>
        <w:jc w:val="both"/>
        <w:rPr>
          <w:iCs/>
        </w:rPr>
      </w:pPr>
      <w:r>
        <w:t xml:space="preserve">«55. Por conseguinte, há que responder à quinta e sexta questões que os artigos 8.º e 9.º da Diretiva 83/189 devem ser interpretados no sentido de que os particulares podem invocá-las perante o órgão jurisdicional nacional, que deve recusar aplicar uma regra técnica nacional que não tenha sido notificada em conformidade com a referida diretiva.»</w:t>
      </w:r>
    </w:p>
    <w:p w14:paraId="44EDD958"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A6C3DD6" w14:textId="2CAC6094">
      <w:pPr>
        <w:pStyle w:val="P68B1DB1-Normal13"/>
        <w:widowControl w:val="0"/>
        <w:autoSpaceDE w:val="0"/>
        <w:autoSpaceDN w:val="0"/>
        <w:spacing w:after="0" w:line="240" w:lineRule="auto"/>
        <w:jc w:val="both"/>
        <w:outlineLvl w:val="1"/>
      </w:pPr>
      <w:hyperlink r:id="rId100" w:history="1">
        <w:r>
          <w:rPr>
            <w:color w:val="0000FF"/>
            <w:u w:val="single"/>
          </w:rPr>
          <w:t xml:space="preserve">Acórdão do Tribunal de Justiça de 16 de junho de 1998</w:t>
        </w:r>
      </w:hyperlink>
      <w:r>
        <w:t xml:space="preserve"> no processo C-226/97, Lemmens, n.os 34 a 37.</w:t>
      </w:r>
      <w:bookmarkEnd w:id="182"/>
    </w:p>
    <w:p w14:paraId="758CEF0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ABB4A98" w14:textId="10F576AA">
      <w:pPr>
        <w:pStyle w:val="P68B1DB1-Normal14"/>
        <w:widowControl w:val="0"/>
        <w:tabs>
          <w:tab w:val="left" w:pos="406"/>
        </w:tabs>
        <w:autoSpaceDE w:val="0"/>
        <w:autoSpaceDN w:val="0"/>
        <w:spacing w:after="0" w:line="240" w:lineRule="auto"/>
        <w:jc w:val="both"/>
      </w:pPr>
      <w:r>
        <w:t xml:space="preserve">O incumprimento da obrigação de notificação de uma regra técnica relativa aos aparelhos de análise de respiração não tem por efeito tornar inoponíveis a um particular acusado de condução em estado de embriaguez as provas obtidas através de um aparelho de análise de respiração autorizado segundo regras que não tenham sido notificadas.</w:t>
      </w:r>
    </w:p>
    <w:p w14:paraId="3E297BB7" w14:textId="77777777">
      <w:pPr>
        <w:widowControl w:val="0"/>
        <w:tabs>
          <w:tab w:val="left" w:pos="406"/>
        </w:tabs>
        <w:autoSpaceDE w:val="0"/>
        <w:autoSpaceDN w:val="0"/>
        <w:spacing w:after="0" w:line="240" w:lineRule="auto"/>
        <w:jc w:val="both"/>
        <w:rPr>
          <w:rFonts w:ascii="Times New Roman" w:hAnsi="Times New Roman" w:cs="Times New Roman" w:eastAsia="Times New Roman"/>
          <w:szCs w:val="20"/>
        </w:rPr>
      </w:pPr>
    </w:p>
    <w:p w14:paraId="25103538" w14:textId="65BB17C7">
      <w:pPr>
        <w:pStyle w:val="P68B1DB1-Normal15"/>
        <w:widowControl w:val="0"/>
        <w:tabs>
          <w:tab w:val="left" w:pos="409"/>
        </w:tabs>
        <w:autoSpaceDE w:val="0"/>
        <w:autoSpaceDN w:val="0"/>
        <w:spacing w:after="0" w:line="240" w:lineRule="auto"/>
        <w:ind w:left="567"/>
        <w:jc w:val="both"/>
      </w:pPr>
      <w:r>
        <w:t xml:space="preserve">«34. Num processo penal como é o processo principal, as regras aplicadas ao acusado são, por um lado, as que proíbem e penalizam a condução em estado de embriaguez e, por outro, as que obrigam o condutor a insuflar o seu hálito num aparelho destinado à análise da alcoolemia, constituindo o resultado desta análise uma prova no processo penal. Estas regras são diferentes das que, pelo facto de não terem sido notificadas à Comissão em conformidade com a diretiva, são inoponíveis aos particulares.</w:t>
      </w:r>
    </w:p>
    <w:p w14:paraId="79D66062" w14:textId="77777777">
      <w:pPr>
        <w:pStyle w:val="P68B1DB1-Normal15"/>
        <w:widowControl w:val="0"/>
        <w:tabs>
          <w:tab w:val="left" w:pos="409"/>
        </w:tabs>
        <w:autoSpaceDE w:val="0"/>
        <w:autoSpaceDN w:val="0"/>
        <w:spacing w:after="0" w:line="240" w:lineRule="auto"/>
        <w:ind w:left="567"/>
        <w:jc w:val="both"/>
      </w:pPr>
    </w:p>
    <w:p w14:paraId="1F291ACA" w14:textId="0D4F54FD">
      <w:pPr>
        <w:pStyle w:val="P68B1DB1-Normal15"/>
        <w:widowControl w:val="0"/>
        <w:tabs>
          <w:tab w:val="left" w:pos="409"/>
        </w:tabs>
        <w:autoSpaceDE w:val="0"/>
        <w:autoSpaceDN w:val="0"/>
        <w:spacing w:after="0" w:line="240" w:lineRule="auto"/>
        <w:ind w:left="567"/>
        <w:jc w:val="both"/>
      </w:pPr>
      <w:r>
        <w:t xml:space="preserve">35. Deve observar-se que, embora a falta de notificação de regras técnicas, que constitui um vício de processo na respetiva adoção, torne estas últimas inaplicáveis na medida em que as mesmas impedem a utilização ou a comercialização dum produto não conforme com estas regras, a falta não tem, pelo contrário, o efeito de tornar ilegal qualquer utilização dum produto que esteja em conformidade com regras não notificadas.</w:t>
      </w:r>
    </w:p>
    <w:p w14:paraId="06F58C0E" w14:textId="77777777">
      <w:pPr>
        <w:pStyle w:val="P68B1DB1-Normal15"/>
        <w:widowControl w:val="0"/>
        <w:tabs>
          <w:tab w:val="left" w:pos="409"/>
        </w:tabs>
        <w:autoSpaceDE w:val="0"/>
        <w:autoSpaceDN w:val="0"/>
        <w:spacing w:after="0" w:line="240" w:lineRule="auto"/>
        <w:ind w:left="567"/>
        <w:jc w:val="both"/>
      </w:pPr>
    </w:p>
    <w:p w14:paraId="56671D2C" w14:textId="0E44A6B4">
      <w:pPr>
        <w:pStyle w:val="P68B1DB1-Normal15"/>
        <w:widowControl w:val="0"/>
        <w:tabs>
          <w:tab w:val="left" w:pos="409"/>
        </w:tabs>
        <w:autoSpaceDE w:val="0"/>
        <w:autoSpaceDN w:val="0"/>
        <w:spacing w:after="0" w:line="240" w:lineRule="auto"/>
        <w:ind w:left="567"/>
        <w:jc w:val="both"/>
      </w:pPr>
      <w:r>
        <w:t xml:space="preserve">36. Ora, a utilização do produto pelas autoridades públicas, num caso como o dos autos, não é suscetível de criar um obstáculo às trocas comerciais que pudesse ser evitado se o processo de notificação tivesse sido respeitado.</w:t>
      </w:r>
    </w:p>
    <w:p w14:paraId="4CD6FBB9" w14:textId="77777777">
      <w:pPr>
        <w:pStyle w:val="P68B1DB1-Normal15"/>
        <w:widowControl w:val="0"/>
        <w:tabs>
          <w:tab w:val="left" w:pos="409"/>
        </w:tabs>
        <w:autoSpaceDE w:val="0"/>
        <w:autoSpaceDN w:val="0"/>
        <w:spacing w:after="0" w:line="240" w:lineRule="auto"/>
        <w:ind w:left="567"/>
        <w:jc w:val="both"/>
      </w:pPr>
    </w:p>
    <w:p w14:paraId="638FC610" w14:textId="5C3DE903">
      <w:pPr>
        <w:pStyle w:val="P68B1DB1-Normal15"/>
        <w:widowControl w:val="0"/>
        <w:tabs>
          <w:tab w:val="left" w:pos="409"/>
        </w:tabs>
        <w:autoSpaceDE w:val="0"/>
        <w:autoSpaceDN w:val="0"/>
        <w:spacing w:after="0" w:line="240" w:lineRule="auto"/>
        <w:ind w:left="567"/>
        <w:jc w:val="both"/>
      </w:pPr>
      <w:r>
        <w:t xml:space="preserve">37. Por conseguinte, há que responder à primeira questão que a diretiva deve ser interpretada no sentido de que a violação da obrigação, imposta pelo seu artigo 8.º, de notificar uma regra técnica relativa aos aparelhos de análise de respiração não tem por efeito tornar impossível que os elementos de prova obtidos através desses aparelhos, autorizados em conformidade com regras que não foram notificadas, sejam oponíveis a um particular acusado de conduzir sob o efeito do álcool.»</w:t>
      </w:r>
    </w:p>
    <w:p w14:paraId="03B0AE9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AD84CA2" w14:textId="7A7E4DF0">
      <w:pPr>
        <w:pStyle w:val="P68B1DB1-Normal13"/>
        <w:widowControl w:val="0"/>
        <w:autoSpaceDE w:val="0"/>
        <w:autoSpaceDN w:val="0"/>
        <w:spacing w:after="0" w:line="240" w:lineRule="auto"/>
        <w:jc w:val="both"/>
        <w:outlineLvl w:val="1"/>
      </w:pPr>
      <w:hyperlink r:id="rId101" w:history="1">
        <w:r>
          <w:rPr>
            <w:color w:val="0000FF"/>
            <w:u w:val="single"/>
          </w:rPr>
          <w:t xml:space="preserve">Acórdão do Tribunal de Justiça de 6 de junho de 2002</w:t>
        </w:r>
      </w:hyperlink>
      <w:r>
        <w:t xml:space="preserve"> no processo C-159/00, Sapod Audic, n.os 52 e 53.</w:t>
      </w:r>
      <w:bookmarkEnd w:id="183"/>
    </w:p>
    <w:p w14:paraId="7700A11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8E293C" w14:textId="6294F0EB">
      <w:pPr>
        <w:widowControl w:val="0"/>
        <w:tabs>
          <w:tab w:val="left" w:pos="409"/>
        </w:tabs>
        <w:autoSpaceDE w:val="0"/>
        <w:autoSpaceDN w:val="0"/>
        <w:spacing w:after="0" w:line="240" w:lineRule="auto"/>
        <w:jc w:val="both"/>
        <w:rPr>
          <w:rFonts w:ascii="Times New Roman" w:hAnsi="Times New Roman" w:cs="Times New Roman" w:eastAsia="Times New Roman"/>
          <w:szCs w:val="20"/>
        </w:rPr>
        <w:pStyle w:val="P68B1DB1-Normal14"/>
      </w:pPr>
      <w:r>
        <w:t xml:space="preserve">Cabe ao órgão jurisdicional nacional recusar a aplicação de disposições inaplicáveis por falta de notificação. As consequências dessa inaplicabilidade são reguladas pelo direito nacional, desde que não seja menos favorável do que para ações semelhantes de natureza interna e não torne impossível o exercício dos direitos da União.</w:t>
      </w:r>
    </w:p>
    <w:p w14:paraId="1E2D83F5"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4757B367" w14:textId="5B286B77">
      <w:pPr>
        <w:pStyle w:val="P68B1DB1-Normal15"/>
        <w:widowControl w:val="0"/>
        <w:tabs>
          <w:tab w:val="left" w:pos="409"/>
        </w:tabs>
        <w:autoSpaceDE w:val="0"/>
        <w:autoSpaceDN w:val="0"/>
        <w:spacing w:after="0"/>
        <w:ind w:left="567"/>
        <w:jc w:val="both"/>
      </w:pPr>
      <w:r>
        <w:t xml:space="preserve">«52. Todavia, deve salientar-se que a questão de saber quais as conclusões que devem ser tiradas no processo principal da inaplicabilidade do artigo 4.º, segundo parágrafo, do Decreto n.º 92-377, quanto ao alcance da sanção prevista para este efeito no direito nacional aplicável, como seja a nulidade ou a inoponibilidade do contrato celebrado entre a Sapod e a Eco-Emballages, é regulada pelo direito nacional, nomeadamente no que se refere às regras e aos princípios de direito dos contratos que limitam ou modulam essa sanção a fim de tornar o seu alcance proporcionado às particularidades do vício constatado. Todavia, essas regras e princípios não podem ser menos favoráveis do que os que regulam ações semelhantes de natureza interna (princípio da equivalência) e não podem ser concebidos de forma a tornar impossível, na prática, o exercício dos direitos conferidos pela ordem jurídica comunitária (princípio da efetividade) (v., designadamente, acórdãos de 1976 de julho de 1989, Rewe, 33/76, Colet., p. 5, n.º 2001, e de 1395 de março de 21, Camorotto e Vignone, C-52/99 e C-53/99, ainda não publicado na Coletânea, n.º).</w:t>
      </w:r>
    </w:p>
    <w:p w14:paraId="0A8A5A27" w14:textId="77777777">
      <w:pPr>
        <w:pStyle w:val="P68B1DB1-Normal15"/>
        <w:widowControl w:val="0"/>
        <w:tabs>
          <w:tab w:val="left" w:pos="409"/>
        </w:tabs>
        <w:autoSpaceDE w:val="0"/>
        <w:autoSpaceDN w:val="0"/>
        <w:spacing w:after="0"/>
        <w:ind w:left="567"/>
        <w:jc w:val="both"/>
      </w:pPr>
    </w:p>
    <w:p w14:paraId="26C97D99" w14:textId="2C79F108">
      <w:pPr>
        <w:pStyle w:val="P68B1DB1-Normal15"/>
        <w:widowControl w:val="0"/>
        <w:tabs>
          <w:tab w:val="left" w:pos="409"/>
        </w:tabs>
        <w:autoSpaceDE w:val="0"/>
        <w:autoSpaceDN w:val="0"/>
        <w:spacing w:after="0"/>
        <w:ind w:left="567"/>
        <w:jc w:val="both"/>
      </w:pPr>
      <w:r>
        <w:t xml:space="preserve">53. Assim, deve responder-se à segunda parte da segunda questão, na medida em que se refere à Diretiva 83/189, que um particular pode invocar a falta de notificação em conformidade com o artigo 4.º da referida diretiva de uma disposição nacional como o artigo 8.º, segundo parágrafo, do Decreto n.º 92-377, na hipótese de esta última disposição dever ser interpretada como comportando uma obrigação de marcação ou de rotulagem. Cabe então ao órgão jurisdicional nacional recusar a aplicação desta disposição, sendo a questão das consequências a retirar da inaplicabilidade dessa disposição nacional quanto à severidade da sanção nos termos do direito nacional aplicável, como a nulidade ou a inoponibilidade de um contrato, uma questão regulada pelo direito nacional. Esta conclusão está, no entanto, sujeita à condição de que as regras de direito nacional aplicáveis não sejam menos favoráveis do que as que regulam ações semelhantes de natureza interna e não sejam concebidas de modo a tornar impossível, na prática, o exercício dos direitos conferidos pelo direito comunitário.»</w:t>
      </w:r>
    </w:p>
    <w:p w14:paraId="7ECA13E2" w14:textId="77777777">
      <w:pPr>
        <w:pStyle w:val="P68B1DB1-Normal15"/>
        <w:widowControl w:val="0"/>
        <w:tabs>
          <w:tab w:val="left" w:pos="409"/>
        </w:tabs>
        <w:autoSpaceDE w:val="0"/>
        <w:autoSpaceDN w:val="0"/>
        <w:spacing w:after="0"/>
        <w:jc w:val="both"/>
      </w:pPr>
    </w:p>
    <w:p w14:paraId="25CD0695" w14:textId="4587EFBF">
      <w:pPr>
        <w:pStyle w:val="P68B1DB1-Normal13"/>
        <w:widowControl w:val="0"/>
        <w:autoSpaceDE w:val="0"/>
        <w:autoSpaceDN w:val="0"/>
        <w:spacing w:after="0" w:line="240" w:lineRule="auto"/>
        <w:jc w:val="both"/>
        <w:outlineLvl w:val="1"/>
      </w:pPr>
      <w:hyperlink r:id="rId102" w:history="1">
        <w:r>
          <w:rPr>
            <w:color w:val="0000FF"/>
            <w:u w:val="single"/>
          </w:rPr>
          <w:t xml:space="preserve">Acórdão do Tribunal de Justiça de 8 de setembro de 2005</w:t>
        </w:r>
      </w:hyperlink>
      <w:r>
        <w:t xml:space="preserve"> no processo C-303/04, Lidl Italia, n.os 22 e 23.</w:t>
      </w:r>
    </w:p>
    <w:p w14:paraId="4582547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63F8A9D" w14:textId="77777777">
      <w:pPr>
        <w:pStyle w:val="P68B1DB1-Normal14"/>
        <w:widowControl w:val="0"/>
        <w:tabs>
          <w:tab w:val="left" w:pos="403"/>
        </w:tabs>
        <w:autoSpaceDE w:val="0"/>
        <w:autoSpaceDN w:val="0"/>
        <w:spacing w:after="0" w:line="240" w:lineRule="auto"/>
        <w:jc w:val="both"/>
      </w:pPr>
      <w:r>
        <w:t xml:space="preserve">A violação da obrigação de notificação constitui um vício processual essencial suscetível de tornar as «regras técnicas» em causa inaplicáveis e, portanto, inoponíveis aos particulares.</w:t>
      </w:r>
    </w:p>
    <w:p w14:paraId="099B7D88"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54B8211C" w14:textId="31CFA17B">
      <w:pPr>
        <w:pStyle w:val="P68B1DB1-Normal15"/>
        <w:widowControl w:val="0"/>
        <w:tabs>
          <w:tab w:val="left" w:pos="393"/>
        </w:tabs>
        <w:autoSpaceDE w:val="0"/>
        <w:autoSpaceDN w:val="0"/>
        <w:spacing w:after="0" w:line="240" w:lineRule="auto"/>
        <w:ind w:left="567"/>
        <w:jc w:val="both"/>
      </w:pPr>
      <w:r>
        <w:t xml:space="preserve">«22. [...] resulta de jurisprudência constante que a Diretiva 98/34 visa proteger, através de controlos preventivos, a livre circulação de mercadorias, que constitui um dos fundamentos da Comunidade, e que esse controlo serve um objetivo útil, na medida em que as regras técnicas abrangidas pelo âmbito de aplicação desta diretiva podem constituir entraves às trocas de mercadorias entre Estados-Membros, obstáculos esses que só são admissíveis se forem necessários para satisfazer exigências imperiosas de interesse geral (v., neste sentido, acórdãos de 1996 de julho de 2201, CIA Security International, C-194/94, Colet., p. I-40, n.º 1998, e de 3711 de fevereiro de 32, Lemmens, C-226/97, ainda não publicado na Coletânea, n.º).</w:t>
      </w:r>
    </w:p>
    <w:p w14:paraId="36DAFFCC" w14:textId="77777777">
      <w:pPr>
        <w:pStyle w:val="P68B1DB1-Normal15"/>
        <w:widowControl w:val="0"/>
        <w:tabs>
          <w:tab w:val="left" w:pos="393"/>
        </w:tabs>
        <w:autoSpaceDE w:val="0"/>
        <w:autoSpaceDN w:val="0"/>
        <w:spacing w:after="0" w:line="240" w:lineRule="auto"/>
        <w:ind w:left="567"/>
        <w:jc w:val="both"/>
      </w:pPr>
    </w:p>
    <w:p w14:paraId="149570C3" w14:textId="7B9615CB">
      <w:pPr>
        <w:pStyle w:val="P68B1DB1-Normal15"/>
        <w:widowControl w:val="0"/>
        <w:tabs>
          <w:tab w:val="left" w:pos="393"/>
        </w:tabs>
        <w:autoSpaceDE w:val="0"/>
        <w:autoSpaceDN w:val="0"/>
        <w:spacing w:after="0" w:line="240" w:lineRule="auto"/>
        <w:ind w:left="567"/>
        <w:jc w:val="both"/>
      </w:pPr>
      <w:r>
        <w:t xml:space="preserve">23. Uma vez que a obrigação de notificação prevista, nomeadamente, no artigo 8.º, n.º 1, primeiro parágrafo, da Diretiva 98/34 é essencial para a realização desse controlo comunitário, a eficácia desse controlo será muito maior se esta diretiva for interpretada no sentido de que a inobservância da obrigação de notificação constitui um vício processual essencial suscetível de tornar as regras técnicas em causa inaplicáveis e, portanto, inoponíveis aos particulares (acórdãos, já referidos, CIA Security International, n. os 44, 48 e 54, e Lemmens, n.º 33).»</w:t>
      </w:r>
    </w:p>
    <w:p w14:paraId="6E201D8A" w14:textId="77777777">
      <w:pPr>
        <w:pStyle w:val="P68B1DB1-Normal15"/>
        <w:widowControl w:val="0"/>
        <w:tabs>
          <w:tab w:val="left" w:pos="393"/>
        </w:tabs>
        <w:autoSpaceDE w:val="0"/>
        <w:autoSpaceDN w:val="0"/>
        <w:spacing w:after="0" w:line="240" w:lineRule="auto"/>
        <w:ind w:left="567"/>
        <w:jc w:val="both"/>
        <w:rPr>
          <w:i w:val="0"/>
          <w:iCs/>
          <w:szCs w:val="20"/>
        </w:rPr>
      </w:pPr>
    </w:p>
    <w:p w14:paraId="3A7A3401" w14:textId="5474014F">
      <w:pPr>
        <w:pStyle w:val="P68B1DB1-Normal13"/>
        <w:widowControl w:val="0"/>
        <w:autoSpaceDE w:val="0"/>
        <w:autoSpaceDN w:val="0"/>
        <w:spacing w:after="0" w:line="240" w:lineRule="auto"/>
        <w:jc w:val="both"/>
        <w:outlineLvl w:val="1"/>
      </w:pPr>
      <w:hyperlink r:id="rId103" w:history="1">
        <w:r>
          <w:rPr>
            <w:color w:val="0000FF"/>
            <w:u w:val="single"/>
          </w:rPr>
          <w:t xml:space="preserve">Acórdão de 31 de janeiro de 2013</w:t>
        </w:r>
      </w:hyperlink>
      <w:r>
        <w:t xml:space="preserve"> no processo</w:t>
        <w:noBreakHyphen/>
        <w:t xml:space="preserve">26/11, Belgische Petroleum Unie e o., n.º 50.</w:t>
      </w:r>
      <w:bookmarkEnd w:id="184"/>
    </w:p>
    <w:p w14:paraId="7D29DEE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A5859BF" w14:textId="23CC69D0">
      <w:pPr>
        <w:pStyle w:val="P68B1DB1-Normal14"/>
        <w:widowControl w:val="0"/>
        <w:tabs>
          <w:tab w:val="left" w:pos="403"/>
        </w:tabs>
        <w:autoSpaceDE w:val="0"/>
        <w:autoSpaceDN w:val="0"/>
        <w:spacing w:after="0" w:line="240" w:lineRule="auto"/>
        <w:jc w:val="both"/>
      </w:pPr>
      <w:r>
        <w:t xml:space="preserve">A violação da obrigação de notificação constitui um vício processual essencial suscetível de tornar as «regras técnicas» em causa inaplicáveis e, portanto, inoponíveis aos particulares.</w:t>
      </w:r>
    </w:p>
    <w:p w14:paraId="3A77BF8A"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1EFBF218" w14:textId="0E7DE8F3">
      <w:pPr>
        <w:pStyle w:val="P68B1DB1-Normal15"/>
        <w:widowControl w:val="0"/>
        <w:tabs>
          <w:tab w:val="left" w:pos="403"/>
        </w:tabs>
        <w:autoSpaceDE w:val="0"/>
        <w:autoSpaceDN w:val="0"/>
        <w:spacing w:after="0" w:line="240" w:lineRule="auto"/>
        <w:ind w:left="567"/>
        <w:jc w:val="both"/>
        <w:rPr>
          <w:iCs/>
        </w:rPr>
      </w:pPr>
      <w:r>
        <w:t>«</w:t>
      </w:r>
      <w:bookmarkStart w:id="185" w:name="point50"/>
      <w:r>
        <w:t>50</w:t>
      </w:r>
      <w:bookmarkEnd w:id="185"/>
      <w:r>
        <w:t xml:space="preserve">.  Uma vez que a obrigação de notificação prevista no artigo 8.º, n.º 1, primeiro parágrafo, da Diretiva 98/34 é essencial para a realização desse controlo, a eficácia desse controlo será muito maior se esta diretiva for interpretada no sentido de que a inobservância da obrigação de notificação constitui um vício processual material suscetível de tornar as regras técnicas em causa inaplicáveis e, portanto, inoponíveis aos particulares (v. acórdãos, já referidos, Lidl Italia, n.º 23, e Sandström, n.º 43).»</w:t>
      </w:r>
    </w:p>
    <w:p w14:paraId="5A7C1A1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F877C96" w14:textId="12F7ED6C">
      <w:pPr>
        <w:pStyle w:val="P68B1DB1-Normal13"/>
        <w:widowControl w:val="0"/>
        <w:autoSpaceDE w:val="0"/>
        <w:autoSpaceDN w:val="0"/>
        <w:spacing w:after="0" w:line="240" w:lineRule="auto"/>
        <w:jc w:val="both"/>
        <w:outlineLvl w:val="1"/>
      </w:pPr>
      <w:hyperlink r:id="rId104" w:history="1">
        <w:r>
          <w:rPr>
            <w:color w:val="0000FF"/>
            <w:u w:val="single"/>
          </w:rPr>
          <w:t xml:space="preserve">Acórdão do Tribunal de Justiça de 2 de fevereiro de 2016</w:t>
        </w:r>
      </w:hyperlink>
      <w:r>
        <w:t xml:space="preserve"> no processo C-336/14, Ince, n.os 67 e 68.</w:t>
      </w:r>
      <w:bookmarkEnd w:id="186"/>
    </w:p>
    <w:p w14:paraId="5109C791" w14:textId="77777777">
      <w:pPr>
        <w:pStyle w:val="P68B1DB1-Normal13"/>
        <w:widowControl w:val="0"/>
        <w:autoSpaceDE w:val="0"/>
        <w:autoSpaceDN w:val="0"/>
        <w:spacing w:after="0" w:line="240" w:lineRule="auto"/>
        <w:jc w:val="both"/>
        <w:outlineLvl w:val="1"/>
      </w:pPr>
    </w:p>
    <w:p w14:paraId="0118741A" w14:textId="59CA11D9">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 falta de notificação de uma «regra técnica» torna-a inaplicável e inoponível aos particulares. Este último pode invocar o artigo 8.º da Diretiva 98/34 perante os órgãos jurisdicionais nacionais, que são, portanto, obrigados a recusar a aplicação da regra não notificada.</w:t>
      </w:r>
    </w:p>
    <w:p w14:paraId="33041BEA" w14:textId="77777777">
      <w:pPr>
        <w:widowControl w:val="0"/>
        <w:autoSpaceDE w:val="0"/>
        <w:autoSpaceDN w:val="0"/>
        <w:spacing w:after="0" w:line="240" w:lineRule="auto"/>
        <w:jc w:val="both"/>
        <w:rPr>
          <w:rFonts w:ascii="Times New Roman" w:hAnsi="Times New Roman" w:cs="Times New Roman" w:eastAsia="Times New Roman"/>
          <w:i/>
          <w:iCs/>
          <w:sz w:val="20"/>
          <w:szCs w:val="20"/>
        </w:rPr>
      </w:pPr>
    </w:p>
    <w:p w14:paraId="0B90620E" w14:textId="22B6DE21">
      <w:pPr>
        <w:pStyle w:val="P68B1DB1-Normal18"/>
        <w:widowControl w:val="0"/>
        <w:autoSpaceDE w:val="0"/>
        <w:autoSpaceDN w:val="0"/>
        <w:spacing w:after="0" w:line="240" w:lineRule="auto"/>
        <w:ind w:left="567"/>
        <w:jc w:val="both"/>
      </w:pPr>
      <w:r>
        <w:t xml:space="preserve">«67. A título preliminar, há que recordar que a violação da obrigação de notificação prevista no artigo 8.º, n.º 1, da Diretiva 98/34 constitui um vício processual na adoção das regras técnicas em causa e torna essas regras técnicas inaplicáveis e, por conseguinte, inoponíveis aos particulares (v., nomeadamente, acórdão Ivansson e o., C-307/13, n.º 48 e jurisprudência referida).</w:t>
      </w:r>
    </w:p>
    <w:p w14:paraId="3D0E63B7" w14:textId="77777777">
      <w:pPr>
        <w:pStyle w:val="P68B1DB1-Normal18"/>
        <w:widowControl w:val="0"/>
        <w:autoSpaceDE w:val="0"/>
        <w:autoSpaceDN w:val="0"/>
        <w:spacing w:after="0" w:line="240" w:lineRule="auto"/>
        <w:ind w:left="567"/>
        <w:jc w:val="both"/>
      </w:pPr>
    </w:p>
    <w:p w14:paraId="0BF09E0D" w14:textId="771301DC">
      <w:pPr>
        <w:pStyle w:val="P68B1DB1-Normal18"/>
        <w:widowControl w:val="0"/>
        <w:autoSpaceDE w:val="0"/>
        <w:autoSpaceDN w:val="0"/>
        <w:spacing w:after="0" w:line="240" w:lineRule="auto"/>
        <w:ind w:left="567"/>
        <w:jc w:val="both"/>
        <w:rPr>
          <w:iCs/>
        </w:rPr>
      </w:pPr>
      <w:r>
        <w:t xml:space="preserve">68. A este respeito, importa sublinhar que, como salientou o advogado-geral no n.º 60 das suas conclusões, embora o artigo 8.º, n.º 1, da referida diretiva exija que todo o projeto de lei que contém regras técnicas seja comunicado à Comissão (v., neste sentido, acórdão Comissão/Itália, C-279/94, n.os 40 e 41), a inaplicabilidade que resulta da violação dessa obrigação não se estende a todas as disposições dessa lei, mas apenas às regras técnicas nela contidas.»</w:t>
      </w:r>
    </w:p>
    <w:p w14:paraId="3958CBE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3409741" w14:textId="429ECE6F">
      <w:pPr>
        <w:pStyle w:val="P68B1DB1-Normal13"/>
        <w:widowControl w:val="0"/>
        <w:autoSpaceDE w:val="0"/>
        <w:autoSpaceDN w:val="0"/>
        <w:spacing w:after="0" w:line="240" w:lineRule="auto"/>
        <w:jc w:val="both"/>
        <w:outlineLvl w:val="1"/>
      </w:pPr>
      <w:hyperlink r:id="rId105" w:history="1">
        <w:r>
          <w:rPr>
            <w:color w:val="0000FF"/>
            <w:u w:val="single"/>
          </w:rPr>
          <w:t xml:space="preserve">Despacho de 21 de abril de 2016</w:t>
        </w:r>
      </w:hyperlink>
      <w:r>
        <w:t xml:space="preserve"> no processo C-285/15, Beca Engineering, n.º 37.</w:t>
      </w:r>
      <w:bookmarkEnd w:id="187"/>
    </w:p>
    <w:p w14:paraId="4FF7730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95C5D13" w14:textId="319BB418">
      <w:pPr>
        <w:widowControl w:val="0"/>
        <w:tabs>
          <w:tab w:val="left" w:pos="436"/>
        </w:tabs>
        <w:autoSpaceDE w:val="0"/>
        <w:autoSpaceDN w:val="0"/>
        <w:spacing w:after="0" w:line="240" w:lineRule="auto"/>
        <w:jc w:val="both"/>
        <w:rPr>
          <w:rFonts w:ascii="Times New Roman" w:hAnsi="Times New Roman" w:cs="Times New Roman" w:eastAsia="Times New Roman"/>
          <w:szCs w:val="20"/>
        </w:rPr>
        <w:pStyle w:val="P68B1DB1-Normal14"/>
      </w:pPr>
      <w:r>
        <w:t xml:space="preserve">A falta de notificação de uma «regra técnica» torna-a inaplicável e inoponível aos particulares, que podem invocar o artigo 8.º da Diretiva 98/34 perante os órgãos jurisdicionais nacionais, que, por conseguinte, são obrigados a recusar a sua aplicação.</w:t>
      </w:r>
    </w:p>
    <w:p w14:paraId="4B5D090C"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4CE283BE" w14:textId="354C4BFD">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(Uma vez que a encomenda só está disponível em francês e italiano, o texto seguinte é uma tradução.)</w:t>
      </w:r>
    </w:p>
    <w:p w14:paraId="71B521E7"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176B997E" w14:textId="2F3B42D8">
      <w:pPr>
        <w:pStyle w:val="P68B1DB1-Normal15"/>
        <w:widowControl w:val="0"/>
        <w:tabs>
          <w:tab w:val="left" w:pos="436"/>
        </w:tabs>
        <w:autoSpaceDE w:val="0"/>
        <w:autoSpaceDN w:val="0"/>
        <w:spacing w:after="0" w:line="240" w:lineRule="auto"/>
        <w:ind w:left="567"/>
        <w:jc w:val="both"/>
        <w:rPr>
          <w:iCs/>
        </w:rPr>
      </w:pPr>
      <w:r>
        <w:t xml:space="preserve">«37. É jurisprudência constante que o incumprimento da obrigação de notificação imediata das regras técnicas pelos Estados-Membros à Comissão, prevista no artigo 8.º da Diretiva 98/34, torna inaplicáveis as regras técnicas em causa, pelo que não podem ser opostas aos particulares e estes podem assim invocar o artigo 8.º da Diretiva 98/34 perante o órgão jurisdicional nacional, que deve recusar a aplicação de uma regra técnica nacional que não tenha sido notificada em conformidade com esta diretiva (v., neste sentido, acórdãos de 30 de Abril</w:t>
        <w:noBreakHyphen/>
        <w:t xml:space="preserve">de 1996, CIA Security International, 194/94, n.os 44 e 54; de 26 de setembro de 2000 no processo</w:t>
        <w:noBreakHyphen/>
        <w:t xml:space="preserve">443/98, Unilever, n.º 49; e de 16 de julho de 2015, UNIC e Uni.co.pel</w:t>
        <w:noBreakHyphen/>
        <w:t xml:space="preserve">, 95/14, ponto 29).»</w:t>
      </w:r>
    </w:p>
    <w:p w14:paraId="316A0C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2DF0B9D" w14:textId="49BEF45B">
      <w:pPr>
        <w:pStyle w:val="P68B1DB1-Normal13"/>
        <w:widowControl w:val="0"/>
        <w:autoSpaceDE w:val="0"/>
        <w:autoSpaceDN w:val="0"/>
        <w:spacing w:after="0" w:line="240" w:lineRule="auto"/>
        <w:jc w:val="both"/>
        <w:outlineLvl w:val="1"/>
      </w:pPr>
      <w:hyperlink r:id="rId106" w:history="1">
        <w:r>
          <w:rPr>
            <w:color w:val="0000FF"/>
            <w:u w:val="single"/>
          </w:rPr>
          <w:t xml:space="preserve">Acórdão de 1 de fevereiro de 2017</w:t>
        </w:r>
      </w:hyperlink>
      <w:r>
        <w:t xml:space="preserve">, Município de Palmela, C</w:t>
        <w:noBreakHyphen/>
        <w:t xml:space="preserve">144/16, segs., n.os 36 e 37</w:t>
      </w:r>
      <w:bookmarkEnd w:id="188"/>
    </w:p>
    <w:p w14:paraId="71CD8C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48608F0" w14:textId="4E7B20FD">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 inaplicabilidade das regras técnicas não notificadas estende-se apenas às disposições qualificadas como tais e não à totalidade do texto em que estão previstas. </w:t>
      </w:r>
    </w:p>
    <w:p w14:paraId="75A4341D" w14:textId="77777777">
      <w:pPr>
        <w:widowControl w:val="0"/>
        <w:tabs>
          <w:tab w:val="left" w:pos="506"/>
        </w:tabs>
        <w:autoSpaceDE w:val="0"/>
        <w:autoSpaceDN w:val="0"/>
        <w:spacing w:after="0" w:line="240" w:lineRule="auto"/>
        <w:jc w:val="both"/>
        <w:rPr>
          <w:rFonts w:ascii="Times New Roman" w:hAnsi="Times New Roman" w:cs="Times New Roman" w:eastAsia="Times New Roman"/>
          <w:szCs w:val="20"/>
        </w:rPr>
      </w:pPr>
    </w:p>
    <w:p w14:paraId="0AB4BF23" w14:textId="0FC0DDA5">
      <w:pPr>
        <w:pStyle w:val="P68B1DB1-Normal15"/>
        <w:widowControl w:val="0"/>
        <w:tabs>
          <w:tab w:val="left" w:pos="506"/>
        </w:tabs>
        <w:autoSpaceDE w:val="0"/>
        <w:autoSpaceDN w:val="0"/>
        <w:spacing w:after="0" w:line="240" w:lineRule="auto"/>
        <w:ind w:left="567"/>
        <w:jc w:val="both"/>
      </w:pPr>
      <w:r>
        <w:t xml:space="preserve">«36. Além disso, a sanção por incumprimento dessa obrigação de notificação é a inaplicabilidade das regras técnicas não notificadas (v., neste sentido, no que respeita à Diretiva 83/189, Acórdão de 30 de abril de 1996, CIA Security International, C-194/94, n.º 54, e, no que respeita à Diretiva 98/34, Acórdão de 4 de fevereiro de 2016, Ince, C-336/14, n.º 67 e jurisprudência referida).</w:t>
      </w:r>
    </w:p>
    <w:p w14:paraId="53154754" w14:textId="77777777">
      <w:pPr>
        <w:pStyle w:val="P68B1DB1-Normal15"/>
        <w:widowControl w:val="0"/>
        <w:tabs>
          <w:tab w:val="left" w:pos="506"/>
        </w:tabs>
        <w:autoSpaceDE w:val="0"/>
        <w:autoSpaceDN w:val="0"/>
        <w:spacing w:after="0" w:line="240" w:lineRule="auto"/>
        <w:ind w:left="567"/>
        <w:jc w:val="both"/>
      </w:pPr>
    </w:p>
    <w:p w14:paraId="3D0698B5" w14:textId="300775AA">
      <w:pPr>
        <w:pStyle w:val="P68B1DB1-Normal15"/>
        <w:widowControl w:val="0"/>
        <w:tabs>
          <w:tab w:val="left" w:pos="506"/>
        </w:tabs>
        <w:autoSpaceDE w:val="0"/>
        <w:autoSpaceDN w:val="0"/>
        <w:spacing w:after="0" w:line="240" w:lineRule="auto"/>
        <w:ind w:left="567"/>
        <w:jc w:val="both"/>
        <w:rPr>
          <w:iCs/>
        </w:rPr>
      </w:pPr>
      <w:r>
        <w:t xml:space="preserve">37. Quanto ao alcance dessa sanção, ainda que o artigo 8.º, n.º 1, da Diretiva 83/189 e o artigo 8.º, n.º 1, da Diretiva 98/34 exijam a comunicação à Comissão de todo o projeto de lei que contém regras técnicas, a inaplicabilidade que resulta da violação dessa obrigação não se estende a todas as disposições dessa lei, mas apenas às regras técnicas nela contidas (v., neste sentido, Acórdão de 4 de fevereiro de 2016, Ince, C-336/14, n.º 68).»</w:t>
      </w:r>
    </w:p>
    <w:p w14:paraId="554FD6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6C171BE6" w14:textId="2B08C6DC">
      <w:pPr>
        <w:pStyle w:val="P68B1DB1-Normal13"/>
        <w:widowControl w:val="0"/>
        <w:autoSpaceDE w:val="0"/>
        <w:autoSpaceDN w:val="0"/>
        <w:spacing w:after="0" w:line="240" w:lineRule="auto"/>
        <w:jc w:val="both"/>
        <w:outlineLvl w:val="1"/>
      </w:pPr>
      <w:hyperlink r:id="rId107" w:history="1">
        <w:r>
          <w:rPr>
            <w:color w:val="0000FF"/>
            <w:u w:val="single"/>
          </w:rPr>
          <w:t xml:space="preserve">Acórdão do Tribunal de Justiça de 12 de setembro de 2019</w:t>
        </w:r>
      </w:hyperlink>
      <w:r>
        <w:t xml:space="preserve"> no processo C-299/17, VG Media, n.º 39.</w:t>
      </w:r>
      <w:bookmarkEnd w:id="189"/>
    </w:p>
    <w:p w14:paraId="4D9638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70EAA48" w14:textId="672654D1">
      <w:pPr>
        <w:pStyle w:val="P68B1DB1-Normal14"/>
        <w:widowControl w:val="0"/>
        <w:tabs>
          <w:tab w:val="left" w:pos="396"/>
        </w:tabs>
        <w:autoSpaceDE w:val="0"/>
        <w:autoSpaceDN w:val="0"/>
        <w:spacing w:after="0" w:line="240" w:lineRule="auto"/>
        <w:jc w:val="both"/>
      </w:pPr>
      <w:r>
        <w:t xml:space="preserve">A inaplicabilidade de uma «regra técnica» não notificada pode ser invocada em litígios entre particulares.</w:t>
      </w:r>
    </w:p>
    <w:p w14:paraId="28A74567" w14:textId="77777777">
      <w:pPr>
        <w:widowControl w:val="0"/>
        <w:tabs>
          <w:tab w:val="left" w:pos="396"/>
        </w:tabs>
        <w:autoSpaceDE w:val="0"/>
        <w:autoSpaceDN w:val="0"/>
        <w:spacing w:after="0" w:line="240" w:lineRule="auto"/>
        <w:jc w:val="both"/>
        <w:rPr>
          <w:rFonts w:ascii="Times New Roman" w:hAnsi="Times New Roman" w:cs="Times New Roman" w:eastAsia="Times New Roman"/>
          <w:szCs w:val="20"/>
        </w:rPr>
      </w:pPr>
    </w:p>
    <w:p w14:paraId="341E5191" w14:textId="072C374E">
      <w:pPr>
        <w:pStyle w:val="P68B1DB1-Normal15"/>
        <w:widowControl w:val="0"/>
        <w:tabs>
          <w:tab w:val="left" w:pos="396"/>
        </w:tabs>
        <w:autoSpaceDE w:val="0"/>
        <w:autoSpaceDN w:val="0"/>
        <w:spacing w:after="0" w:line="240" w:lineRule="auto"/>
        <w:ind w:left="567"/>
        <w:jc w:val="both"/>
        <w:rPr>
          <w:iCs/>
        </w:rPr>
      </w:pPr>
      <w:r>
        <w:t>«</w:t>
      </w:r>
      <w:bookmarkStart w:id="190" w:name="point39"/>
      <w:r>
        <w:t>39</w:t>
      </w:r>
      <w:bookmarkEnd w:id="190"/>
      <w:r>
        <w:t xml:space="preserve">. Quando uma regra, como a que está em causa no processo principal, visar especificamente os serviços da sociedade da informação, o projeto de regra técnica deve ser objeto de uma notificação prévia à Comissão nos termos do artigo 8.º, n.º 1, da Diretiva 98/34. Caso contrário, segundo jurisprudência constante, a inaplicabilidade de uma regra técnica que não tenha sido notificada em conformidade com esta disposição pode ser invocada num litígio entre particulares (Acórdão de 27 de outubro de 2016, James Elliott Construction</w:t>
        <w:noBreakHyphen/>
        <w:t xml:space="preserve">, C 613/14, n.º 64 e jurisprudência referida).»</w:t>
      </w:r>
    </w:p>
    <w:p w14:paraId="67343887" w14:textId="77777777">
      <w:pPr>
        <w:pStyle w:val="P68B1DB1-Normal16"/>
        <w:spacing w:after="0" w:line="240" w:lineRule="auto"/>
        <w:rPr>
          <w:i/>
          <w:iCs/>
        </w:rPr>
      </w:pPr>
      <w:r>
        <w:br w:type="page"/>
      </w:r>
    </w:p>
    <w:p w14:paraId="3EE7303A" w14:textId="250577BE">
      <w:pPr>
        <w:pStyle w:val="P68B1DB1-Heading24"/>
        <w:numPr>
          <w:ilvl w:val="0"/>
          <w:numId w:val="38"/>
        </w:numPr>
        <w:spacing w:before="0" w:after="0"/>
        <w:jc w:val="center"/>
        <w:rPr>
          <w:bCs/>
          <w:color w:val="auto"/>
        </w:rPr>
      </w:pPr>
      <w:bookmarkStart w:id="191" w:name="_Ref194485069"/>
      <w:bookmarkStart w:id="192" w:name="_Toc203035686"/>
      <w:r>
        <w:t xml:space="preserve">Inaplicabilidade em caso de adoção durante o período de espera</w:t>
      </w:r>
      <w:bookmarkEnd w:id="191"/>
      <w:bookmarkEnd w:id="192"/>
    </w:p>
    <w:p w14:paraId="37876FE6" w14:textId="77777777">
      <w:pPr>
        <w:widowControl w:val="0"/>
        <w:tabs>
          <w:tab w:val="left" w:pos="396"/>
        </w:tabs>
        <w:autoSpaceDE w:val="0"/>
        <w:autoSpaceDN w:val="0"/>
        <w:spacing w:after="0" w:line="240" w:lineRule="auto"/>
        <w:ind w:left="567"/>
        <w:jc w:val="both"/>
        <w:rPr>
          <w:rFonts w:ascii="Times New Roman" w:hAnsi="Times New Roman" w:cs="Times New Roman" w:eastAsia="Times New Roman"/>
          <w:i/>
          <w:iCs/>
          <w:sz w:val="20"/>
          <w:szCs w:val="16"/>
        </w:rPr>
      </w:pPr>
    </w:p>
    <w:p w14:paraId="0D0639E5" w14:textId="5783481F">
      <w:pPr>
        <w:pStyle w:val="P68B1DB1-Normal13"/>
        <w:widowControl w:val="0"/>
        <w:autoSpaceDE w:val="0"/>
        <w:autoSpaceDN w:val="0"/>
        <w:spacing w:after="0" w:line="240" w:lineRule="auto"/>
        <w:jc w:val="both"/>
        <w:outlineLvl w:val="1"/>
      </w:pPr>
      <w:hyperlink r:id="rId108" w:history="1">
        <w:r>
          <w:rPr>
            <w:color w:val="0000FF"/>
            <w:u w:val="single"/>
          </w:rPr>
          <w:t xml:space="preserve">Acórdão do Tribunal de Justiça de 26 de setembro de 2000</w:t>
        </w:r>
      </w:hyperlink>
      <w:r>
        <w:t xml:space="preserve"> no processo C-443/98, Unilever, n.os 44 e 49.</w:t>
      </w:r>
      <w:bookmarkEnd w:id="193"/>
    </w:p>
    <w:p w14:paraId="42E7AF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BBEE81D" w14:textId="01D7910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 violação da obrigação de adiar a adoção de uma «regra técnica» constitui um vício processual essencial e a inaplicabilidade daí resultante pode ser invocada no âmbito de um processo contencioso de direito civil dos contratos.</w:t>
      </w:r>
    </w:p>
    <w:p w14:paraId="44D1FDCE" w14:textId="77777777">
      <w:pPr>
        <w:widowControl w:val="0"/>
        <w:autoSpaceDE w:val="0"/>
        <w:autoSpaceDN w:val="0"/>
        <w:spacing w:after="0" w:line="240" w:lineRule="auto"/>
        <w:jc w:val="both"/>
        <w:rPr>
          <w:rFonts w:ascii="Times New Roman" w:hAnsi="Times New Roman" w:cs="Times New Roman" w:eastAsia="Times New Roman"/>
          <w:szCs w:val="20"/>
        </w:rPr>
      </w:pPr>
    </w:p>
    <w:p w14:paraId="75DB8828" w14:textId="28728DEC">
      <w:pPr>
        <w:pStyle w:val="P68B1DB1-Normal15"/>
        <w:widowControl w:val="0"/>
        <w:autoSpaceDE w:val="0"/>
        <w:autoSpaceDN w:val="0"/>
        <w:spacing w:after="0"/>
        <w:ind w:left="567"/>
        <w:jc w:val="both"/>
      </w:pPr>
      <w:r>
        <w:t xml:space="preserve">«44. Embora, no n.º 48 do acórdão CIA Security, já referido, após ter recordado que a Diretiva 83/189 tinha por objetivo proteger a livre circulação de mercadorias através de um controlo preventivo e que a obrigação de notificação era essencial para a realização desse controlo comunitário, o Tribunal de Justiça tenha declarado que a eficácia desse controlo seria muito maior se a diretiva fosse interpretada no sentido de que a violação da obrigação de notificação constituía um vício processual essencial suscetível de tornar as regras técnicas em causa inaplicáveis aos particulares, resulta das considerações expostas nos n.os 40 a 43 do presente acórdão que a violação das obrigações de adiamento da adoção previstas no artigo 9.º da Diretiva 83/189 constitui igualmente um vício processual essencial suscetível de tornar inaplicáveis as regras técnicas.»</w:t>
      </w:r>
    </w:p>
    <w:p w14:paraId="02036EC1"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58BC9E48" w14:textId="635AF4A5">
      <w:pPr>
        <w:pStyle w:val="P68B1DB1-Normal15"/>
        <w:widowControl w:val="0"/>
        <w:autoSpaceDE w:val="0"/>
        <w:autoSpaceDN w:val="0"/>
        <w:spacing w:after="0" w:line="240" w:lineRule="auto"/>
        <w:ind w:left="567"/>
        <w:jc w:val="both"/>
        <w:rPr>
          <w:iCs/>
        </w:rPr>
      </w:pPr>
      <w:r>
        <w:t xml:space="preserve">«49. Assim, resulta da jurisprudência do Tribunal de Justiça que a inaplicabilidade de uma norma técnica que não foi notificada em conformidade com o artigo 8.º da Diretiva 83/189 pode ser invocada num litígio entre particulares pelas razões invocadas nos n.os 40 a 43 do presente acórdão. O mesmo se aplica ao incumprimento das obrigações previstas no artigo 9.º da referida diretiva, sem que seja necessário, a este respeito, tratar diferentemente os litígios entre particulares em matéria de concorrência desleal, como no processo CIA Security International, e os litígios entre particulares relativos a direitos e obrigações de natureza contratual, como no processo principal.»</w:t>
      </w:r>
    </w:p>
    <w:p w14:paraId="2398ED1C"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DE1608D" w14:textId="65CDF631">
      <w:pPr>
        <w:pStyle w:val="P68B1DB1-Normal13"/>
        <w:widowControl w:val="0"/>
        <w:autoSpaceDE w:val="0"/>
        <w:autoSpaceDN w:val="0"/>
        <w:spacing w:after="0" w:line="240" w:lineRule="auto"/>
        <w:jc w:val="both"/>
        <w:outlineLvl w:val="1"/>
      </w:pPr>
      <w:hyperlink r:id="rId109" w:history="1">
        <w:r>
          <w:rPr>
            <w:color w:val="0000FF"/>
            <w:u w:val="single"/>
          </w:rPr>
          <w:t xml:space="preserve">Acórdão do Tribunal de Justiça de 16 de julho de 2015</w:t>
        </w:r>
      </w:hyperlink>
      <w:r>
        <w:t xml:space="preserve"> no processo C-95/14, UNIC e Uni.co.pel, n.os 29 e 30.</w:t>
      </w:r>
      <w:bookmarkEnd w:id="194"/>
    </w:p>
    <w:p w14:paraId="1A2641F5" w14:textId="77777777">
      <w:pPr>
        <w:pStyle w:val="P68B1DB1-Normal13"/>
        <w:widowControl w:val="0"/>
        <w:autoSpaceDE w:val="0"/>
        <w:autoSpaceDN w:val="0"/>
        <w:spacing w:after="0" w:line="240" w:lineRule="auto"/>
        <w:jc w:val="both"/>
        <w:outlineLvl w:val="1"/>
        <w:rPr>
          <w:color w:val="0000FF"/>
          <w:u w:val="single"/>
        </w:rPr>
      </w:pPr>
    </w:p>
    <w:p w14:paraId="6A41CA20" w14:textId="5D78CD99">
      <w:pPr>
        <w:pStyle w:val="P68B1DB1-Normal14"/>
        <w:widowControl w:val="0"/>
        <w:tabs>
          <w:tab w:val="left" w:pos="458"/>
        </w:tabs>
        <w:autoSpaceDE w:val="0"/>
        <w:autoSpaceDN w:val="0"/>
        <w:spacing w:after="0" w:line="240" w:lineRule="auto"/>
        <w:jc w:val="both"/>
      </w:pPr>
      <w:r>
        <w:t xml:space="preserve">Uma «regra técnica» não pode ser aplicada se não tiver sido notificada ou se, embora notificada, tiver sido adotada e aplicada antes do termo do prazo suspensivo. A inobservância deste prazo suspensivo constitui um vício processual substantivo que torna a «regra técnica» em causa inaplicável e inoponível aos particulares.</w:t>
      </w:r>
    </w:p>
    <w:p w14:paraId="78F423B5" w14:textId="77777777">
      <w:pPr>
        <w:widowControl w:val="0"/>
        <w:tabs>
          <w:tab w:val="left" w:pos="458"/>
        </w:tabs>
        <w:autoSpaceDE w:val="0"/>
        <w:autoSpaceDN w:val="0"/>
        <w:spacing w:after="0" w:line="240" w:lineRule="auto"/>
        <w:jc w:val="both"/>
        <w:rPr>
          <w:rFonts w:ascii="Times New Roman" w:hAnsi="Times New Roman" w:cs="Times New Roman" w:eastAsia="Times New Roman"/>
          <w:szCs w:val="20"/>
        </w:rPr>
      </w:pPr>
    </w:p>
    <w:p w14:paraId="671D359F" w14:textId="02315FA1">
      <w:pPr>
        <w:pStyle w:val="P68B1DB1-Normal15"/>
        <w:widowControl w:val="0"/>
        <w:tabs>
          <w:tab w:val="left" w:pos="413"/>
        </w:tabs>
        <w:autoSpaceDE w:val="0"/>
        <w:autoSpaceDN w:val="0"/>
        <w:spacing w:after="0" w:line="240" w:lineRule="auto"/>
        <w:ind w:left="567"/>
        <w:jc w:val="both"/>
      </w:pPr>
      <w:r>
        <w:t xml:space="preserve">«29. A este respeito, há que salientar que uma regra técnica não pode ser aplicada se não tiver sido notificada em conformidade com o artigo 8.º, n.º 1, da Diretiva 98/34 ou se, embora notificada, tiver sido adotada e aplicada antes do termo do prazo suspensivo de três meses previsto no artigo 9.º, n.º 1, desta diretiva (v. acórdãos CIA Security International, C-194/94, n.os 41, 44 e 54, e Unilever, C-443/98, n.º 49).</w:t>
      </w:r>
    </w:p>
    <w:p w14:paraId="669F0D65" w14:textId="77777777">
      <w:pPr>
        <w:pStyle w:val="P68B1DB1-Normal15"/>
        <w:widowControl w:val="0"/>
        <w:tabs>
          <w:tab w:val="left" w:pos="413"/>
        </w:tabs>
        <w:autoSpaceDE w:val="0"/>
        <w:autoSpaceDN w:val="0"/>
        <w:spacing w:after="0" w:line="240" w:lineRule="auto"/>
        <w:ind w:left="567"/>
        <w:jc w:val="both"/>
      </w:pPr>
    </w:p>
    <w:p w14:paraId="6F40553C" w14:textId="5546CC32">
      <w:pPr>
        <w:pStyle w:val="P68B1DB1-Normal15"/>
        <w:widowControl w:val="0"/>
        <w:tabs>
          <w:tab w:val="left" w:pos="413"/>
        </w:tabs>
        <w:autoSpaceDE w:val="0"/>
        <w:autoSpaceDN w:val="0"/>
        <w:spacing w:after="0" w:line="240" w:lineRule="auto"/>
        <w:ind w:left="567"/>
        <w:jc w:val="both"/>
        <w:rPr>
          <w:iCs/>
        </w:rPr>
      </w:pPr>
      <w:r>
        <w:t xml:space="preserve">30. Por conseguinte, no processo principal, cabe ao órgão jurisdicional de reenvio verificar se a Lei n.º 8/2013 entrou em vigor sem respeitar o prazo suspensivo exigido pelo artigo 9.º da Diretiva 98/34. Em caso afirmativo, a inobservância deste prazo constitui um vício processual essencial suscetível de acarretar a inaplicabilidade da regra técnica em causa. Como salientou a advogada-geral nos n.os 44 a 47 das suas conclusões, o artigo 3.º, n.º 2, da Lei n.º 8/2103 não seria, nesse caso, oponível aos particulares.»</w:t>
      </w:r>
    </w:p>
    <w:p w14:paraId="6059C0D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3CFB923" w14:textId="1D33D9D9">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10" w:history="1">
        <w:r>
          <w:rPr>
            <w:rStyle w:val="Hyperlink"/>
            <w:rFonts w:ascii="Times New Roman" w:hAnsi="Times New Roman" w:cs="Times New Roman" w:eastAsia="Times New Roman"/>
            <w:b/>
            <w:i/>
            <w:color w:val="0000FF"/>
            <w:szCs w:val="20"/>
          </w:rPr>
          <w:t xml:space="preserve">Acórdão do Tribunal de Justiça de 21 de dezembro de 2023</w:t>
        </w:r>
      </w:hyperlink>
      <w:r>
        <w:rPr>
          <w:rFonts w:ascii="Times New Roman" w:hAnsi="Times New Roman" w:cs="Times New Roman" w:eastAsia="Times New Roman"/>
          <w:b/>
          <w:i/>
          <w:szCs w:val="20"/>
        </w:rPr>
        <w:t xml:space="preserve"> no processo C-86/22, Papier Mettler Italia, n.os 48 e 51.</w:t>
      </w:r>
      <w:bookmarkEnd w:id="195"/>
    </w:p>
    <w:p w14:paraId="72FE2D2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184A21" w14:textId="5074D777">
      <w:pPr>
        <w:pStyle w:val="P68B1DB1-Normal17"/>
        <w:widowControl w:val="0"/>
        <w:autoSpaceDE w:val="0"/>
        <w:autoSpaceDN w:val="0"/>
        <w:spacing w:after="0" w:line="240" w:lineRule="auto"/>
        <w:jc w:val="both"/>
      </w:pPr>
      <w:r>
        <w:t xml:space="preserve">A adoção de um projeto de «regra técnica» seis dias após a sua notificação é contrária à diretiva.</w:t>
      </w:r>
    </w:p>
    <w:p w14:paraId="6AE096BF" w14:textId="77777777">
      <w:pPr>
        <w:widowControl w:val="0"/>
        <w:autoSpaceDE w:val="0"/>
        <w:autoSpaceDN w:val="0"/>
        <w:spacing w:after="0" w:line="240" w:lineRule="auto"/>
        <w:jc w:val="both"/>
        <w:rPr>
          <w:rFonts w:ascii="Times New Roman" w:hAnsi="Times New Roman" w:cs="Times New Roman" w:eastAsia="Times New Roman"/>
        </w:rPr>
      </w:pPr>
    </w:p>
    <w:p w14:paraId="49072627" w14:textId="0533C648">
      <w:pPr>
        <w:pStyle w:val="P68B1DB1-Normal17"/>
        <w:widowControl w:val="0"/>
        <w:autoSpaceDE w:val="0"/>
        <w:autoSpaceDN w:val="0"/>
        <w:spacing w:after="0" w:line="240" w:lineRule="auto"/>
        <w:jc w:val="both"/>
      </w:pPr>
      <w:r>
        <w:t xml:space="preserve">As cláusulas que subordinam a entrada em vigor da legislação à ausência de reação da Comissão sobre essa legislação («cláusulas suspensivas») são contrárias à diretiva, uma vez que a adoção dessa legislação não permite ter em conta os pontos de vista de outros Estados-Membros e viola o princípio da segurança jurídica. </w:t>
      </w:r>
    </w:p>
    <w:p w14:paraId="324F8208"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F3C3AE8" w14:textId="66B8593F">
      <w:pPr>
        <w:pStyle w:val="P68B1DB1-Normal15"/>
        <w:widowControl w:val="0"/>
        <w:autoSpaceDE w:val="0"/>
        <w:autoSpaceDN w:val="0"/>
        <w:spacing w:after="0" w:line="240" w:lineRule="auto"/>
        <w:ind w:left="567"/>
        <w:jc w:val="both"/>
        <w:outlineLvl w:val="1"/>
        <w:rPr>
          <w:iCs/>
        </w:rPr>
      </w:pPr>
      <w:bookmarkStart w:id="196" w:name="_Toc198043912"/>
      <w:r>
        <w:t>«</w:t>
      </w:r>
      <w:bookmarkStart w:id="197" w:name="point48"/>
      <w:r>
        <w:t>48</w:t>
      </w:r>
      <w:bookmarkEnd w:id="197"/>
      <w:r>
        <w:t xml:space="preserve">. Por outro lado, a adoção do decreto em causa no processo principal no prazo de seis dias a contar da sua notificação à Comissão nos termos do artigo 8.º, n.º 1, desta diretiva viola igualmente a obrigação prevista no artigo 9.º, n.º 1, da mesma diretiva, segundo a qual os Estados-Membros adiam a adoção de um «projeto de regra técnica» por três meses a contar da data de receção pela Comissão da comunicação referida no artigo 8.º, n.º 1, da referida diretiva.»</w:t>
      </w:r>
      <w:bookmarkEnd w:id="196"/>
    </w:p>
    <w:p w14:paraId="34ACB37E" w14:textId="77777777">
      <w:pPr>
        <w:widowControl w:val="0"/>
        <w:autoSpaceDE w:val="0"/>
        <w:autoSpaceDN w:val="0"/>
        <w:spacing w:after="0" w:line="240" w:lineRule="auto"/>
        <w:ind w:left="567"/>
        <w:jc w:val="both"/>
        <w:outlineLvl w:val="1"/>
      </w:pPr>
    </w:p>
    <w:p w14:paraId="14BB6DC8" w14:textId="1355B8C7">
      <w:pPr>
        <w:pStyle w:val="P68B1DB1-Normal15"/>
        <w:widowControl w:val="0"/>
        <w:autoSpaceDE w:val="0"/>
        <w:autoSpaceDN w:val="0"/>
        <w:spacing w:after="0" w:line="240" w:lineRule="auto"/>
        <w:ind w:left="567"/>
        <w:jc w:val="both"/>
        <w:rPr>
          <w:iCs/>
        </w:rPr>
      </w:pPr>
      <w:r>
        <w:t>«</w:t>
      </w:r>
      <w:bookmarkStart w:id="198" w:name="point51"/>
      <w:r>
        <w:t>51</w:t>
      </w:r>
      <w:bookmarkEnd w:id="198"/>
      <w:r>
        <w:t xml:space="preserve">. Por outro lado, o referido Governo sustenta que a entrada em vigor do decreto em causa no processo principal foi condicionada, nos termos do artigo 6.º deste, pelo «desfecho favorável» do procedimento de notificação iniciado em 12 de março de 2013 com fundamento no artigo 8.º, n.º 1, da Diretiva 98/34. Ora, este procedimento não teve esse desfecho, uma vez que a Comissão não emitiu nenhum parecer quanto a este decreto. Este argumento deve ser rejeitado, uma vez que, por um lado, a adoção e a publicação do referido decreto são suscetíveis, por si só, de ter determinados efeitos sobre a livre circulação das mercadorias em causa; em segundo lugar, não permitiram ter em conta as observações e os pareceres circunstanciados emitidos pelo Reino dos Países Baixos, pelo Reino da Suécia e pelo Reino Unido da Grã-Bretanha e da Irlanda do Norte; em terceiro lugar, como salientou o advogado-geral no n.º 52 das suas conclusões, constituem uma técnica legislativa incompatível com o princípio da segurança jurídica.»</w:t>
      </w:r>
    </w:p>
    <w:p w14:paraId="4AC163BF" w14:textId="77777777">
      <w:pPr>
        <w:pStyle w:val="P68B1DB1-Normal16"/>
        <w:spacing w:after="0" w:line="240" w:lineRule="auto"/>
        <w:rPr>
          <w:i/>
          <w:iCs/>
        </w:rPr>
      </w:pPr>
      <w:r>
        <w:br w:type="page"/>
      </w:r>
    </w:p>
    <w:p w14:paraId="781C6309" w14:textId="325A6AD3">
      <w:pPr>
        <w:pStyle w:val="P68B1DB1-Heading24"/>
        <w:numPr>
          <w:ilvl w:val="0"/>
          <w:numId w:val="38"/>
        </w:numPr>
        <w:spacing w:before="0" w:after="0"/>
        <w:jc w:val="center"/>
        <w:rPr>
          <w:bCs/>
          <w:color w:val="auto"/>
        </w:rPr>
      </w:pPr>
      <w:bookmarkStart w:id="199" w:name="_Ref194485197"/>
      <w:bookmarkStart w:id="200" w:name="_Toc203035687"/>
      <w:r>
        <w:t xml:space="preserve">Clarificação quanto ao efeito da inaplicabilidade</w:t>
      </w:r>
      <w:bookmarkEnd w:id="199"/>
      <w:bookmarkEnd w:id="200"/>
    </w:p>
    <w:p w14:paraId="606EC11D" w14:textId="756F529E">
      <w:pPr>
        <w:pStyle w:val="P68B1DB1-Normal15"/>
        <w:widowControl w:val="0"/>
        <w:autoSpaceDE w:val="0"/>
        <w:autoSpaceDN w:val="0"/>
        <w:spacing w:after="0" w:line="240" w:lineRule="auto"/>
        <w:ind w:left="567"/>
        <w:jc w:val="both"/>
        <w:rPr>
          <w:iCs/>
        </w:rPr>
      </w:pPr>
      <w:r>
        <w:t xml:space="preserve">          </w:t>
      </w:r>
    </w:p>
    <w:p w14:paraId="7D2667CD" w14:textId="02A04B70">
      <w:pPr>
        <w:pStyle w:val="P68B1DB1-Normal13"/>
        <w:widowControl w:val="0"/>
        <w:autoSpaceDE w:val="0"/>
        <w:autoSpaceDN w:val="0"/>
        <w:spacing w:after="0" w:line="240" w:lineRule="auto"/>
        <w:jc w:val="both"/>
        <w:outlineLvl w:val="1"/>
      </w:pPr>
      <w:hyperlink r:id="rId111" w:anchor="ctx1" w:history="1">
        <w:r>
          <w:rPr>
            <w:color w:val="0000FF"/>
            <w:u w:val="single"/>
          </w:rPr>
          <w:t xml:space="preserve">Acórdão do Tribunal de Justiça de 11 de junho de 2015</w:t>
        </w:r>
      </w:hyperlink>
      <w:r>
        <w:t xml:space="preserve"> no processo C-98/14, Berlington Hungary e o., n.os 108 e 109.</w:t>
      </w:r>
      <w:bookmarkEnd w:id="201"/>
    </w:p>
    <w:p w14:paraId="4569287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68A195" w14:textId="7B49416F">
      <w:pPr>
        <w:widowControl w:val="0"/>
        <w:tabs>
          <w:tab w:val="left" w:pos="416"/>
        </w:tabs>
        <w:autoSpaceDE w:val="0"/>
        <w:autoSpaceDN w:val="0"/>
        <w:spacing w:after="0" w:line="240" w:lineRule="auto"/>
        <w:jc w:val="both"/>
        <w:rPr>
          <w:rFonts w:ascii="Times New Roman" w:hAnsi="Times New Roman" w:cs="Times New Roman" w:eastAsia="Times New Roman"/>
          <w:szCs w:val="20"/>
        </w:rPr>
        <w:pStyle w:val="P68B1DB1-Normal14"/>
      </w:pPr>
      <w:r>
        <w:t xml:space="preserve">As obrigações de notificação e de suspensão não têm por objeto conferir direitos aos particulares. Por conseguinte, a sua violação por um Estado-Membro não confere, por força do direito da União, o direito de os particulares pedirem a esse Estado-Membro uma indemnização pelos danos daí resultantes.</w:t>
      </w:r>
    </w:p>
    <w:p w14:paraId="3D1B5CA6" w14:textId="77777777">
      <w:pPr>
        <w:widowControl w:val="0"/>
        <w:tabs>
          <w:tab w:val="left" w:pos="416"/>
        </w:tabs>
        <w:autoSpaceDE w:val="0"/>
        <w:autoSpaceDN w:val="0"/>
        <w:spacing w:after="0" w:line="240" w:lineRule="auto"/>
        <w:jc w:val="both"/>
        <w:rPr>
          <w:rFonts w:ascii="Times New Roman" w:hAnsi="Times New Roman" w:cs="Times New Roman" w:eastAsia="Times New Roman"/>
          <w:szCs w:val="20"/>
        </w:rPr>
      </w:pPr>
    </w:p>
    <w:p w14:paraId="689BAE8B" w14:textId="2C62B4CE">
      <w:pPr>
        <w:pStyle w:val="P68B1DB1-Normal15"/>
        <w:widowControl w:val="0"/>
        <w:tabs>
          <w:tab w:val="left" w:pos="416"/>
        </w:tabs>
        <w:autoSpaceDE w:val="0"/>
        <w:autoSpaceDN w:val="0"/>
        <w:spacing w:after="0" w:line="240" w:lineRule="auto"/>
        <w:ind w:left="567"/>
        <w:jc w:val="both"/>
      </w:pPr>
      <w:r>
        <w:t xml:space="preserve">«108. A este respeito, resulta da jurisprudência que, embora a Diretiva 98/34 vise assegurar a livre circulação de mercadorias através da organização de um controlo preventivo cuja eficácia exija a não aplicação, no âmbito de um litígio entre particulares, de uma medida nacional adotada em violação dos seus artigos 8.º e 9.º, esta diretiva não define de modo algum o alcance material da norma jurídica com base na qual o órgão jurisdicional nacional deve decidir o litígio que lhe foi submetido. Assim, esta diretiva não cria direitos nem obrigações para os particulares (Acórdão Unilever, C-443/98, n.º 51).</w:t>
      </w:r>
    </w:p>
    <w:p w14:paraId="3783F5A5" w14:textId="77777777">
      <w:pPr>
        <w:pStyle w:val="P68B1DB1-Normal15"/>
        <w:widowControl w:val="0"/>
        <w:tabs>
          <w:tab w:val="left" w:pos="416"/>
        </w:tabs>
        <w:autoSpaceDE w:val="0"/>
        <w:autoSpaceDN w:val="0"/>
        <w:spacing w:after="0" w:line="240" w:lineRule="auto"/>
        <w:ind w:left="567"/>
        <w:jc w:val="both"/>
      </w:pPr>
    </w:p>
    <w:p w14:paraId="6B92FF8B" w14:textId="78BC6D0C">
      <w:pPr>
        <w:pStyle w:val="P68B1DB1-Normal15"/>
        <w:widowControl w:val="0"/>
        <w:tabs>
          <w:tab w:val="left" w:pos="416"/>
        </w:tabs>
        <w:autoSpaceDE w:val="0"/>
        <w:autoSpaceDN w:val="0"/>
        <w:spacing w:after="0" w:line="240" w:lineRule="auto"/>
        <w:ind w:left="567"/>
        <w:jc w:val="both"/>
        <w:rPr>
          <w:iCs/>
        </w:rPr>
      </w:pPr>
      <w:r>
        <w:t xml:space="preserve">109. Nestas condições, há que considerar que o primeiro dos requisitos enumerados no n.º 104 não está preenchido, pelo que os particulares não podem invocar a violação dos artigos 8.º e 9.º desta diretiva para desencadear a responsabilidade do Estado-Membro em causa com base no direito da União.»</w:t>
      </w:r>
    </w:p>
    <w:p w14:paraId="73CEA11C" w14:textId="62A8886A">
      <w:pPr>
        <w:pStyle w:val="P68B1DB1-Normal29"/>
        <w:spacing w:after="0" w:line="240" w:lineRule="auto"/>
        <w:rPr>
          <w:i/>
          <w:iCs/>
        </w:rPr>
      </w:pPr>
      <w:r>
        <w:br w:type="page"/>
      </w:r>
    </w:p>
    <w:p w14:paraId="1EE58DB8" w14:textId="063FB854">
      <w:pPr>
        <w:pStyle w:val="P68B1DB1-Heading24"/>
        <w:numPr>
          <w:ilvl w:val="0"/>
          <w:numId w:val="38"/>
        </w:numPr>
        <w:spacing w:before="0" w:after="0"/>
        <w:jc w:val="center"/>
        <w:rPr>
          <w:bCs/>
          <w:color w:val="auto"/>
        </w:rPr>
      </w:pPr>
      <w:bookmarkStart w:id="202" w:name="_Ref194943555"/>
      <w:bookmarkStart w:id="203" w:name="_Toc198043914"/>
      <w:bookmarkStart w:id="204" w:name="_Toc203035688"/>
      <w:r>
        <w:t xml:space="preserve">Procedimento de infração</w:t>
      </w:r>
      <w:bookmarkEnd w:id="202"/>
      <w:bookmarkEnd w:id="203"/>
      <w:bookmarkEnd w:id="204"/>
    </w:p>
    <w:p w14:paraId="7CCCC14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2B64A1E" w14:textId="69A5682B">
      <w:pPr>
        <w:pStyle w:val="P68B1DB1-Normal13"/>
        <w:widowControl w:val="0"/>
        <w:autoSpaceDE w:val="0"/>
        <w:autoSpaceDN w:val="0"/>
        <w:spacing w:after="0" w:line="240" w:lineRule="auto"/>
        <w:jc w:val="both"/>
        <w:outlineLvl w:val="1"/>
      </w:pPr>
      <w:hyperlink r:id="rId112" w:history="1">
        <w:r>
          <w:rPr>
            <w:color w:val="0000FF"/>
            <w:u w:val="single"/>
          </w:rPr>
          <w:t xml:space="preserve">Acórdão do Tribunal de Justiça de 4 de junho de 2009</w:t>
        </w:r>
      </w:hyperlink>
      <w:r>
        <w:t xml:space="preserve"> no processo C-109/08, Comissão/Grécia, n.os 14 a 17.</w:t>
      </w:r>
      <w:bookmarkEnd w:id="205"/>
    </w:p>
    <w:p w14:paraId="764614BF" w14:textId="77777777">
      <w:pPr>
        <w:widowControl w:val="0"/>
        <w:autoSpaceDE w:val="0"/>
        <w:autoSpaceDN w:val="0"/>
        <w:spacing w:after="0" w:line="240" w:lineRule="auto"/>
        <w:jc w:val="both"/>
        <w:rPr>
          <w:rFonts w:ascii="Times New Roman" w:hAnsi="Times New Roman" w:cs="Times New Roman" w:eastAsia="Times New Roman"/>
          <w:szCs w:val="20"/>
        </w:rPr>
      </w:pPr>
    </w:p>
    <w:p w14:paraId="2AE57DC7" w14:textId="4EB830F5">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Um acórdão do Tribunal de Justiça que declare o incumprimento da obrigação de notificação deve ser imediatamente executado, a fim de assegurar a aplicação uniforme do direito da União. A questão da existência de tal incumprimento nos termos do artigo 228.º CE é apreciada no termo do prazo fixado no parecer fundamentado. No caso em apreço, não tendo a Grécia tomado medidas antes do termo do prazo fixado, não cumpriu as obrigações que lhe incumbem por força do artigo 228.º, n.º 1, CE.</w:t>
      </w:r>
    </w:p>
    <w:p w14:paraId="09B61ED9" w14:textId="77777777">
      <w:pPr>
        <w:widowControl w:val="0"/>
        <w:autoSpaceDE w:val="0"/>
        <w:autoSpaceDN w:val="0"/>
        <w:spacing w:after="0" w:line="240" w:lineRule="auto"/>
        <w:jc w:val="both"/>
        <w:rPr>
          <w:rFonts w:ascii="Times New Roman" w:hAnsi="Times New Roman" w:cs="Times New Roman" w:eastAsia="Times New Roman"/>
          <w:szCs w:val="20"/>
        </w:rPr>
      </w:pPr>
    </w:p>
    <w:p w14:paraId="387679BD" w14:textId="0C49733C">
      <w:pPr>
        <w:spacing w:after="0" w:line="240" w:lineRule="auto"/>
        <w:ind w:left="567"/>
        <w:jc w:val="both"/>
        <w:rPr>
          <w:rFonts w:ascii="Times New Roman" w:hAnsi="Times New Roman" w:cs="Times New Roman"/>
          <w:i/>
          <w:iCs/>
          <w:sz w:val="20"/>
          <w:szCs w:val="20"/>
        </w:rPr>
        <w:pStyle w:val="P68B1DB1-Normal20"/>
      </w:pPr>
      <w:r>
        <w:t>«</w:t>
      </w:r>
      <w:bookmarkStart w:id="206" w:name="point14"/>
      <w:r>
        <w:t>14</w:t>
      </w:r>
      <w:bookmarkEnd w:id="206"/>
      <w:r>
        <w:t xml:space="preserve">. Embora o artigo 228.º CE não especifique o prazo em que deve ser dado cumprimento a um acórdão do Tribunal de Justiça que declare a existência de um incumprimento, resulta de jurisprudência assente que a importância de uma aplicação imediata e uniforme do direito comunitário implica que o processo de execução deve ser iniciado imediatamente e concluído o mais rapidamente possível (v., nomeadamente, acórdão de 2008 de março</w:t>
        <w:noBreakHyphen/>
        <w:t xml:space="preserve">de 0000, Comissão/França, C-121/07, Colet., p. I-21, n.o</w:t>
        <w:noBreakHyphen/>
        <w:t xml:space="preserve">e jurisprudência citada).</w:t>
      </w:r>
    </w:p>
    <w:p w14:paraId="79FE7B6A" w14:textId="77777777">
      <w:pPr>
        <w:spacing w:after="0" w:line="240" w:lineRule="auto"/>
        <w:ind w:left="567"/>
        <w:jc w:val="both"/>
        <w:rPr>
          <w:rFonts w:ascii="Times New Roman" w:hAnsi="Times New Roman" w:cs="Times New Roman"/>
          <w:i/>
          <w:iCs/>
          <w:sz w:val="20"/>
          <w:szCs w:val="20"/>
        </w:rPr>
      </w:pPr>
    </w:p>
    <w:p w14:paraId="34290D7F" w14:textId="2B2B8F25">
      <w:pPr>
        <w:spacing w:after="0" w:line="240" w:lineRule="auto"/>
        <w:ind w:left="567"/>
        <w:jc w:val="both"/>
        <w:rPr>
          <w:rFonts w:ascii="Times New Roman" w:hAnsi="Times New Roman" w:cs="Times New Roman"/>
          <w:i/>
          <w:iCs/>
          <w:sz w:val="20"/>
          <w:szCs w:val="20"/>
        </w:rPr>
        <w:pStyle w:val="P68B1DB1-Normal20"/>
      </w:pPr>
      <w:bookmarkStart w:id="207" w:name="point15"/>
      <w:r>
        <w:t>15</w:t>
      </w:r>
      <w:bookmarkEnd w:id="207"/>
      <w:r>
        <w:t xml:space="preserve">. Além disso, a data de referência para apreciar a existência de um incumprimento nos termos do artigo 228.º CE é a do termo do prazo fixado no parecer fundamentado emitido nos termos desta disposição (v., designadamente, acórdão de 2007 de julho de 6153, Comissão/Alemanha</w:t>
        <w:noBreakHyphen/>
        <w:t xml:space="preserve">, 503/04, Colet</w:t>
        <w:noBreakHyphen/>
        <w:t xml:space="preserve">., p. I-19, n.o</w:t>
        <w:noBreakHyphen/>
        <w:t xml:space="preserve">e jurisprudência citada).</w:t>
      </w:r>
    </w:p>
    <w:p w14:paraId="473BFE9F" w14:textId="77777777">
      <w:pPr>
        <w:spacing w:after="0" w:line="240" w:lineRule="auto"/>
        <w:ind w:left="567"/>
        <w:jc w:val="both"/>
        <w:rPr>
          <w:rFonts w:ascii="Times New Roman" w:hAnsi="Times New Roman" w:cs="Times New Roman"/>
          <w:i/>
          <w:iCs/>
          <w:sz w:val="20"/>
          <w:szCs w:val="20"/>
        </w:rPr>
      </w:pPr>
    </w:p>
    <w:p w14:paraId="25F77FB4" w14:textId="525C8130">
      <w:pPr>
        <w:spacing w:after="0" w:line="240" w:lineRule="auto"/>
        <w:ind w:left="567"/>
        <w:jc w:val="both"/>
        <w:rPr>
          <w:rFonts w:ascii="Times New Roman" w:hAnsi="Times New Roman" w:cs="Times New Roman"/>
          <w:i/>
          <w:iCs/>
          <w:sz w:val="20"/>
          <w:szCs w:val="20"/>
        </w:rPr>
        <w:pStyle w:val="P68B1DB1-Normal20"/>
      </w:pPr>
      <w:bookmarkStart w:id="208" w:name="point16"/>
      <w:r>
        <w:t>16</w:t>
      </w:r>
      <w:bookmarkEnd w:id="208"/>
      <w:r>
        <w:t xml:space="preserve">. No caso em apreço, é manifesto que, à data do termo do prazo de dois meses fixado no parecer fundamentado de 29 de junho de 2007, a República Helénica não tinha tomado nenhuma das medidas necessárias à execução do acórdão</w:t>
        <w:noBreakHyphen/>
        <w:t xml:space="preserve">Comissão/Grécia (65/05), uma vez que o projeto de uma primeira medida destinada a dar cumprimento a esse acórdão só foi notificado à Comissão em 7 de maio de 2008.</w:t>
      </w:r>
    </w:p>
    <w:p w14:paraId="42C25375" w14:textId="77777777">
      <w:pPr>
        <w:spacing w:after="0" w:line="240" w:lineRule="auto"/>
        <w:ind w:left="567"/>
        <w:jc w:val="both"/>
        <w:rPr>
          <w:rFonts w:ascii="Times New Roman" w:hAnsi="Times New Roman" w:cs="Times New Roman"/>
          <w:i/>
          <w:iCs/>
          <w:sz w:val="20"/>
          <w:szCs w:val="20"/>
        </w:rPr>
      </w:pPr>
    </w:p>
    <w:p w14:paraId="4F21B78F" w14:textId="2C79CD2A">
      <w:pPr>
        <w:spacing w:after="0" w:line="240" w:lineRule="auto"/>
        <w:ind w:left="567"/>
        <w:jc w:val="both"/>
        <w:rPr>
          <w:rFonts w:ascii="Times New Roman" w:hAnsi="Times New Roman" w:cs="Times New Roman"/>
          <w:i/>
          <w:iCs/>
          <w:sz w:val="20"/>
          <w:szCs w:val="20"/>
        </w:rPr>
        <w:pStyle w:val="P68B1DB1-Normal20"/>
      </w:pPr>
      <w:bookmarkStart w:id="209" w:name="point17"/>
      <w:r>
        <w:t>17</w:t>
      </w:r>
      <w:bookmarkEnd w:id="209"/>
      <w:r>
        <w:t xml:space="preserve">. Nestas condições, há que declarar que, como ela própria reconhece, a República Helénica não cumpriu as obrigações que lhe incumbem por força do artigo 228.º, n.º 1, CE.»</w:t>
      </w:r>
    </w:p>
    <w:sectPr>
      <w:headerReference w:type="even" r:id="rId113"/>
      <w:headerReference w:type="default" r:id="rId114"/>
      <w:footerReference w:type="even" r:id="rId115"/>
      <w:footerReference w:type="default" r:id="rId116"/>
      <w:headerReference w:type="first" r:id="rId117"/>
      <w:footerReference w:type="first" r:id="rId1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2E30" w14:textId="77777777">
      <w:pPr>
        <w:spacing w:after="0" w:line="240" w:lineRule="auto"/>
      </w:pPr>
      <w:r>
        <w:separator/>
      </w:r>
    </w:p>
  </w:endnote>
  <w:endnote w:type="continuationSeparator" w:id="0">
    <w:p w14:paraId="42F9C4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6B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162115"/>
      <w:docPartObj>
        <w:docPartGallery w:val="Page Numbers (Bottom of Page)"/>
        <w:docPartUnique/>
      </w:docPartObj>
    </w:sdtPr>
    <w:sdtEndPr>
      <w:rPr>
        <w:noProof/>
      </w:rPr>
    </w:sdtEndPr>
    <w:sdtContent>
      <w:p w14:paraId="169A474F" w14:textId="1212D73C">
        <w:pPr>
          <w:pStyle w:val="Footer"/>
          <w:jc w:val="center"/>
        </w:pPr>
        <w:r>
          <w:fldChar w:fldCharType="begin"/>
        </w:r>
        <w:r>
          <w:instrText xml:space="preserve"> PAGE   \* MERGEFORMAT </w:instrText>
        </w:r>
        <w:r>
          <w:fldChar w:fldCharType="separate"/>
        </w:r>
        <w:r>
          <w:t>2</w:t>
        </w:r>
        <w:r>
          <w:fldChar w:fldCharType="end"/>
        </w:r>
      </w:p>
    </w:sdtContent>
  </w:sdt>
  <w:p w14:paraId="3E6C88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91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A389" w14:textId="77777777">
      <w:pPr>
        <w:spacing w:after="0" w:line="240" w:lineRule="auto"/>
      </w:pPr>
      <w:r>
        <w:separator/>
      </w:r>
    </w:p>
  </w:footnote>
  <w:footnote w:type="continuationSeparator" w:id="0">
    <w:p w14:paraId="415CF120" w14:textId="77777777">
      <w:pPr>
        <w:spacing w:after="0" w:line="240" w:lineRule="auto"/>
      </w:pPr>
      <w:r>
        <w:continuationSeparator/>
      </w:r>
    </w:p>
  </w:footnote>
  <w:footnote w:id="1">
    <w:p w14:paraId="1FA0C861" w14:textId="399A73E6">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A comparação entre a Diretiva 2015/1535 e a Diretiva 83/189/CEE baseia-se nos atos originais não alterados, ao passo que a comparação da Diretiva 98/34/CE se baseia na versão alterada pela Diretiva 98/48/CE, de 20 de julho de 1998.</w:t>
      </w:r>
    </w:p>
  </w:footnote>
  <w:footnote w:id="2">
    <w:p w14:paraId="76340588" w14:textId="755D0E80">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Diretiva (UE) 2015/1535 do Parlamento Europeu e do Conselho, de 9 de setembro de 2015, relativa a um procedimento de informação no domínio das regulamentações técnicas e das regras relativas aos serviços da sociedade da informação (codificação)</w:t>
      </w:r>
    </w:p>
  </w:footnote>
  <w:footnote w:id="3">
    <w:p w14:paraId="44C51982" w14:textId="0D8DBE21">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Diretiva 98/34/CE do Parlamento Europeu e do Conselho, de 22 de junho de 1998, relativa a um procedimento de informação no domínio das normas e regulamentações técnicas, com a redação que lhe foi dada pela Diretiva 98/48/CE, de 20 de julho de 1998 (incluindo regras relativas aos serviços)</w:t>
      </w:r>
    </w:p>
  </w:footnote>
  <w:footnote w:id="4">
    <w:p w14:paraId="587067AB" w14:textId="06FBABC3">
      <w:pPr>
        <w:pStyle w:val="FootnoteText"/>
        <w:jc w:val="both"/>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Diretiva 83/189/CEE do Conselho, de 28 de março de 1983, relativa a um procedimento de informação no domínio das normas e regulamentações técnicas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FD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9FF6" w14:textId="236766A6">
    <w:pPr>
      <w:pStyle w:val="P68B1DB1-Title1"/>
      <w:spacing w:before="0"/>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B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25A"/>
    <w:multiLevelType w:val="hybridMultilevel"/>
    <w:tmpl w:val="010ED82C"/>
    <w:lvl w:ilvl="0" w:tplc="F5D80FDE">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AF1625A"/>
    <w:multiLevelType w:val="hybridMultilevel"/>
    <w:tmpl w:val="A2B2F5CC"/>
    <w:lvl w:ilvl="0" w:tplc="20CA2DBA">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DC43F72"/>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9310EC"/>
    <w:multiLevelType w:val="hybridMultilevel"/>
    <w:tmpl w:val="0C2EB568"/>
    <w:lvl w:ilvl="0" w:tplc="7E12F6AE">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67F49A9"/>
    <w:multiLevelType w:val="hybridMultilevel"/>
    <w:tmpl w:val="5B0068A6"/>
    <w:lvl w:ilvl="0" w:tplc="3A24D51C">
      <w:start w:val="1"/>
      <w:numFmt w:val="decimal"/>
      <w:lvlText w:val="%1)"/>
      <w:lvlJc w:val="left"/>
      <w:pPr>
        <w:ind w:left="1020" w:hanging="360"/>
      </w:pPr>
    </w:lvl>
    <w:lvl w:ilvl="1" w:tplc="125A5C02">
      <w:start w:val="1"/>
      <w:numFmt w:val="decimal"/>
      <w:lvlText w:val="%2)"/>
      <w:lvlJc w:val="left"/>
      <w:pPr>
        <w:ind w:left="1020" w:hanging="360"/>
      </w:pPr>
    </w:lvl>
    <w:lvl w:ilvl="2" w:tplc="1AFA6D0C">
      <w:start w:val="1"/>
      <w:numFmt w:val="decimal"/>
      <w:lvlText w:val="%3)"/>
      <w:lvlJc w:val="left"/>
      <w:pPr>
        <w:ind w:left="1020" w:hanging="360"/>
      </w:pPr>
    </w:lvl>
    <w:lvl w:ilvl="3" w:tplc="CBDAF276">
      <w:start w:val="1"/>
      <w:numFmt w:val="decimal"/>
      <w:lvlText w:val="%4)"/>
      <w:lvlJc w:val="left"/>
      <w:pPr>
        <w:ind w:left="1020" w:hanging="360"/>
      </w:pPr>
    </w:lvl>
    <w:lvl w:ilvl="4" w:tplc="2166B310">
      <w:start w:val="1"/>
      <w:numFmt w:val="decimal"/>
      <w:lvlText w:val="%5)"/>
      <w:lvlJc w:val="left"/>
      <w:pPr>
        <w:ind w:left="1020" w:hanging="360"/>
      </w:pPr>
    </w:lvl>
    <w:lvl w:ilvl="5" w:tplc="04D0DE84">
      <w:start w:val="1"/>
      <w:numFmt w:val="decimal"/>
      <w:lvlText w:val="%6)"/>
      <w:lvlJc w:val="left"/>
      <w:pPr>
        <w:ind w:left="1020" w:hanging="360"/>
      </w:pPr>
    </w:lvl>
    <w:lvl w:ilvl="6" w:tplc="1E228612">
      <w:start w:val="1"/>
      <w:numFmt w:val="decimal"/>
      <w:lvlText w:val="%7)"/>
      <w:lvlJc w:val="left"/>
      <w:pPr>
        <w:ind w:left="1020" w:hanging="360"/>
      </w:pPr>
    </w:lvl>
    <w:lvl w:ilvl="7" w:tplc="D7021F9C">
      <w:start w:val="1"/>
      <w:numFmt w:val="decimal"/>
      <w:lvlText w:val="%8)"/>
      <w:lvlJc w:val="left"/>
      <w:pPr>
        <w:ind w:left="1020" w:hanging="360"/>
      </w:pPr>
    </w:lvl>
    <w:lvl w:ilvl="8" w:tplc="1A70A482">
      <w:start w:val="1"/>
      <w:numFmt w:val="decimal"/>
      <w:lvlText w:val="%9)"/>
      <w:lvlJc w:val="left"/>
      <w:pPr>
        <w:ind w:left="1020" w:hanging="360"/>
      </w:pPr>
    </w:lvl>
  </w:abstractNum>
  <w:abstractNum w:abstractNumId="5" w15:restartNumberingAfterBreak="0">
    <w:nsid w:val="16C372E0"/>
    <w:multiLevelType w:val="hybridMultilevel"/>
    <w:tmpl w:val="F2F082AA"/>
    <w:lvl w:ilvl="0" w:tplc="0FDE36C8">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175D724D"/>
    <w:multiLevelType w:val="hybridMultilevel"/>
    <w:tmpl w:val="FE303218"/>
    <w:lvl w:ilvl="0" w:tplc="B44444F0">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 w15:restartNumberingAfterBreak="0">
    <w:nsid w:val="17A252B1"/>
    <w:multiLevelType w:val="hybridMultilevel"/>
    <w:tmpl w:val="936870D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021F90"/>
    <w:multiLevelType w:val="hybridMultilevel"/>
    <w:tmpl w:val="BAFE4132"/>
    <w:lvl w:ilvl="0" w:tplc="7F08DD2E">
      <w:start w:val="4"/>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F426828"/>
    <w:multiLevelType w:val="hybridMultilevel"/>
    <w:tmpl w:val="EF5AD44C"/>
    <w:lvl w:ilvl="0" w:tplc="33F6B108">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0" w15:restartNumberingAfterBreak="0">
    <w:nsid w:val="21D2371B"/>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28E67F7"/>
    <w:multiLevelType w:val="hybridMultilevel"/>
    <w:tmpl w:val="825EF55E"/>
    <w:lvl w:ilvl="0" w:tplc="E1C26E36">
      <w:start w:val="2"/>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682F2F"/>
    <w:multiLevelType w:val="hybridMultilevel"/>
    <w:tmpl w:val="6242F30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F42A0D"/>
    <w:multiLevelType w:val="hybridMultilevel"/>
    <w:tmpl w:val="AEB26076"/>
    <w:lvl w:ilvl="0" w:tplc="5A141406">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 w15:restartNumberingAfterBreak="0">
    <w:nsid w:val="2D025A04"/>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DC75B28"/>
    <w:multiLevelType w:val="hybridMultilevel"/>
    <w:tmpl w:val="59601DDA"/>
    <w:lvl w:ilvl="0" w:tplc="1A00D246">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6" w15:restartNumberingAfterBreak="0">
    <w:nsid w:val="2F6B6AB7"/>
    <w:multiLevelType w:val="hybridMultilevel"/>
    <w:tmpl w:val="D0AC01D8"/>
    <w:lvl w:ilvl="0" w:tplc="91B8A490">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35303A9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7296099"/>
    <w:multiLevelType w:val="hybridMultilevel"/>
    <w:tmpl w:val="2A705CA2"/>
    <w:lvl w:ilvl="0" w:tplc="7F08DD2E">
      <w:start w:val="1"/>
      <w:numFmt w:val="lowerLetter"/>
      <w:lvlText w:val="%1."/>
      <w:lvlJc w:val="left"/>
      <w:pPr>
        <w:ind w:left="1440" w:hanging="360"/>
      </w:pPr>
      <w:rPr>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3415B6"/>
    <w:multiLevelType w:val="hybridMultilevel"/>
    <w:tmpl w:val="B554F348"/>
    <w:lvl w:ilvl="0" w:tplc="15F4A3B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0" w15:restartNumberingAfterBreak="0">
    <w:nsid w:val="37B979D4"/>
    <w:multiLevelType w:val="hybridMultilevel"/>
    <w:tmpl w:val="2B5A74C2"/>
    <w:lvl w:ilvl="0" w:tplc="7D78FE44">
      <w:start w:val="5"/>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41841F32"/>
    <w:multiLevelType w:val="hybridMultilevel"/>
    <w:tmpl w:val="43346CB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390360F"/>
    <w:multiLevelType w:val="hybridMultilevel"/>
    <w:tmpl w:val="4A62FD58"/>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51601A36"/>
    <w:multiLevelType w:val="hybridMultilevel"/>
    <w:tmpl w:val="3022F154"/>
    <w:lvl w:ilvl="0" w:tplc="CF547ED6">
      <w:start w:val="1"/>
      <w:numFmt w:val="upperRoman"/>
      <w:lvlText w:val="%1."/>
      <w:lvlJc w:val="left"/>
      <w:pPr>
        <w:ind w:left="1080" w:hanging="720"/>
      </w:pPr>
      <w:rPr>
        <w:rFonts w:hint="default"/>
        <w:sz w:val="40"/>
        <w:szCs w:val="4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D04C1A"/>
    <w:multiLevelType w:val="hybridMultilevel"/>
    <w:tmpl w:val="D334EE56"/>
    <w:lvl w:ilvl="0" w:tplc="A4560BD8">
      <w:start w:val="1"/>
      <w:numFmt w:val="upperRoman"/>
      <w:lvlText w:val="%1."/>
      <w:lvlJc w:val="left"/>
      <w:pPr>
        <w:ind w:left="2715" w:hanging="720"/>
      </w:pPr>
      <w:rPr>
        <w:rFonts w:hint="default"/>
      </w:rPr>
    </w:lvl>
    <w:lvl w:ilvl="1" w:tplc="18090019" w:tentative="1">
      <w:start w:val="1"/>
      <w:numFmt w:val="lowerLetter"/>
      <w:lvlText w:val="%2."/>
      <w:lvlJc w:val="left"/>
      <w:pPr>
        <w:ind w:left="3075" w:hanging="360"/>
      </w:pPr>
    </w:lvl>
    <w:lvl w:ilvl="2" w:tplc="1809001B" w:tentative="1">
      <w:start w:val="1"/>
      <w:numFmt w:val="lowerRoman"/>
      <w:lvlText w:val="%3."/>
      <w:lvlJc w:val="right"/>
      <w:pPr>
        <w:ind w:left="3795" w:hanging="180"/>
      </w:pPr>
    </w:lvl>
    <w:lvl w:ilvl="3" w:tplc="1809000F" w:tentative="1">
      <w:start w:val="1"/>
      <w:numFmt w:val="decimal"/>
      <w:lvlText w:val="%4."/>
      <w:lvlJc w:val="left"/>
      <w:pPr>
        <w:ind w:left="4515" w:hanging="360"/>
      </w:pPr>
    </w:lvl>
    <w:lvl w:ilvl="4" w:tplc="18090019" w:tentative="1">
      <w:start w:val="1"/>
      <w:numFmt w:val="lowerLetter"/>
      <w:lvlText w:val="%5."/>
      <w:lvlJc w:val="left"/>
      <w:pPr>
        <w:ind w:left="5235" w:hanging="360"/>
      </w:pPr>
    </w:lvl>
    <w:lvl w:ilvl="5" w:tplc="1809001B" w:tentative="1">
      <w:start w:val="1"/>
      <w:numFmt w:val="lowerRoman"/>
      <w:lvlText w:val="%6."/>
      <w:lvlJc w:val="right"/>
      <w:pPr>
        <w:ind w:left="5955" w:hanging="180"/>
      </w:pPr>
    </w:lvl>
    <w:lvl w:ilvl="6" w:tplc="1809000F" w:tentative="1">
      <w:start w:val="1"/>
      <w:numFmt w:val="decimal"/>
      <w:lvlText w:val="%7."/>
      <w:lvlJc w:val="left"/>
      <w:pPr>
        <w:ind w:left="6675" w:hanging="360"/>
      </w:pPr>
    </w:lvl>
    <w:lvl w:ilvl="7" w:tplc="18090019" w:tentative="1">
      <w:start w:val="1"/>
      <w:numFmt w:val="lowerLetter"/>
      <w:lvlText w:val="%8."/>
      <w:lvlJc w:val="left"/>
      <w:pPr>
        <w:ind w:left="7395" w:hanging="360"/>
      </w:pPr>
    </w:lvl>
    <w:lvl w:ilvl="8" w:tplc="1809001B" w:tentative="1">
      <w:start w:val="1"/>
      <w:numFmt w:val="lowerRoman"/>
      <w:lvlText w:val="%9."/>
      <w:lvlJc w:val="right"/>
      <w:pPr>
        <w:ind w:left="8115" w:hanging="180"/>
      </w:pPr>
    </w:lvl>
  </w:abstractNum>
  <w:abstractNum w:abstractNumId="25" w15:restartNumberingAfterBreak="0">
    <w:nsid w:val="562A56D8"/>
    <w:multiLevelType w:val="hybridMultilevel"/>
    <w:tmpl w:val="B1C08C96"/>
    <w:lvl w:ilvl="0" w:tplc="8DE862CC">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6" w15:restartNumberingAfterBreak="0">
    <w:nsid w:val="58835420"/>
    <w:multiLevelType w:val="hybridMultilevel"/>
    <w:tmpl w:val="3B7A2A46"/>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5A900DE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68261C9"/>
    <w:multiLevelType w:val="hybridMultilevel"/>
    <w:tmpl w:val="FC82B53A"/>
    <w:lvl w:ilvl="0" w:tplc="35C2C75E">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6B796262"/>
    <w:multiLevelType w:val="hybridMultilevel"/>
    <w:tmpl w:val="80723CDA"/>
    <w:lvl w:ilvl="0" w:tplc="295CF590">
      <w:start w:val="1"/>
      <w:numFmt w:val="upperRoman"/>
      <w:lvlText w:val="%1)"/>
      <w:lvlJc w:val="left"/>
      <w:pPr>
        <w:ind w:left="1080" w:hanging="720"/>
      </w:pPr>
      <w:rPr>
        <w:rFonts w:hint="default"/>
      </w:rPr>
    </w:lvl>
    <w:lvl w:ilvl="1" w:tplc="D658AE2E">
      <w:start w:val="1"/>
      <w:numFmt w:val="lowerLetter"/>
      <w:lvlText w:val="%2."/>
      <w:lvlJc w:val="left"/>
      <w:pPr>
        <w:ind w:left="1440" w:hanging="360"/>
      </w:pPr>
      <w:rPr>
        <w:b w:val="0"/>
        <w:bCs w:val="0"/>
        <w:i w:val="0"/>
        <w:iCs w:val="0"/>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D4B2126"/>
    <w:multiLevelType w:val="hybridMultilevel"/>
    <w:tmpl w:val="41F6FC34"/>
    <w:lvl w:ilvl="0" w:tplc="20302D40">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6D6D3A31"/>
    <w:multiLevelType w:val="hybridMultilevel"/>
    <w:tmpl w:val="34CCDBBE"/>
    <w:lvl w:ilvl="0" w:tplc="FFFFFFFF">
      <w:start w:val="1"/>
      <w:numFmt w:val="lowerLetter"/>
      <w:lvlText w:val="%1."/>
      <w:lvlJc w:val="left"/>
      <w:pPr>
        <w:ind w:left="21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DA4040B"/>
    <w:multiLevelType w:val="hybridMultilevel"/>
    <w:tmpl w:val="9DBCA204"/>
    <w:lvl w:ilvl="0" w:tplc="075CAACA">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3" w15:restartNumberingAfterBreak="0">
    <w:nsid w:val="6F6B2BDA"/>
    <w:multiLevelType w:val="hybridMultilevel"/>
    <w:tmpl w:val="1A6CE3C2"/>
    <w:lvl w:ilvl="0" w:tplc="0B227E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4" w15:restartNumberingAfterBreak="0">
    <w:nsid w:val="6FD45B5F"/>
    <w:multiLevelType w:val="hybridMultilevel"/>
    <w:tmpl w:val="BA76F484"/>
    <w:lvl w:ilvl="0" w:tplc="5B6842F8">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5" w15:restartNumberingAfterBreak="0">
    <w:nsid w:val="72EA3F19"/>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7C64A56"/>
    <w:multiLevelType w:val="hybridMultilevel"/>
    <w:tmpl w:val="34DAEC8C"/>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7DA32368"/>
    <w:multiLevelType w:val="hybridMultilevel"/>
    <w:tmpl w:val="17CEBB6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89067590">
    <w:abstractNumId w:val="29"/>
  </w:num>
  <w:num w:numId="2" w16cid:durableId="1149712612">
    <w:abstractNumId w:val="22"/>
  </w:num>
  <w:num w:numId="3" w16cid:durableId="522597413">
    <w:abstractNumId w:val="18"/>
  </w:num>
  <w:num w:numId="4" w16cid:durableId="131093797">
    <w:abstractNumId w:val="3"/>
  </w:num>
  <w:num w:numId="5" w16cid:durableId="930895856">
    <w:abstractNumId w:val="8"/>
  </w:num>
  <w:num w:numId="6" w16cid:durableId="859314359">
    <w:abstractNumId w:val="26"/>
  </w:num>
  <w:num w:numId="7" w16cid:durableId="222370173">
    <w:abstractNumId w:val="33"/>
  </w:num>
  <w:num w:numId="8" w16cid:durableId="2057385159">
    <w:abstractNumId w:val="36"/>
  </w:num>
  <w:num w:numId="9" w16cid:durableId="1794322050">
    <w:abstractNumId w:val="0"/>
  </w:num>
  <w:num w:numId="10" w16cid:durableId="3677297">
    <w:abstractNumId w:val="17"/>
  </w:num>
  <w:num w:numId="11" w16cid:durableId="1485776725">
    <w:abstractNumId w:val="10"/>
  </w:num>
  <w:num w:numId="12" w16cid:durableId="882793964">
    <w:abstractNumId w:val="2"/>
  </w:num>
  <w:num w:numId="13" w16cid:durableId="1924220346">
    <w:abstractNumId w:val="35"/>
  </w:num>
  <w:num w:numId="14" w16cid:durableId="407272038">
    <w:abstractNumId w:val="14"/>
  </w:num>
  <w:num w:numId="15" w16cid:durableId="402528430">
    <w:abstractNumId w:val="27"/>
  </w:num>
  <w:num w:numId="16" w16cid:durableId="2008940943">
    <w:abstractNumId w:val="31"/>
  </w:num>
  <w:num w:numId="17" w16cid:durableId="29764232">
    <w:abstractNumId w:val="24"/>
  </w:num>
  <w:num w:numId="18" w16cid:durableId="1598323702">
    <w:abstractNumId w:val="11"/>
  </w:num>
  <w:num w:numId="19" w16cid:durableId="894586789">
    <w:abstractNumId w:val="20"/>
  </w:num>
  <w:num w:numId="20" w16cid:durableId="935164786">
    <w:abstractNumId w:val="19"/>
  </w:num>
  <w:num w:numId="21" w16cid:durableId="1832065826">
    <w:abstractNumId w:val="9"/>
  </w:num>
  <w:num w:numId="22" w16cid:durableId="576403216">
    <w:abstractNumId w:val="28"/>
  </w:num>
  <w:num w:numId="23" w16cid:durableId="539055433">
    <w:abstractNumId w:val="5"/>
  </w:num>
  <w:num w:numId="24" w16cid:durableId="958028667">
    <w:abstractNumId w:val="6"/>
  </w:num>
  <w:num w:numId="25" w16cid:durableId="1079519155">
    <w:abstractNumId w:val="13"/>
  </w:num>
  <w:num w:numId="26" w16cid:durableId="1120418109">
    <w:abstractNumId w:val="30"/>
  </w:num>
  <w:num w:numId="27" w16cid:durableId="153690731">
    <w:abstractNumId w:val="15"/>
  </w:num>
  <w:num w:numId="28" w16cid:durableId="1952590443">
    <w:abstractNumId w:val="32"/>
  </w:num>
  <w:num w:numId="29" w16cid:durableId="893469427">
    <w:abstractNumId w:val="34"/>
  </w:num>
  <w:num w:numId="30" w16cid:durableId="596908438">
    <w:abstractNumId w:val="16"/>
  </w:num>
  <w:num w:numId="31" w16cid:durableId="995496117">
    <w:abstractNumId w:val="1"/>
  </w:num>
  <w:num w:numId="32" w16cid:durableId="1634409818">
    <w:abstractNumId w:val="4"/>
  </w:num>
  <w:num w:numId="33" w16cid:durableId="750465225">
    <w:abstractNumId w:val="25"/>
  </w:num>
  <w:num w:numId="34" w16cid:durableId="1072579241">
    <w:abstractNumId w:val="23"/>
  </w:num>
  <w:num w:numId="35" w16cid:durableId="1444232820">
    <w:abstractNumId w:val="21"/>
  </w:num>
  <w:num w:numId="36" w16cid:durableId="1960531220">
    <w:abstractNumId w:val="12"/>
  </w:num>
  <w:num w:numId="37" w16cid:durableId="2066171962">
    <w:abstractNumId w:val="37"/>
  </w:num>
  <w:num w:numId="38" w16cid:durableId="165093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36EB0"/>
    <w:rsid w:val="00040F59"/>
    <w:rsid w:val="00041401"/>
    <w:rsid w:val="000421A2"/>
    <w:rsid w:val="0007551C"/>
    <w:rsid w:val="00093525"/>
    <w:rsid w:val="000A18C4"/>
    <w:rsid w:val="000A1DAE"/>
    <w:rsid w:val="000B320E"/>
    <w:rsid w:val="000C20A2"/>
    <w:rsid w:val="000C2978"/>
    <w:rsid w:val="000D1631"/>
    <w:rsid w:val="000D631B"/>
    <w:rsid w:val="000F5423"/>
    <w:rsid w:val="000F7992"/>
    <w:rsid w:val="000F7DA5"/>
    <w:rsid w:val="00106EDB"/>
    <w:rsid w:val="00112FD1"/>
    <w:rsid w:val="001305B4"/>
    <w:rsid w:val="0013272D"/>
    <w:rsid w:val="00137427"/>
    <w:rsid w:val="00137B20"/>
    <w:rsid w:val="001557BC"/>
    <w:rsid w:val="00182A36"/>
    <w:rsid w:val="00186890"/>
    <w:rsid w:val="0018765D"/>
    <w:rsid w:val="001910C8"/>
    <w:rsid w:val="001913A5"/>
    <w:rsid w:val="00192492"/>
    <w:rsid w:val="00193FFC"/>
    <w:rsid w:val="001C2C44"/>
    <w:rsid w:val="001D4E5E"/>
    <w:rsid w:val="001E525A"/>
    <w:rsid w:val="001F5CEA"/>
    <w:rsid w:val="00227D5B"/>
    <w:rsid w:val="0023316E"/>
    <w:rsid w:val="0023465A"/>
    <w:rsid w:val="00241E4F"/>
    <w:rsid w:val="00245EEF"/>
    <w:rsid w:val="002547A4"/>
    <w:rsid w:val="00260293"/>
    <w:rsid w:val="00265197"/>
    <w:rsid w:val="00272AFD"/>
    <w:rsid w:val="00274ED4"/>
    <w:rsid w:val="002829DC"/>
    <w:rsid w:val="00285458"/>
    <w:rsid w:val="0029429C"/>
    <w:rsid w:val="002977CE"/>
    <w:rsid w:val="002B0265"/>
    <w:rsid w:val="002B042F"/>
    <w:rsid w:val="002C2477"/>
    <w:rsid w:val="002C37D7"/>
    <w:rsid w:val="002C7310"/>
    <w:rsid w:val="002D416D"/>
    <w:rsid w:val="002F31E8"/>
    <w:rsid w:val="002F562D"/>
    <w:rsid w:val="00307893"/>
    <w:rsid w:val="003116E4"/>
    <w:rsid w:val="00311818"/>
    <w:rsid w:val="0031192C"/>
    <w:rsid w:val="003307D4"/>
    <w:rsid w:val="00334A0D"/>
    <w:rsid w:val="00341F32"/>
    <w:rsid w:val="003421A4"/>
    <w:rsid w:val="00345FC9"/>
    <w:rsid w:val="00355497"/>
    <w:rsid w:val="00363DCF"/>
    <w:rsid w:val="00390589"/>
    <w:rsid w:val="003B39B7"/>
    <w:rsid w:val="003E20F0"/>
    <w:rsid w:val="003E2812"/>
    <w:rsid w:val="003E787C"/>
    <w:rsid w:val="003E78A4"/>
    <w:rsid w:val="00411B0D"/>
    <w:rsid w:val="00455195"/>
    <w:rsid w:val="00470FB3"/>
    <w:rsid w:val="00477CB9"/>
    <w:rsid w:val="0048519F"/>
    <w:rsid w:val="004A0A95"/>
    <w:rsid w:val="004A1BC1"/>
    <w:rsid w:val="004A497A"/>
    <w:rsid w:val="004D43FB"/>
    <w:rsid w:val="004E0CCF"/>
    <w:rsid w:val="004E15FB"/>
    <w:rsid w:val="004F52D0"/>
    <w:rsid w:val="004F549F"/>
    <w:rsid w:val="00503A50"/>
    <w:rsid w:val="0051744C"/>
    <w:rsid w:val="0053273A"/>
    <w:rsid w:val="00534A40"/>
    <w:rsid w:val="0054357E"/>
    <w:rsid w:val="00545171"/>
    <w:rsid w:val="00551C5D"/>
    <w:rsid w:val="005938BC"/>
    <w:rsid w:val="005A15B3"/>
    <w:rsid w:val="005A7E2B"/>
    <w:rsid w:val="005B5418"/>
    <w:rsid w:val="005B6867"/>
    <w:rsid w:val="005C0F66"/>
    <w:rsid w:val="005C12E8"/>
    <w:rsid w:val="005F057E"/>
    <w:rsid w:val="005F1C4E"/>
    <w:rsid w:val="006014C8"/>
    <w:rsid w:val="006100D5"/>
    <w:rsid w:val="006141C3"/>
    <w:rsid w:val="006178BF"/>
    <w:rsid w:val="00632AD7"/>
    <w:rsid w:val="0063307C"/>
    <w:rsid w:val="00642218"/>
    <w:rsid w:val="00644D71"/>
    <w:rsid w:val="00645AC3"/>
    <w:rsid w:val="0065142E"/>
    <w:rsid w:val="00655279"/>
    <w:rsid w:val="00655B51"/>
    <w:rsid w:val="00657D92"/>
    <w:rsid w:val="00661EB7"/>
    <w:rsid w:val="006644E8"/>
    <w:rsid w:val="00664793"/>
    <w:rsid w:val="00667654"/>
    <w:rsid w:val="0067271E"/>
    <w:rsid w:val="00690AF6"/>
    <w:rsid w:val="00691D55"/>
    <w:rsid w:val="00693ADF"/>
    <w:rsid w:val="006A0998"/>
    <w:rsid w:val="006B09DD"/>
    <w:rsid w:val="006B220F"/>
    <w:rsid w:val="006B6267"/>
    <w:rsid w:val="006C7A98"/>
    <w:rsid w:val="006D242E"/>
    <w:rsid w:val="006E1007"/>
    <w:rsid w:val="006E369B"/>
    <w:rsid w:val="006E6449"/>
    <w:rsid w:val="006F0DE7"/>
    <w:rsid w:val="006F1D25"/>
    <w:rsid w:val="006F4BEB"/>
    <w:rsid w:val="00701DE2"/>
    <w:rsid w:val="00712783"/>
    <w:rsid w:val="007140D1"/>
    <w:rsid w:val="007158E5"/>
    <w:rsid w:val="00724C8A"/>
    <w:rsid w:val="00724EFA"/>
    <w:rsid w:val="00737915"/>
    <w:rsid w:val="00751FE6"/>
    <w:rsid w:val="00756332"/>
    <w:rsid w:val="007575A4"/>
    <w:rsid w:val="0076355C"/>
    <w:rsid w:val="00767671"/>
    <w:rsid w:val="0077396A"/>
    <w:rsid w:val="007851D0"/>
    <w:rsid w:val="007925D9"/>
    <w:rsid w:val="007C2EE0"/>
    <w:rsid w:val="007C57A2"/>
    <w:rsid w:val="007D1474"/>
    <w:rsid w:val="007D3DE5"/>
    <w:rsid w:val="007E199A"/>
    <w:rsid w:val="007E2D57"/>
    <w:rsid w:val="007E3AA5"/>
    <w:rsid w:val="007E6C4C"/>
    <w:rsid w:val="007F205B"/>
    <w:rsid w:val="007F7D69"/>
    <w:rsid w:val="008057ED"/>
    <w:rsid w:val="008115AB"/>
    <w:rsid w:val="008224AE"/>
    <w:rsid w:val="00824EA7"/>
    <w:rsid w:val="00831726"/>
    <w:rsid w:val="00831F89"/>
    <w:rsid w:val="00842A96"/>
    <w:rsid w:val="008635C4"/>
    <w:rsid w:val="00884F4A"/>
    <w:rsid w:val="008B31BD"/>
    <w:rsid w:val="008B7C81"/>
    <w:rsid w:val="008C36F6"/>
    <w:rsid w:val="008C523D"/>
    <w:rsid w:val="008C7BCF"/>
    <w:rsid w:val="008E22D9"/>
    <w:rsid w:val="008E7EAB"/>
    <w:rsid w:val="008F17FD"/>
    <w:rsid w:val="008F3B3C"/>
    <w:rsid w:val="009167EE"/>
    <w:rsid w:val="00916E26"/>
    <w:rsid w:val="009270FD"/>
    <w:rsid w:val="00944592"/>
    <w:rsid w:val="00961323"/>
    <w:rsid w:val="00973E73"/>
    <w:rsid w:val="0098183C"/>
    <w:rsid w:val="0098326E"/>
    <w:rsid w:val="009963AC"/>
    <w:rsid w:val="009C60BA"/>
    <w:rsid w:val="009D04F7"/>
    <w:rsid w:val="009D0547"/>
    <w:rsid w:val="009D515C"/>
    <w:rsid w:val="009F199A"/>
    <w:rsid w:val="00A079BE"/>
    <w:rsid w:val="00A23485"/>
    <w:rsid w:val="00A23B5B"/>
    <w:rsid w:val="00A32846"/>
    <w:rsid w:val="00A36893"/>
    <w:rsid w:val="00A429BC"/>
    <w:rsid w:val="00A461D6"/>
    <w:rsid w:val="00A655E9"/>
    <w:rsid w:val="00A73F71"/>
    <w:rsid w:val="00A909E5"/>
    <w:rsid w:val="00A920C3"/>
    <w:rsid w:val="00A93C86"/>
    <w:rsid w:val="00AA2AB3"/>
    <w:rsid w:val="00AA4F20"/>
    <w:rsid w:val="00AA5C41"/>
    <w:rsid w:val="00AC368B"/>
    <w:rsid w:val="00AC4926"/>
    <w:rsid w:val="00AD230C"/>
    <w:rsid w:val="00AD28AA"/>
    <w:rsid w:val="00AF1412"/>
    <w:rsid w:val="00AF2C96"/>
    <w:rsid w:val="00AF5A1B"/>
    <w:rsid w:val="00B143D4"/>
    <w:rsid w:val="00B176DB"/>
    <w:rsid w:val="00B200E5"/>
    <w:rsid w:val="00B313DA"/>
    <w:rsid w:val="00B4195B"/>
    <w:rsid w:val="00B41B63"/>
    <w:rsid w:val="00B52094"/>
    <w:rsid w:val="00B60C64"/>
    <w:rsid w:val="00B63F8E"/>
    <w:rsid w:val="00B679CF"/>
    <w:rsid w:val="00B95631"/>
    <w:rsid w:val="00BA6A9C"/>
    <w:rsid w:val="00BB4944"/>
    <w:rsid w:val="00BC697C"/>
    <w:rsid w:val="00BD0D44"/>
    <w:rsid w:val="00BE2C14"/>
    <w:rsid w:val="00BE3AAE"/>
    <w:rsid w:val="00BE4185"/>
    <w:rsid w:val="00C053A0"/>
    <w:rsid w:val="00C05416"/>
    <w:rsid w:val="00C14379"/>
    <w:rsid w:val="00C26DB7"/>
    <w:rsid w:val="00C40932"/>
    <w:rsid w:val="00C50C46"/>
    <w:rsid w:val="00C52D02"/>
    <w:rsid w:val="00C53371"/>
    <w:rsid w:val="00C60A10"/>
    <w:rsid w:val="00C64A0F"/>
    <w:rsid w:val="00C674A9"/>
    <w:rsid w:val="00C71512"/>
    <w:rsid w:val="00C73ECB"/>
    <w:rsid w:val="00CA0C57"/>
    <w:rsid w:val="00CA0F6D"/>
    <w:rsid w:val="00CC16E0"/>
    <w:rsid w:val="00CD328F"/>
    <w:rsid w:val="00CD546D"/>
    <w:rsid w:val="00CE7482"/>
    <w:rsid w:val="00D049DE"/>
    <w:rsid w:val="00D10FFD"/>
    <w:rsid w:val="00D138B3"/>
    <w:rsid w:val="00D15504"/>
    <w:rsid w:val="00D175E6"/>
    <w:rsid w:val="00D17CC7"/>
    <w:rsid w:val="00D17E5E"/>
    <w:rsid w:val="00D200F4"/>
    <w:rsid w:val="00D43595"/>
    <w:rsid w:val="00D4431B"/>
    <w:rsid w:val="00D57485"/>
    <w:rsid w:val="00D627EA"/>
    <w:rsid w:val="00D674E0"/>
    <w:rsid w:val="00D67EBB"/>
    <w:rsid w:val="00D83EC6"/>
    <w:rsid w:val="00D84AD6"/>
    <w:rsid w:val="00D84C84"/>
    <w:rsid w:val="00DA04D9"/>
    <w:rsid w:val="00DA7543"/>
    <w:rsid w:val="00DB2A7B"/>
    <w:rsid w:val="00DC5693"/>
    <w:rsid w:val="00DC6A5A"/>
    <w:rsid w:val="00DC711F"/>
    <w:rsid w:val="00DD4985"/>
    <w:rsid w:val="00DE5BE7"/>
    <w:rsid w:val="00DE7A7A"/>
    <w:rsid w:val="00E00CFA"/>
    <w:rsid w:val="00E02E7F"/>
    <w:rsid w:val="00E15D6C"/>
    <w:rsid w:val="00E277F3"/>
    <w:rsid w:val="00E4168D"/>
    <w:rsid w:val="00E420CF"/>
    <w:rsid w:val="00E560EE"/>
    <w:rsid w:val="00E57CA4"/>
    <w:rsid w:val="00E6387C"/>
    <w:rsid w:val="00EA357C"/>
    <w:rsid w:val="00EA689F"/>
    <w:rsid w:val="00EA6994"/>
    <w:rsid w:val="00EA7BA1"/>
    <w:rsid w:val="00EA7E10"/>
    <w:rsid w:val="00EB5792"/>
    <w:rsid w:val="00EC1A8B"/>
    <w:rsid w:val="00EC381E"/>
    <w:rsid w:val="00EE3F9B"/>
    <w:rsid w:val="00EE4C2F"/>
    <w:rsid w:val="00EF6B42"/>
    <w:rsid w:val="00F038BC"/>
    <w:rsid w:val="00F059E9"/>
    <w:rsid w:val="00F21D98"/>
    <w:rsid w:val="00F3475E"/>
    <w:rsid w:val="00F35643"/>
    <w:rsid w:val="00F562FA"/>
    <w:rsid w:val="00F56389"/>
    <w:rsid w:val="00F61BB5"/>
    <w:rsid w:val="00F64037"/>
    <w:rsid w:val="00F720F5"/>
    <w:rsid w:val="00F849FE"/>
    <w:rsid w:val="00F90EFA"/>
    <w:rsid w:val="00FA26A5"/>
    <w:rsid w:val="00FA51CC"/>
    <w:rsid w:val="00FB282E"/>
    <w:rsid w:val="00FC003C"/>
    <w:rsid w:val="00FC20F6"/>
    <w:rsid w:val="00FC5890"/>
    <w:rsid w:val="00FD29DC"/>
    <w:rsid w:val="00FD373D"/>
    <w:rsid w:val="00FD5EC6"/>
    <w:rsid w:val="00FE5AA9"/>
    <w:rsid w:val="00FF0D22"/>
    <w:rsid w:val="00FF65BC"/>
  </w:rsids>
  <m:mathPr>
    <m:mathFont m:val="Cambria Math"/>
    <m:brkBin m:val="before"/>
    <m:brkBinSub m:val="--"/>
    <m:smallFrac m:val="0"/>
    <m:dispDef/>
    <m:lMargin m:val="0"/>
    <m:rMargin m:val="0"/>
    <m:defJc m:val="centerGroup"/>
    <m:wrapIndent m:val="1440"/>
    <m:intLim m:val="subSup"/>
    <m:naryLim m:val="undOvr"/>
  </m:mathPr>
  <w:themeFontLang w:val="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FF16"/>
  <w15:chartTrackingRefBased/>
  <w15:docId w15:val="{A34D24E0-96EA-4058-9A94-33AE47BDF93C}"/>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szCs w:val="24"/>
        <w14:ligatures w14:val="standardContextual"/>
        <w:lang w:val="pt"/>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05B"/>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unhideWhenUsed/>
    <w:qFormat/>
    <w:rsid w:val="007F205B"/>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7F205B"/>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F205B"/>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F205B"/>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7F205B"/>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F205B"/>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7F205B"/>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F205B"/>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5B"/>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rsid w:val="007F205B"/>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7F205B"/>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7F205B"/>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7F205B"/>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7F205B"/>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7F205B"/>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7F205B"/>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7F205B"/>
    <w:rPr>
      <w:rFonts w:cstheme="majorBidi" w:eastAsiaTheme="majorEastAsia"/>
      <w:color w:val="272727" w:themeColor="text1" w:themeTint="D8"/>
    </w:rPr>
  </w:style>
  <w:style w:type="paragraph" w:styleId="Title">
    <w:name w:val="Title"/>
    <w:basedOn w:val="Normal"/>
    <w:next w:val="Normal"/>
    <w:link w:val="TitleChar"/>
    <w:uiPriority w:val="10"/>
    <w:qFormat/>
    <w:rsid w:val="007F205B"/>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7F205B"/>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7F205B"/>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7F205B"/>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7F205B"/>
    <w:pPr>
      <w:spacing w:before="160"/>
      <w:jc w:val="center"/>
    </w:pPr>
    <w:rPr>
      <w:i/>
      <w:iCs/>
      <w:color w:val="404040" w:themeColor="text1" w:themeTint="BF"/>
    </w:rPr>
  </w:style>
  <w:style w:type="character" w:customStyle="1" w:styleId="QuoteChar">
    <w:name w:val="Quote Char"/>
    <w:basedOn w:val="DefaultParagraphFont"/>
    <w:link w:val="Quote"/>
    <w:uiPriority w:val="29"/>
    <w:rsid w:val="007F205B"/>
    <w:rPr>
      <w:i/>
      <w:iCs/>
      <w:color w:val="404040" w:themeColor="text1" w:themeTint="BF"/>
    </w:rPr>
  </w:style>
  <w:style w:type="paragraph" w:styleId="ListParagraph">
    <w:name w:val="List Paragraph"/>
    <w:basedOn w:val="Normal"/>
    <w:uiPriority w:val="34"/>
    <w:qFormat/>
    <w:rsid w:val="007F205B"/>
    <w:pPr>
      <w:ind w:left="720"/>
      <w:contextualSpacing/>
    </w:pPr>
  </w:style>
  <w:style w:type="character" w:styleId="IntenseEmphasis">
    <w:name w:val="Intense Emphasis"/>
    <w:basedOn w:val="DefaultParagraphFont"/>
    <w:uiPriority w:val="21"/>
    <w:qFormat/>
    <w:rsid w:val="007F205B"/>
    <w:rPr>
      <w:i/>
      <w:iCs/>
      <w:color w:val="0F4761" w:themeColor="accent1" w:themeShade="BF"/>
    </w:rPr>
  </w:style>
  <w:style w:type="paragraph" w:styleId="IntenseQuote">
    <w:name w:val="Intense Quote"/>
    <w:basedOn w:val="Normal"/>
    <w:next w:val="Normal"/>
    <w:link w:val="IntenseQuoteChar"/>
    <w:uiPriority w:val="30"/>
    <w:qFormat/>
    <w:rsid w:val="007F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5B"/>
    <w:rPr>
      <w:i/>
      <w:iCs/>
      <w:color w:val="0F4761" w:themeColor="accent1" w:themeShade="BF"/>
    </w:rPr>
  </w:style>
  <w:style w:type="character" w:styleId="IntenseReference">
    <w:name w:val="Intense Reference"/>
    <w:basedOn w:val="DefaultParagraphFont"/>
    <w:uiPriority w:val="32"/>
    <w:qFormat/>
    <w:rsid w:val="007F205B"/>
    <w:rPr>
      <w:b/>
      <w:bCs/>
      <w:smallCaps/>
      <w:color w:val="0F4761" w:themeColor="accent1" w:themeShade="BF"/>
    </w:rPr>
  </w:style>
  <w:style w:type="table" w:styleId="TableGrid">
    <w:name w:val="Table Grid"/>
    <w:basedOn w:val="TableNormal"/>
    <w:uiPriority w:val="39"/>
    <w:rsid w:val="007F20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2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5B"/>
    <w:rPr>
      <w:kern w:val="0"/>
      <w:sz w:val="20"/>
      <w:szCs w:val="20"/>
      <w14:ligatures w14:val="none"/>
    </w:rPr>
  </w:style>
  <w:style w:type="character" w:styleId="FootnoteReference">
    <w:name w:val="footnote reference"/>
    <w:basedOn w:val="DefaultParagraphFont"/>
    <w:uiPriority w:val="99"/>
    <w:semiHidden/>
    <w:unhideWhenUsed/>
    <w:rsid w:val="007F205B"/>
    <w:rPr>
      <w:vertAlign w:val="superscript"/>
    </w:rPr>
  </w:style>
  <w:style w:type="paragraph" w:styleId="Header">
    <w:name w:val="header"/>
    <w:basedOn w:val="Normal"/>
    <w:link w:val="HeaderChar"/>
    <w:uiPriority w:val="99"/>
    <w:unhideWhenUsed/>
    <w:rsid w:val="007F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05B"/>
    <w:rPr>
      <w:kern w:val="0"/>
      <w:sz w:val="22"/>
      <w:szCs w:val="22"/>
      <w14:ligatures w14:val="none"/>
    </w:rPr>
  </w:style>
  <w:style w:type="paragraph" w:styleId="Footer">
    <w:name w:val="footer"/>
    <w:basedOn w:val="Normal"/>
    <w:link w:val="FooterChar"/>
    <w:uiPriority w:val="99"/>
    <w:unhideWhenUsed/>
    <w:rsid w:val="007F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05B"/>
    <w:rPr>
      <w:kern w:val="0"/>
      <w:sz w:val="22"/>
      <w:szCs w:val="22"/>
      <w14:ligatures w14:val="none"/>
    </w:rPr>
  </w:style>
  <w:style w:type="paragraph" w:styleId="BodyText">
    <w:name w:val="Body Text"/>
    <w:basedOn w:val="Normal"/>
    <w:link w:val="BodyTextChar"/>
    <w:uiPriority w:val="1"/>
    <w:qFormat/>
    <w:rsid w:val="007F205B"/>
    <w:pPr>
      <w:widowControl w:val="0"/>
      <w:autoSpaceDE w:val="0"/>
      <w:autoSpaceDN w:val="0"/>
      <w:spacing w:after="0" w:line="240" w:lineRule="auto"/>
      <w:jc w:val="both"/>
    </w:pPr>
    <w:rPr>
      <w:rFonts w:ascii="Times New Roman" w:hAnsi="Times New Roman" w:cs="Times New Roman" w:eastAsia="Times New Roman"/>
      <w:sz w:val="24"/>
      <w:szCs w:val="20"/>
    </w:rPr>
  </w:style>
  <w:style w:type="character" w:customStyle="1" w:styleId="BodyTextChar">
    <w:name w:val="Body Text Char"/>
    <w:basedOn w:val="DefaultParagraphFont"/>
    <w:link w:val="BodyText"/>
    <w:uiPriority w:val="1"/>
    <w:rsid w:val="007F205B"/>
    <w:rPr>
      <w:rFonts w:ascii="Times New Roman" w:hAnsi="Times New Roman" w:cs="Times New Roman" w:eastAsia="Times New Roman"/>
      <w:kern w:val="0"/>
      <w:szCs w:val="20"/>
      <w14:ligatures w14:val="none"/>
    </w:rPr>
  </w:style>
  <w:style w:type="paragraph" w:customStyle="1" w:styleId="P68B1DB1-Title1">
    <w:name w:val="P68B1DB1-Title1"/>
    <w:basedOn w:val="Title"/>
    <w:rsid w:val="007F205B"/>
    <w:pPr>
      <w:widowControl w:val="0"/>
      <w:autoSpaceDE w:val="0"/>
      <w:autoSpaceDN w:val="0"/>
      <w:spacing w:before="59" w:after="0"/>
      <w:ind w:left="139"/>
      <w:contextualSpacing w:val="0"/>
      <w:jc w:val="center"/>
    </w:pPr>
    <w:rPr>
      <w:rFonts w:ascii="Times New Roman" w:hAnsi="Times New Roman" w:cs="Times New Roman" w:eastAsia="Times New Roman"/>
      <w:b/>
      <w:kern w:val="0"/>
      <w:sz w:val="32"/>
      <w:szCs w:val="20"/>
      <w:u w:val="single" w:color="000000"/>
    </w:rPr>
  </w:style>
  <w:style w:type="paragraph" w:customStyle="1" w:styleId="P68B1DB1-Normal3">
    <w:name w:val="P68B1DB1-Normal3"/>
    <w:basedOn w:val="Normal"/>
    <w:rsid w:val="007F205B"/>
    <w:pPr>
      <w:widowControl w:val="0"/>
      <w:autoSpaceDE w:val="0"/>
      <w:autoSpaceDN w:val="0"/>
      <w:spacing w:after="0" w:line="240" w:lineRule="auto"/>
    </w:pPr>
    <w:rPr>
      <w:rFonts w:ascii="Times New Roman" w:hAnsi="Times New Roman" w:cs="Times New Roman" w:eastAsia="Times New Roman"/>
      <w:b/>
      <w:smallCaps/>
      <w:sz w:val="24"/>
      <w:szCs w:val="20"/>
    </w:rPr>
  </w:style>
  <w:style w:type="paragraph" w:customStyle="1" w:styleId="P68B1DB1-BodyText4">
    <w:name w:val="P68B1DB1-BodyText4"/>
    <w:basedOn w:val="BodyText"/>
    <w:rsid w:val="007F205B"/>
    <w:rPr>
      <w:sz w:val="20"/>
    </w:rPr>
  </w:style>
  <w:style w:type="character" w:styleId="Hyperlink">
    <w:name w:val="Hyperlink"/>
    <w:basedOn w:val="DefaultParagraphFont"/>
    <w:uiPriority w:val="99"/>
    <w:unhideWhenUsed/>
    <w:rsid w:val="008E22D9"/>
    <w:rPr>
      <w:color w:val="467886" w:themeColor="hyperlink"/>
      <w:u w:val="single"/>
    </w:rPr>
  </w:style>
  <w:style w:type="paragraph" w:customStyle="1" w:styleId="P68B1DB1-ListParagraph2">
    <w:name w:val="P68B1DB1-ListParagraph2"/>
    <w:basedOn w:val="ListParagraph"/>
    <w:rsid w:val="004E15FB"/>
    <w:pPr>
      <w:widowControl w:val="0"/>
      <w:autoSpaceDE w:val="0"/>
      <w:autoSpaceDN w:val="0"/>
      <w:spacing w:after="0" w:line="240" w:lineRule="auto"/>
      <w:ind w:left="396" w:right="111" w:hanging="142"/>
      <w:contextualSpacing w:val="0"/>
      <w:jc w:val="both"/>
    </w:pPr>
    <w:rPr>
      <w:rFonts w:ascii="Times New Roman" w:hAnsi="Times New Roman" w:cs="Times New Roman" w:eastAsia="Times New Roman"/>
      <w:sz w:val="24"/>
      <w:szCs w:val="20"/>
    </w:rPr>
  </w:style>
  <w:style w:type="paragraph" w:customStyle="1" w:styleId="P68B1DB1-Heading15">
    <w:name w:val="P68B1DB1-Heading15"/>
    <w:basedOn w:val="Heading1"/>
    <w:rsid w:val="00AA4F20"/>
    <w:pPr>
      <w:keepNext w:val="0"/>
      <w:keepLines w:val="0"/>
      <w:widowControl w:val="0"/>
      <w:autoSpaceDE w:val="0"/>
      <w:autoSpaceDN w:val="0"/>
      <w:spacing w:before="0" w:after="0" w:line="240" w:lineRule="auto"/>
      <w:ind w:left="446"/>
    </w:pPr>
    <w:rPr>
      <w:rFonts w:ascii="Times New Roman" w:hAnsi="Times New Roman" w:cs="Times New Roman" w:eastAsia="Times New Roman"/>
      <w:b/>
      <w:color w:val="auto"/>
      <w:sz w:val="24"/>
      <w:szCs w:val="20"/>
      <w:u w:val="single"/>
    </w:rPr>
  </w:style>
  <w:style w:type="character" w:styleId="CommentReference">
    <w:name w:val="annotation reference"/>
    <w:basedOn w:val="DefaultParagraphFont"/>
    <w:uiPriority w:val="99"/>
    <w:semiHidden/>
    <w:unhideWhenUsed/>
    <w:rsid w:val="00AC368B"/>
    <w:rPr>
      <w:sz w:val="16"/>
      <w:szCs w:val="16"/>
    </w:rPr>
  </w:style>
  <w:style w:type="paragraph" w:styleId="CommentText">
    <w:name w:val="annotation text"/>
    <w:basedOn w:val="Normal"/>
    <w:link w:val="CommentTextChar"/>
    <w:uiPriority w:val="99"/>
    <w:unhideWhenUsed/>
    <w:rsid w:val="00AC368B"/>
    <w:pPr>
      <w:spacing w:line="240" w:lineRule="auto"/>
    </w:pPr>
    <w:rPr>
      <w:sz w:val="20"/>
      <w:szCs w:val="20"/>
    </w:rPr>
  </w:style>
  <w:style w:type="character" w:customStyle="1" w:styleId="CommentTextChar">
    <w:name w:val="Comment Text Char"/>
    <w:basedOn w:val="DefaultParagraphFont"/>
    <w:link w:val="CommentText"/>
    <w:uiPriority w:val="99"/>
    <w:rsid w:val="00AC368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368B"/>
    <w:rPr>
      <w:b/>
      <w:bCs/>
    </w:rPr>
  </w:style>
  <w:style w:type="character" w:customStyle="1" w:styleId="CommentSubjectChar">
    <w:name w:val="Comment Subject Char"/>
    <w:basedOn w:val="CommentTextChar"/>
    <w:link w:val="CommentSubject"/>
    <w:uiPriority w:val="99"/>
    <w:semiHidden/>
    <w:rsid w:val="00AC368B"/>
    <w:rPr>
      <w:b/>
      <w:bCs/>
      <w:kern w:val="0"/>
      <w:sz w:val="20"/>
      <w:szCs w:val="20"/>
      <w14:ligatures w14:val="none"/>
    </w:rPr>
  </w:style>
  <w:style w:type="character" w:styleId="UnresolvedMention">
    <w:name w:val="Unresolved Mention"/>
    <w:basedOn w:val="DefaultParagraphFont"/>
    <w:uiPriority w:val="99"/>
    <w:semiHidden/>
    <w:unhideWhenUsed/>
    <w:rsid w:val="00D4431B"/>
    <w:rPr>
      <w:color w:val="605E5C"/>
      <w:shd w:val="clear" w:color="auto" w:fill="E1DFDD"/>
    </w:rPr>
  </w:style>
  <w:style w:type="character" w:styleId="FollowedHyperlink">
    <w:name w:val="FollowedHyperlink"/>
    <w:basedOn w:val="DefaultParagraphFont"/>
    <w:uiPriority w:val="99"/>
    <w:semiHidden/>
    <w:unhideWhenUsed/>
    <w:rsid w:val="00973E73"/>
    <w:rPr>
      <w:color w:val="96607D" w:themeColor="followedHyperlink"/>
      <w:u w:val="single"/>
    </w:rPr>
  </w:style>
  <w:style w:type="paragraph" w:styleId="Revision">
    <w:name w:val="Revision"/>
    <w:hidden/>
    <w:uiPriority w:val="99"/>
    <w:semiHidden/>
    <w:rsid w:val="008F17FD"/>
    <w:pPr>
      <w:spacing w:after="0" w:line="240" w:lineRule="auto"/>
    </w:pPr>
    <w:rPr>
      <w:kern w:val="0"/>
      <w:sz w:val="22"/>
      <w:szCs w:val="22"/>
      <w14:ligatures w14:val="none"/>
    </w:rPr>
  </w:style>
  <w:style w:type="paragraph" w:customStyle="1" w:styleId="P68B1DB1-BodyText1">
    <w:name w:val="P68B1DB1-BodyText1"/>
    <w:basedOn w:val="BodyText"/>
    <w:rPr>
      <w:sz w:val="20"/>
      <w:u w:val="single"/>
    </w:rPr>
  </w:style>
  <w:style w:type="paragraph" w:customStyle="1" w:styleId="P68B1DB1-BodyText2">
    <w:name w:val="P68B1DB1-BodyText2"/>
    <w:basedOn w:val="BodyText"/>
    <w:rPr>
      <w:i/>
      <w:sz w:val="16"/>
      <w:szCs w:val="16"/>
    </w:rPr>
  </w:style>
  <w:style w:type="paragraph" w:customStyle="1" w:styleId="P68B1DB1-Normal4">
    <w:name w:val="P68B1DB1-Normal4"/>
    <w:basedOn w:val="Normal"/>
    <w:rPr>
      <w:sz w:val="20"/>
    </w:rPr>
  </w:style>
  <w:style w:type="paragraph" w:customStyle="1" w:styleId="P68B1DB1-Normal5">
    <w:name w:val="P68B1DB1-Normal5"/>
    <w:basedOn w:val="Normal"/>
    <w:rPr>
      <w:rFonts w:ascii="Times New Roman" w:hAnsi="Times New Roman" w:cs="Times New Roman"/>
      <w:b/>
      <w:sz w:val="24"/>
      <w:szCs w:val="24"/>
      <w:u w:val="single"/>
    </w:rPr>
  </w:style>
  <w:style w:type="paragraph" w:customStyle="1" w:styleId="P68B1DB1-Normal6">
    <w:name w:val="P68B1DB1-Normal6"/>
    <w:basedOn w:val="Normal"/>
    <w:rPr>
      <w:rFonts w:ascii="Times New Roman" w:hAnsi="Times New Roman" w:cs="Times New Roman"/>
      <w:b/>
      <w:sz w:val="24"/>
      <w:szCs w:val="24"/>
    </w:rPr>
  </w:style>
  <w:style w:type="paragraph" w:customStyle="1" w:styleId="P68B1DB1-Normal7">
    <w:name w:val="P68B1DB1-Normal7"/>
    <w:basedOn w:val="Normal"/>
    <w:rPr>
      <w:rFonts w:ascii="Times New Roman" w:hAnsi="Times New Roman" w:cs="Times New Roman"/>
      <w:sz w:val="24"/>
      <w:szCs w:val="24"/>
    </w:rPr>
  </w:style>
  <w:style w:type="paragraph" w:customStyle="1" w:styleId="P68B1DB1-Normal8">
    <w:name w:val="P68B1DB1-Normal8"/>
    <w:basedOn w:val="Normal"/>
    <w:rPr>
      <w:rFonts w:ascii="Times New Roman" w:hAnsi="Times New Roman" w:cs="Times New Roman" w:eastAsia="Times New Roman"/>
      <w:sz w:val="24"/>
      <w:szCs w:val="24"/>
    </w:rPr>
  </w:style>
  <w:style w:type="paragraph" w:customStyle="1" w:styleId="P68B1DB1-P68B1DB1-Normal39">
    <w:name w:val="P68B1DB1-P68B1DB1-Normal39"/>
    <w:basedOn w:val="P68B1DB1-Normal3"/>
    <w:rPr>
      <w:sz w:val="28"/>
      <w:szCs w:val="22"/>
    </w:rPr>
  </w:style>
  <w:style w:type="paragraph" w:customStyle="1" w:styleId="P68B1DB1-BodyText10">
    <w:name w:val="P68B1DB1-BodyText10"/>
    <w:basedOn w:val="BodyText"/>
    <w:rPr>
      <w:b/>
    </w:rPr>
  </w:style>
  <w:style w:type="paragraph" w:customStyle="1" w:styleId="P68B1DB1-BodyText11">
    <w:name w:val="P68B1DB1-BodyText11"/>
    <w:basedOn w:val="BodyText"/>
    <w:rPr>
      <w:i/>
    </w:rPr>
  </w:style>
  <w:style w:type="paragraph" w:customStyle="1" w:styleId="P68B1DB1-Normal12">
    <w:name w:val="P68B1DB1-Normal12"/>
    <w:basedOn w:val="Normal"/>
    <w:rPr>
      <w:rFonts w:ascii="Times New Roman" w:hAnsi="Times New Roman" w:cs="Times New Roman"/>
      <w:i/>
      <w:sz w:val="24"/>
      <w:szCs w:val="24"/>
    </w:rPr>
  </w:style>
  <w:style w:type="paragraph" w:customStyle="1" w:styleId="P68B1DB1-Normal13">
    <w:name w:val="P68B1DB1-Normal13"/>
    <w:basedOn w:val="Normal"/>
    <w:rPr>
      <w:rFonts w:ascii="Times New Roman" w:hAnsi="Times New Roman" w:cs="Times New Roman" w:eastAsia="Times New Roman"/>
      <w:b/>
      <w:i/>
      <w:szCs w:val="20"/>
    </w:rPr>
  </w:style>
  <w:style w:type="paragraph" w:customStyle="1" w:styleId="P68B1DB1-Normal14">
    <w:name w:val="P68B1DB1-Normal14"/>
    <w:basedOn w:val="Normal"/>
    <w:rPr>
      <w:rFonts w:ascii="Times New Roman" w:hAnsi="Times New Roman" w:cs="Times New Roman" w:eastAsia="Times New Roman"/>
      <w:szCs w:val="20"/>
    </w:rPr>
  </w:style>
  <w:style w:type="paragraph" w:customStyle="1" w:styleId="P68B1DB1-Normal15">
    <w:name w:val="P68B1DB1-Normal15"/>
    <w:basedOn w:val="Normal"/>
    <w:rPr>
      <w:rFonts w:ascii="Times New Roman" w:hAnsi="Times New Roman" w:cs="Times New Roman" w:eastAsia="Times New Roman"/>
      <w:i/>
      <w:sz w:val="20"/>
      <w:szCs w:val="16"/>
    </w:rPr>
  </w:style>
  <w:style w:type="paragraph" w:customStyle="1" w:styleId="P68B1DB1-Normal16">
    <w:name w:val="P68B1DB1-Normal16"/>
    <w:basedOn w:val="Normal"/>
    <w:rPr>
      <w:rFonts w:ascii="Times New Roman" w:hAnsi="Times New Roman" w:cs="Times New Roman" w:eastAsia="Times New Roman"/>
      <w:sz w:val="20"/>
      <w:szCs w:val="16"/>
    </w:rPr>
  </w:style>
  <w:style w:type="paragraph" w:customStyle="1" w:styleId="P68B1DB1-Normal17">
    <w:name w:val="P68B1DB1-Normal17"/>
    <w:basedOn w:val="Normal"/>
    <w:rPr>
      <w:rFonts w:ascii="Times New Roman" w:hAnsi="Times New Roman" w:cs="Times New Roman" w:eastAsia="Times New Roman"/>
    </w:rPr>
  </w:style>
  <w:style w:type="paragraph" w:customStyle="1" w:styleId="P68B1DB1-Normal18">
    <w:name w:val="P68B1DB1-Normal18"/>
    <w:basedOn w:val="Normal"/>
    <w:rPr>
      <w:rFonts w:ascii="Times New Roman" w:hAnsi="Times New Roman" w:cs="Times New Roman" w:eastAsia="Times New Roman"/>
      <w:i/>
      <w:sz w:val="20"/>
      <w:szCs w:val="20"/>
    </w:rPr>
  </w:style>
  <w:style w:type="paragraph" w:customStyle="1" w:styleId="P68B1DB1-BodyText19">
    <w:name w:val="P68B1DB1-BodyText19"/>
    <w:basedOn w:val="BodyText"/>
    <w:rPr>
      <w:i/>
      <w:sz w:val="20"/>
    </w:rPr>
  </w:style>
  <w:style w:type="paragraph" w:customStyle="1" w:styleId="P68B1DB1-Normal20">
    <w:name w:val="P68B1DB1-Normal20"/>
    <w:basedOn w:val="Normal"/>
    <w:rPr>
      <w:rFonts w:ascii="Times New Roman" w:hAnsi="Times New Roman" w:cs="Times New Roman"/>
      <w:i/>
      <w:sz w:val="20"/>
      <w:szCs w:val="20"/>
    </w:rPr>
  </w:style>
  <w:style w:type="paragraph" w:customStyle="1" w:styleId="P68B1DB1-ListParagraph21">
    <w:name w:val="P68B1DB1-ListParagraph21"/>
    <w:basedOn w:val="ListParagraph"/>
    <w:rPr>
      <w:rFonts w:ascii="Times New Roman" w:hAnsi="Times New Roman" w:cs="Times New Roman"/>
      <w:i/>
      <w:sz w:val="24"/>
      <w:szCs w:val="24"/>
    </w:rPr>
  </w:style>
  <w:style w:type="paragraph" w:customStyle="1" w:styleId="P68B1DB1-BodyText22">
    <w:name w:val="P68B1DB1-BodyText22"/>
    <w:basedOn w:val="BodyText"/>
    <w:rPr>
      <w:sz w:val="22"/>
      <w:szCs w:val="18"/>
    </w:rPr>
  </w:style>
  <w:style w:type="paragraph" w:customStyle="1" w:styleId="P68B1DB1-BodyText23">
    <w:name w:val="P68B1DB1-BodyText23"/>
    <w:basedOn w:val="BodyText"/>
    <w:rPr>
      <w:i/>
      <w:szCs w:val="24"/>
    </w:rPr>
  </w:style>
  <w:style w:type="paragraph" w:customStyle="1" w:styleId="P68B1DB1-BodyText24">
    <w:name w:val="P68B1DB1-BodyText24"/>
    <w:basedOn w:val="BodyText"/>
    <w:rPr>
      <w:szCs w:val="24"/>
    </w:rPr>
  </w:style>
  <w:style w:type="paragraph" w:customStyle="1" w:styleId="P68B1DB1-BodyText25">
    <w:name w:val="P68B1DB1-BodyText25"/>
    <w:basedOn w:val="BodyText"/>
    <w:rPr>
      <w:i/>
      <w:sz w:val="20"/>
      <w:szCs w:val="16"/>
    </w:rPr>
  </w:style>
  <w:style w:type="paragraph" w:customStyle="1" w:styleId="P68B1DB1-P68B1DB1-ListParagraph226">
    <w:name w:val="P68B1DB1-P68B1DB1-ListParagraph226"/>
    <w:basedOn w:val="P68B1DB1-ListParagraph2"/>
    <w:rPr>
      <w:i/>
      <w:sz w:val="20"/>
      <w:szCs w:val="16"/>
    </w:rPr>
  </w:style>
  <w:style w:type="paragraph" w:customStyle="1" w:styleId="P68B1DB1-ListParagraph27">
    <w:name w:val="P68B1DB1-ListParagraph27"/>
    <w:basedOn w:val="ListParagraph"/>
    <w:rPr>
      <w:rFonts w:ascii="Times New Roman" w:hAnsi="Times New Roman" w:cs="Times New Roman" w:eastAsia="Times New Roman"/>
      <w:b/>
      <w:sz w:val="20"/>
      <w:szCs w:val="16"/>
    </w:rPr>
  </w:style>
  <w:style w:type="paragraph" w:customStyle="1" w:styleId="P68B1DB1-Normal28">
    <w:name w:val="P68B1DB1-Normal28"/>
    <w:basedOn w:val="Normal"/>
    <w:rPr>
      <w:rFonts w:ascii="Times New Roman" w:hAnsi="Times New Roman" w:cs="Times New Roman" w:eastAsia="Times New Roman"/>
      <w:i/>
      <w:sz w:val="24"/>
      <w:szCs w:val="24"/>
    </w:rPr>
  </w:style>
  <w:style w:type="paragraph" w:customStyle="1" w:styleId="P68B1DB1-Normal29">
    <w:name w:val="P68B1DB1-Normal29"/>
    <w:basedOn w:val="Normal"/>
    <w:rPr>
      <w:rFonts w:ascii="Times New Roman" w:hAnsi="Times New Roman" w:cs="Times New Roman"/>
      <w:sz w:val="20"/>
      <w:szCs w:val="20"/>
    </w:rPr>
  </w:style>
  <w:style w:type="paragraph" w:customStyle="1" w:styleId="P68B1DB1-ListParagraph30">
    <w:name w:val="P68B1DB1-ListParagraph30"/>
    <w:basedOn w:val="ListParagraph"/>
    <w:rPr>
      <w:rFonts w:ascii="Times New Roman" w:hAnsi="Times New Roman" w:cs="Times New Roman"/>
      <w:b/>
      <w:sz w:val="24"/>
      <w:szCs w:val="24"/>
    </w:rPr>
  </w:style>
  <w:style w:type="paragraph" w:customStyle="1" w:styleId="P68B1DB1-Normal31">
    <w:name w:val="P68B1DB1-Normal31"/>
    <w:basedOn w:val="Normal"/>
    <w:rPr>
      <w:rFonts w:ascii="Times New Roman" w:hAnsi="Times New Roman" w:cs="Times New Roman"/>
      <w:i/>
      <w:sz w:val="20"/>
      <w:szCs w:val="16"/>
    </w:rPr>
  </w:style>
  <w:style w:type="paragraph" w:customStyle="1" w:styleId="P68B1DB1-Normal32">
    <w:name w:val="P68B1DB1-Normal32"/>
    <w:basedOn w:val="Normal"/>
    <w:rPr>
      <w:rFonts w:ascii="Times New Roman" w:hAnsi="Times New Roman" w:cs="Times New Roman" w:eastAsia="Times New Roman"/>
      <w:sz w:val="20"/>
      <w:szCs w:val="20"/>
    </w:rPr>
  </w:style>
  <w:style w:type="paragraph" w:customStyle="1" w:styleId="P68B1DB1-Normal33">
    <w:name w:val="P68B1DB1-Normal33"/>
    <w:basedOn w:val="Normal"/>
    <w:rPr>
      <w:sz w:val="20"/>
      <w:szCs w:val="16"/>
    </w:rPr>
  </w:style>
  <w:style w:type="paragraph" w:customStyle="1" w:styleId="P68B1DB1-BodyText34">
    <w:name w:val="P68B1DB1-BodyText34"/>
    <w:basedOn w:val="BodyText"/>
    <w:rPr>
      <w:b/>
      <w:sz w:val="28"/>
      <w:szCs w:val="22"/>
    </w:rPr>
  </w:style>
  <w:style w:type="paragraph" w:styleId="TOCHeading">
    <w:name w:val="TOC Heading"/>
    <w:basedOn w:val="Heading1"/>
    <w:next w:val="Normal"/>
    <w:uiPriority w:val="39"/>
    <w:unhideWhenUsed/>
    <w:qFormat/>
    <w:rsid w:val="00FF0D22"/>
    <w:pPr>
      <w:spacing w:before="240" w:after="0"/>
      <w:outlineLvl w:val="9"/>
    </w:pPr>
    <w:rPr>
      <w:sz w:val="32"/>
      <w:szCs w:val="32"/>
    </w:rPr>
  </w:style>
  <w:style w:type="paragraph" w:styleId="TOC2">
    <w:name w:val="toc 2"/>
    <w:basedOn w:val="Normal"/>
    <w:next w:val="Normal"/>
    <w:autoRedefine/>
    <w:uiPriority w:val="39"/>
    <w:unhideWhenUsed/>
    <w:rsid w:val="00FF0D22"/>
    <w:pPr>
      <w:spacing w:after="0"/>
      <w:ind w:left="220"/>
    </w:pPr>
    <w:rPr>
      <w:smallCaps/>
      <w:sz w:val="20"/>
      <w:szCs w:val="20"/>
    </w:rPr>
  </w:style>
  <w:style w:type="paragraph" w:styleId="TOC1">
    <w:name w:val="toc 1"/>
    <w:basedOn w:val="Normal"/>
    <w:next w:val="Normal"/>
    <w:autoRedefine/>
    <w:uiPriority w:val="39"/>
    <w:unhideWhenUsed/>
    <w:rsid w:val="00FF0D22"/>
    <w:pPr>
      <w:spacing w:before="120" w:after="120"/>
    </w:pPr>
    <w:rPr>
      <w:b/>
      <w:bCs/>
      <w:caps/>
      <w:sz w:val="20"/>
      <w:szCs w:val="20"/>
    </w:rPr>
  </w:style>
  <w:style w:type="paragraph" w:styleId="TOC3">
    <w:name w:val="toc 3"/>
    <w:basedOn w:val="Normal"/>
    <w:next w:val="Normal"/>
    <w:autoRedefine/>
    <w:uiPriority w:val="39"/>
    <w:unhideWhenUsed/>
    <w:rsid w:val="00FF0D22"/>
    <w:pPr>
      <w:spacing w:after="0"/>
      <w:ind w:left="440"/>
    </w:pPr>
    <w:rPr>
      <w:i/>
      <w:iCs/>
      <w:sz w:val="20"/>
      <w:szCs w:val="20"/>
    </w:rPr>
  </w:style>
  <w:style w:type="paragraph" w:styleId="TOC4">
    <w:name w:val="toc 4"/>
    <w:basedOn w:val="Normal"/>
    <w:next w:val="Normal"/>
    <w:autoRedefine/>
    <w:uiPriority w:val="39"/>
    <w:unhideWhenUsed/>
    <w:rsid w:val="00FF0D22"/>
    <w:pPr>
      <w:spacing w:after="0"/>
      <w:ind w:left="660"/>
    </w:pPr>
    <w:rPr>
      <w:sz w:val="18"/>
      <w:szCs w:val="18"/>
    </w:rPr>
  </w:style>
  <w:style w:type="paragraph" w:styleId="TOC5">
    <w:name w:val="toc 5"/>
    <w:basedOn w:val="Normal"/>
    <w:next w:val="Normal"/>
    <w:autoRedefine/>
    <w:uiPriority w:val="39"/>
    <w:unhideWhenUsed/>
    <w:rsid w:val="00FF0D22"/>
    <w:pPr>
      <w:spacing w:after="0"/>
      <w:ind w:left="880"/>
    </w:pPr>
    <w:rPr>
      <w:sz w:val="18"/>
      <w:szCs w:val="18"/>
    </w:rPr>
  </w:style>
  <w:style w:type="paragraph" w:styleId="TOC6">
    <w:name w:val="toc 6"/>
    <w:basedOn w:val="Normal"/>
    <w:next w:val="Normal"/>
    <w:autoRedefine/>
    <w:uiPriority w:val="39"/>
    <w:unhideWhenUsed/>
    <w:rsid w:val="00FF0D22"/>
    <w:pPr>
      <w:spacing w:after="0"/>
      <w:ind w:left="1100"/>
    </w:pPr>
    <w:rPr>
      <w:sz w:val="18"/>
      <w:szCs w:val="18"/>
    </w:rPr>
  </w:style>
  <w:style w:type="paragraph" w:styleId="TOC7">
    <w:name w:val="toc 7"/>
    <w:basedOn w:val="Normal"/>
    <w:next w:val="Normal"/>
    <w:autoRedefine/>
    <w:uiPriority w:val="39"/>
    <w:unhideWhenUsed/>
    <w:rsid w:val="00FF0D22"/>
    <w:pPr>
      <w:spacing w:after="0"/>
      <w:ind w:left="1320"/>
    </w:pPr>
    <w:rPr>
      <w:sz w:val="18"/>
      <w:szCs w:val="18"/>
    </w:rPr>
  </w:style>
  <w:style w:type="paragraph" w:styleId="TOC8">
    <w:name w:val="toc 8"/>
    <w:basedOn w:val="Normal"/>
    <w:next w:val="Normal"/>
    <w:autoRedefine/>
    <w:uiPriority w:val="39"/>
    <w:unhideWhenUsed/>
    <w:rsid w:val="00FF0D22"/>
    <w:pPr>
      <w:spacing w:after="0"/>
      <w:ind w:left="1540"/>
    </w:pPr>
    <w:rPr>
      <w:sz w:val="18"/>
      <w:szCs w:val="18"/>
    </w:rPr>
  </w:style>
  <w:style w:type="paragraph" w:styleId="TOC9">
    <w:name w:val="toc 9"/>
    <w:basedOn w:val="Normal"/>
    <w:next w:val="Normal"/>
    <w:autoRedefine/>
    <w:uiPriority w:val="39"/>
    <w:unhideWhenUsed/>
    <w:rsid w:val="00FF0D22"/>
    <w:pPr>
      <w:spacing w:after="0"/>
      <w:ind w:left="1760"/>
    </w:pPr>
    <w:rPr>
      <w:sz w:val="18"/>
      <w:szCs w:val="18"/>
    </w:rPr>
  </w:style>
  <w:style w:type="paragraph" w:styleId="P68B1DB1-P68B1DB1-Title11">
    <w:name w:val="P68B1DB1-P68B1DB1-Title11"/>
    <w:basedOn w:val="P68B1DB1-Title1"/>
    <w:rPr>
      <w:i/>
      <w:color w:val="FF0000"/>
      <w:sz w:val="24"/>
      <w:szCs w:val="24"/>
      <w:u w:val="none"/>
    </w:rPr>
  </w:style>
  <w:style w:type="paragraph" w:styleId="P68B1DB1-TOC12">
    <w:name w:val="P68B1DB1-TOC12"/>
    <w:basedOn w:val="TOC1"/>
    <w:rPr>
      <w:rFonts w:ascii="Times New Roman" w:hAnsi="Times New Roman" w:cs="Times New Roman"/>
    </w:rPr>
  </w:style>
  <w:style w:type="paragraph" w:styleId="P68B1DB1-Heading13">
    <w:name w:val="P68B1DB1-Heading13"/>
    <w:basedOn w:val="Heading1"/>
    <w:rPr>
      <w:color w:val="auto"/>
    </w:rPr>
  </w:style>
  <w:style w:type="paragraph" w:styleId="P68B1DB1-Heading24">
    <w:name w:val="P68B1DB1-Heading24"/>
    <w:basedOn w:val="Heading2"/>
    <w:rPr>
      <w:color w:val="auto"/>
    </w:rPr>
  </w:style>
  <w:style w:type="paragraph" w:styleId="P68B1DB1-P68B1DB1-Normal135">
    <w:name w:val="P68B1DB1-P68B1DB1-Normal135"/>
    <w:basedOn w:val="P68B1DB1-Normal13"/>
    <w:rPr>
      <w:b w:val="0"/>
      <w:i w:val="0"/>
    </w:rPr>
  </w:style>
  <w:style w:type="paragraph" w:styleId="P68B1DB1-P68B1DB1-Normal146">
    <w:name w:val="P68B1DB1-P68B1DB1-Normal146"/>
    <w:basedOn w:val="P68B1DB1-Normal14"/>
    <w:rPr>
      <w:i/>
      <w:sz w:val="20"/>
    </w:rPr>
  </w:style>
  <w:style w:type="paragraph" w:styleId="P68B1DB1-P68B1DB1-Normal147">
    <w:name w:val="P68B1DB1-P68B1DB1-Normal147"/>
    <w:basedOn w:val="P68B1DB1-Normal14"/>
    <w:rPr>
      <w:i/>
      <w:sz w:val="20"/>
      <w:szCs w:val="18"/>
    </w:rPr>
  </w:style>
  <w:style w:type="paragraph" w:styleId="P68B1DB1-P68B1DB1-Normal168">
    <w:name w:val="P68B1DB1-P68B1DB1-Normal168"/>
    <w:basedOn w:val="P68B1DB1-Normal16"/>
    <w:rPr>
      <w:b/>
      <w:i/>
      <w:sz w:val="22"/>
      <w:szCs w:val="18"/>
    </w:rPr>
  </w:style>
  <w:style w:type="paragraph" w:styleId="P68B1DB1-P68B1DB1-Normal169">
    <w:name w:val="P68B1DB1-P68B1DB1-Normal169"/>
    <w:basedOn w:val="P68B1DB1-Normal16"/>
    <w:rPr>
      <w:b/>
      <w:i/>
      <w:sz w:val="24"/>
      <w:szCs w:val="20"/>
    </w:rPr>
  </w:style>
  <w:style w:type="paragraph" w:styleId="P68B1DB1-P68B1DB1-Normal1710">
    <w:name w:val="P68B1DB1-P68B1DB1-Normal1710"/>
    <w:basedOn w:val="P68B1DB1-Normal17"/>
    <w:rPr>
      <w:i/>
      <w:sz w:val="20"/>
      <w:szCs w:val="18"/>
    </w:rPr>
  </w:style>
  <w:style w:type="paragraph" w:styleId="P68B1DB1-Normal11">
    <w:name w:val="P68B1DB1-Normal11"/>
    <w:basedOn w:val="Normal"/>
    <w:rPr>
      <w:rFonts w:ascii="Times New Roman" w:hAnsi="Times New Roman" w:cs="Times New Roman" w:eastAsia="Times New Roman"/>
      <w:sz w:val="20"/>
      <w:szCs w:val="18"/>
    </w:rPr>
  </w:style>
  <w:style w:type="paragraph" w:styleId="P68B1DB1-Normal19">
    <w:name w:val="P68B1DB1-Normal19"/>
    <w:basedOn w:val="Normal"/>
    <w:rPr>
      <w:rFonts w:ascii="Times New Roman" w:hAnsi="Times New Roman" w:cs="Times New Roman" w:eastAsia="Times New Roman"/>
      <w:i/>
      <w:sz w:val="20"/>
      <w:szCs w:val="18"/>
    </w:rPr>
  </w:style>
  <w:style w:type="paragraph" w:styleId="P68B1DB1-P68B1DB1-Normal1820">
    <w:name w:val="P68B1DB1-P68B1DB1-Normal1820"/>
    <w:basedOn w:val="P68B1DB1-Normal18"/>
    <w:rPr>
      <w:sz w:val="18"/>
      <w:szCs w:val="18"/>
    </w:rPr>
  </w:style>
  <w:style w:type="paragraph" w:styleId="P68B1DB1-P68B1DB1-Normal1421">
    <w:name w:val="P68B1DB1-P68B1DB1-Normal1421"/>
    <w:basedOn w:val="P68B1DB1-Normal14"/>
    <w:rPr>
      <w:i/>
    </w:rPr>
  </w:style>
  <w:style w:type="paragraph" w:styleId="P68B1DB1-P68B1DB1-Normal1622">
    <w:name w:val="P68B1DB1-P68B1DB1-Normal1622"/>
    <w:basedOn w:val="P68B1DB1-Normal16"/>
    <w:rPr>
      <w:b/>
      <w:i/>
      <w:sz w:val="22"/>
      <w:szCs w:val="22"/>
    </w:rPr>
  </w:style>
  <w:style w:type="paragraph" w:styleId="P68B1DB1-P68B1DB1-Normal1623">
    <w:name w:val="P68B1DB1-P68B1DB1-Normal1623"/>
    <w:basedOn w:val="P68B1DB1-Normal1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432">
      <w:bodyDiv w:val="1"/>
      <w:marLeft w:val="0"/>
      <w:marRight w:val="0"/>
      <w:marTop w:val="0"/>
      <w:marBottom w:val="0"/>
      <w:divBdr>
        <w:top w:val="none" w:sz="0" w:space="0" w:color="auto"/>
        <w:left w:val="none" w:sz="0" w:space="0" w:color="auto"/>
        <w:bottom w:val="none" w:sz="0" w:space="0" w:color="auto"/>
        <w:right w:val="none" w:sz="0" w:space="0" w:color="auto"/>
      </w:divBdr>
    </w:div>
    <w:div w:id="26762372">
      <w:bodyDiv w:val="1"/>
      <w:marLeft w:val="0"/>
      <w:marRight w:val="0"/>
      <w:marTop w:val="0"/>
      <w:marBottom w:val="0"/>
      <w:divBdr>
        <w:top w:val="none" w:sz="0" w:space="0" w:color="auto"/>
        <w:left w:val="none" w:sz="0" w:space="0" w:color="auto"/>
        <w:bottom w:val="none" w:sz="0" w:space="0" w:color="auto"/>
        <w:right w:val="none" w:sz="0" w:space="0" w:color="auto"/>
      </w:divBdr>
    </w:div>
    <w:div w:id="34356982">
      <w:bodyDiv w:val="1"/>
      <w:marLeft w:val="0"/>
      <w:marRight w:val="0"/>
      <w:marTop w:val="0"/>
      <w:marBottom w:val="0"/>
      <w:divBdr>
        <w:top w:val="none" w:sz="0" w:space="0" w:color="auto"/>
        <w:left w:val="none" w:sz="0" w:space="0" w:color="auto"/>
        <w:bottom w:val="none" w:sz="0" w:space="0" w:color="auto"/>
        <w:right w:val="none" w:sz="0" w:space="0" w:color="auto"/>
      </w:divBdr>
    </w:div>
    <w:div w:id="37046487">
      <w:bodyDiv w:val="1"/>
      <w:marLeft w:val="0"/>
      <w:marRight w:val="0"/>
      <w:marTop w:val="0"/>
      <w:marBottom w:val="0"/>
      <w:divBdr>
        <w:top w:val="none" w:sz="0" w:space="0" w:color="auto"/>
        <w:left w:val="none" w:sz="0" w:space="0" w:color="auto"/>
        <w:bottom w:val="none" w:sz="0" w:space="0" w:color="auto"/>
        <w:right w:val="none" w:sz="0" w:space="0" w:color="auto"/>
      </w:divBdr>
    </w:div>
    <w:div w:id="89932279">
      <w:bodyDiv w:val="1"/>
      <w:marLeft w:val="0"/>
      <w:marRight w:val="0"/>
      <w:marTop w:val="0"/>
      <w:marBottom w:val="0"/>
      <w:divBdr>
        <w:top w:val="none" w:sz="0" w:space="0" w:color="auto"/>
        <w:left w:val="none" w:sz="0" w:space="0" w:color="auto"/>
        <w:bottom w:val="none" w:sz="0" w:space="0" w:color="auto"/>
        <w:right w:val="none" w:sz="0" w:space="0" w:color="auto"/>
      </w:divBdr>
    </w:div>
    <w:div w:id="90786061">
      <w:bodyDiv w:val="1"/>
      <w:marLeft w:val="0"/>
      <w:marRight w:val="0"/>
      <w:marTop w:val="0"/>
      <w:marBottom w:val="0"/>
      <w:divBdr>
        <w:top w:val="none" w:sz="0" w:space="0" w:color="auto"/>
        <w:left w:val="none" w:sz="0" w:space="0" w:color="auto"/>
        <w:bottom w:val="none" w:sz="0" w:space="0" w:color="auto"/>
        <w:right w:val="none" w:sz="0" w:space="0" w:color="auto"/>
      </w:divBdr>
    </w:div>
    <w:div w:id="96026439">
      <w:bodyDiv w:val="1"/>
      <w:marLeft w:val="0"/>
      <w:marRight w:val="0"/>
      <w:marTop w:val="0"/>
      <w:marBottom w:val="0"/>
      <w:divBdr>
        <w:top w:val="none" w:sz="0" w:space="0" w:color="auto"/>
        <w:left w:val="none" w:sz="0" w:space="0" w:color="auto"/>
        <w:bottom w:val="none" w:sz="0" w:space="0" w:color="auto"/>
        <w:right w:val="none" w:sz="0" w:space="0" w:color="auto"/>
      </w:divBdr>
    </w:div>
    <w:div w:id="100228059">
      <w:bodyDiv w:val="1"/>
      <w:marLeft w:val="0"/>
      <w:marRight w:val="0"/>
      <w:marTop w:val="0"/>
      <w:marBottom w:val="0"/>
      <w:divBdr>
        <w:top w:val="none" w:sz="0" w:space="0" w:color="auto"/>
        <w:left w:val="none" w:sz="0" w:space="0" w:color="auto"/>
        <w:bottom w:val="none" w:sz="0" w:space="0" w:color="auto"/>
        <w:right w:val="none" w:sz="0" w:space="0" w:color="auto"/>
      </w:divBdr>
    </w:div>
    <w:div w:id="120274445">
      <w:bodyDiv w:val="1"/>
      <w:marLeft w:val="0"/>
      <w:marRight w:val="0"/>
      <w:marTop w:val="0"/>
      <w:marBottom w:val="0"/>
      <w:divBdr>
        <w:top w:val="none" w:sz="0" w:space="0" w:color="auto"/>
        <w:left w:val="none" w:sz="0" w:space="0" w:color="auto"/>
        <w:bottom w:val="none" w:sz="0" w:space="0" w:color="auto"/>
        <w:right w:val="none" w:sz="0" w:space="0" w:color="auto"/>
      </w:divBdr>
    </w:div>
    <w:div w:id="126512856">
      <w:bodyDiv w:val="1"/>
      <w:marLeft w:val="0"/>
      <w:marRight w:val="0"/>
      <w:marTop w:val="0"/>
      <w:marBottom w:val="0"/>
      <w:divBdr>
        <w:top w:val="none" w:sz="0" w:space="0" w:color="auto"/>
        <w:left w:val="none" w:sz="0" w:space="0" w:color="auto"/>
        <w:bottom w:val="none" w:sz="0" w:space="0" w:color="auto"/>
        <w:right w:val="none" w:sz="0" w:space="0" w:color="auto"/>
      </w:divBdr>
    </w:div>
    <w:div w:id="155148478">
      <w:bodyDiv w:val="1"/>
      <w:marLeft w:val="0"/>
      <w:marRight w:val="0"/>
      <w:marTop w:val="0"/>
      <w:marBottom w:val="0"/>
      <w:divBdr>
        <w:top w:val="none" w:sz="0" w:space="0" w:color="auto"/>
        <w:left w:val="none" w:sz="0" w:space="0" w:color="auto"/>
        <w:bottom w:val="none" w:sz="0" w:space="0" w:color="auto"/>
        <w:right w:val="none" w:sz="0" w:space="0" w:color="auto"/>
      </w:divBdr>
    </w:div>
    <w:div w:id="223029111">
      <w:bodyDiv w:val="1"/>
      <w:marLeft w:val="0"/>
      <w:marRight w:val="0"/>
      <w:marTop w:val="0"/>
      <w:marBottom w:val="0"/>
      <w:divBdr>
        <w:top w:val="none" w:sz="0" w:space="0" w:color="auto"/>
        <w:left w:val="none" w:sz="0" w:space="0" w:color="auto"/>
        <w:bottom w:val="none" w:sz="0" w:space="0" w:color="auto"/>
        <w:right w:val="none" w:sz="0" w:space="0" w:color="auto"/>
      </w:divBdr>
    </w:div>
    <w:div w:id="244265254">
      <w:bodyDiv w:val="1"/>
      <w:marLeft w:val="0"/>
      <w:marRight w:val="0"/>
      <w:marTop w:val="0"/>
      <w:marBottom w:val="0"/>
      <w:divBdr>
        <w:top w:val="none" w:sz="0" w:space="0" w:color="auto"/>
        <w:left w:val="none" w:sz="0" w:space="0" w:color="auto"/>
        <w:bottom w:val="none" w:sz="0" w:space="0" w:color="auto"/>
        <w:right w:val="none" w:sz="0" w:space="0" w:color="auto"/>
      </w:divBdr>
    </w:div>
    <w:div w:id="257255821">
      <w:bodyDiv w:val="1"/>
      <w:marLeft w:val="0"/>
      <w:marRight w:val="0"/>
      <w:marTop w:val="0"/>
      <w:marBottom w:val="0"/>
      <w:divBdr>
        <w:top w:val="none" w:sz="0" w:space="0" w:color="auto"/>
        <w:left w:val="none" w:sz="0" w:space="0" w:color="auto"/>
        <w:bottom w:val="none" w:sz="0" w:space="0" w:color="auto"/>
        <w:right w:val="none" w:sz="0" w:space="0" w:color="auto"/>
      </w:divBdr>
    </w:div>
    <w:div w:id="259609206">
      <w:bodyDiv w:val="1"/>
      <w:marLeft w:val="0"/>
      <w:marRight w:val="0"/>
      <w:marTop w:val="0"/>
      <w:marBottom w:val="0"/>
      <w:divBdr>
        <w:top w:val="none" w:sz="0" w:space="0" w:color="auto"/>
        <w:left w:val="none" w:sz="0" w:space="0" w:color="auto"/>
        <w:bottom w:val="none" w:sz="0" w:space="0" w:color="auto"/>
        <w:right w:val="none" w:sz="0" w:space="0" w:color="auto"/>
      </w:divBdr>
    </w:div>
    <w:div w:id="261766769">
      <w:bodyDiv w:val="1"/>
      <w:marLeft w:val="0"/>
      <w:marRight w:val="0"/>
      <w:marTop w:val="0"/>
      <w:marBottom w:val="0"/>
      <w:divBdr>
        <w:top w:val="none" w:sz="0" w:space="0" w:color="auto"/>
        <w:left w:val="none" w:sz="0" w:space="0" w:color="auto"/>
        <w:bottom w:val="none" w:sz="0" w:space="0" w:color="auto"/>
        <w:right w:val="none" w:sz="0" w:space="0" w:color="auto"/>
      </w:divBdr>
    </w:div>
    <w:div w:id="269317752">
      <w:bodyDiv w:val="1"/>
      <w:marLeft w:val="0"/>
      <w:marRight w:val="0"/>
      <w:marTop w:val="0"/>
      <w:marBottom w:val="0"/>
      <w:divBdr>
        <w:top w:val="none" w:sz="0" w:space="0" w:color="auto"/>
        <w:left w:val="none" w:sz="0" w:space="0" w:color="auto"/>
        <w:bottom w:val="none" w:sz="0" w:space="0" w:color="auto"/>
        <w:right w:val="none" w:sz="0" w:space="0" w:color="auto"/>
      </w:divBdr>
    </w:div>
    <w:div w:id="271399507">
      <w:bodyDiv w:val="1"/>
      <w:marLeft w:val="0"/>
      <w:marRight w:val="0"/>
      <w:marTop w:val="0"/>
      <w:marBottom w:val="0"/>
      <w:divBdr>
        <w:top w:val="none" w:sz="0" w:space="0" w:color="auto"/>
        <w:left w:val="none" w:sz="0" w:space="0" w:color="auto"/>
        <w:bottom w:val="none" w:sz="0" w:space="0" w:color="auto"/>
        <w:right w:val="none" w:sz="0" w:space="0" w:color="auto"/>
      </w:divBdr>
    </w:div>
    <w:div w:id="278880907">
      <w:bodyDiv w:val="1"/>
      <w:marLeft w:val="0"/>
      <w:marRight w:val="0"/>
      <w:marTop w:val="0"/>
      <w:marBottom w:val="0"/>
      <w:divBdr>
        <w:top w:val="none" w:sz="0" w:space="0" w:color="auto"/>
        <w:left w:val="none" w:sz="0" w:space="0" w:color="auto"/>
        <w:bottom w:val="none" w:sz="0" w:space="0" w:color="auto"/>
        <w:right w:val="none" w:sz="0" w:space="0" w:color="auto"/>
      </w:divBdr>
    </w:div>
    <w:div w:id="291714760">
      <w:bodyDiv w:val="1"/>
      <w:marLeft w:val="0"/>
      <w:marRight w:val="0"/>
      <w:marTop w:val="0"/>
      <w:marBottom w:val="0"/>
      <w:divBdr>
        <w:top w:val="none" w:sz="0" w:space="0" w:color="auto"/>
        <w:left w:val="none" w:sz="0" w:space="0" w:color="auto"/>
        <w:bottom w:val="none" w:sz="0" w:space="0" w:color="auto"/>
        <w:right w:val="none" w:sz="0" w:space="0" w:color="auto"/>
      </w:divBdr>
    </w:div>
    <w:div w:id="300774190">
      <w:bodyDiv w:val="1"/>
      <w:marLeft w:val="0"/>
      <w:marRight w:val="0"/>
      <w:marTop w:val="0"/>
      <w:marBottom w:val="0"/>
      <w:divBdr>
        <w:top w:val="none" w:sz="0" w:space="0" w:color="auto"/>
        <w:left w:val="none" w:sz="0" w:space="0" w:color="auto"/>
        <w:bottom w:val="none" w:sz="0" w:space="0" w:color="auto"/>
        <w:right w:val="none" w:sz="0" w:space="0" w:color="auto"/>
      </w:divBdr>
    </w:div>
    <w:div w:id="305622349">
      <w:bodyDiv w:val="1"/>
      <w:marLeft w:val="0"/>
      <w:marRight w:val="0"/>
      <w:marTop w:val="0"/>
      <w:marBottom w:val="0"/>
      <w:divBdr>
        <w:top w:val="none" w:sz="0" w:space="0" w:color="auto"/>
        <w:left w:val="none" w:sz="0" w:space="0" w:color="auto"/>
        <w:bottom w:val="none" w:sz="0" w:space="0" w:color="auto"/>
        <w:right w:val="none" w:sz="0" w:space="0" w:color="auto"/>
      </w:divBdr>
    </w:div>
    <w:div w:id="308022613">
      <w:bodyDiv w:val="1"/>
      <w:marLeft w:val="0"/>
      <w:marRight w:val="0"/>
      <w:marTop w:val="0"/>
      <w:marBottom w:val="0"/>
      <w:divBdr>
        <w:top w:val="none" w:sz="0" w:space="0" w:color="auto"/>
        <w:left w:val="none" w:sz="0" w:space="0" w:color="auto"/>
        <w:bottom w:val="none" w:sz="0" w:space="0" w:color="auto"/>
        <w:right w:val="none" w:sz="0" w:space="0" w:color="auto"/>
      </w:divBdr>
    </w:div>
    <w:div w:id="322703479">
      <w:bodyDiv w:val="1"/>
      <w:marLeft w:val="0"/>
      <w:marRight w:val="0"/>
      <w:marTop w:val="0"/>
      <w:marBottom w:val="0"/>
      <w:divBdr>
        <w:top w:val="none" w:sz="0" w:space="0" w:color="auto"/>
        <w:left w:val="none" w:sz="0" w:space="0" w:color="auto"/>
        <w:bottom w:val="none" w:sz="0" w:space="0" w:color="auto"/>
        <w:right w:val="none" w:sz="0" w:space="0" w:color="auto"/>
      </w:divBdr>
    </w:div>
    <w:div w:id="345834890">
      <w:bodyDiv w:val="1"/>
      <w:marLeft w:val="0"/>
      <w:marRight w:val="0"/>
      <w:marTop w:val="0"/>
      <w:marBottom w:val="0"/>
      <w:divBdr>
        <w:top w:val="none" w:sz="0" w:space="0" w:color="auto"/>
        <w:left w:val="none" w:sz="0" w:space="0" w:color="auto"/>
        <w:bottom w:val="none" w:sz="0" w:space="0" w:color="auto"/>
        <w:right w:val="none" w:sz="0" w:space="0" w:color="auto"/>
      </w:divBdr>
    </w:div>
    <w:div w:id="347604481">
      <w:bodyDiv w:val="1"/>
      <w:marLeft w:val="0"/>
      <w:marRight w:val="0"/>
      <w:marTop w:val="0"/>
      <w:marBottom w:val="0"/>
      <w:divBdr>
        <w:top w:val="none" w:sz="0" w:space="0" w:color="auto"/>
        <w:left w:val="none" w:sz="0" w:space="0" w:color="auto"/>
        <w:bottom w:val="none" w:sz="0" w:space="0" w:color="auto"/>
        <w:right w:val="none" w:sz="0" w:space="0" w:color="auto"/>
      </w:divBdr>
    </w:div>
    <w:div w:id="351994588">
      <w:bodyDiv w:val="1"/>
      <w:marLeft w:val="0"/>
      <w:marRight w:val="0"/>
      <w:marTop w:val="0"/>
      <w:marBottom w:val="0"/>
      <w:divBdr>
        <w:top w:val="none" w:sz="0" w:space="0" w:color="auto"/>
        <w:left w:val="none" w:sz="0" w:space="0" w:color="auto"/>
        <w:bottom w:val="none" w:sz="0" w:space="0" w:color="auto"/>
        <w:right w:val="none" w:sz="0" w:space="0" w:color="auto"/>
      </w:divBdr>
    </w:div>
    <w:div w:id="374358084">
      <w:bodyDiv w:val="1"/>
      <w:marLeft w:val="0"/>
      <w:marRight w:val="0"/>
      <w:marTop w:val="0"/>
      <w:marBottom w:val="0"/>
      <w:divBdr>
        <w:top w:val="none" w:sz="0" w:space="0" w:color="auto"/>
        <w:left w:val="none" w:sz="0" w:space="0" w:color="auto"/>
        <w:bottom w:val="none" w:sz="0" w:space="0" w:color="auto"/>
        <w:right w:val="none" w:sz="0" w:space="0" w:color="auto"/>
      </w:divBdr>
    </w:div>
    <w:div w:id="390075643">
      <w:bodyDiv w:val="1"/>
      <w:marLeft w:val="0"/>
      <w:marRight w:val="0"/>
      <w:marTop w:val="0"/>
      <w:marBottom w:val="0"/>
      <w:divBdr>
        <w:top w:val="none" w:sz="0" w:space="0" w:color="auto"/>
        <w:left w:val="none" w:sz="0" w:space="0" w:color="auto"/>
        <w:bottom w:val="none" w:sz="0" w:space="0" w:color="auto"/>
        <w:right w:val="none" w:sz="0" w:space="0" w:color="auto"/>
      </w:divBdr>
    </w:div>
    <w:div w:id="394163680">
      <w:bodyDiv w:val="1"/>
      <w:marLeft w:val="0"/>
      <w:marRight w:val="0"/>
      <w:marTop w:val="0"/>
      <w:marBottom w:val="0"/>
      <w:divBdr>
        <w:top w:val="none" w:sz="0" w:space="0" w:color="auto"/>
        <w:left w:val="none" w:sz="0" w:space="0" w:color="auto"/>
        <w:bottom w:val="none" w:sz="0" w:space="0" w:color="auto"/>
        <w:right w:val="none" w:sz="0" w:space="0" w:color="auto"/>
      </w:divBdr>
    </w:div>
    <w:div w:id="394285497">
      <w:bodyDiv w:val="1"/>
      <w:marLeft w:val="0"/>
      <w:marRight w:val="0"/>
      <w:marTop w:val="0"/>
      <w:marBottom w:val="0"/>
      <w:divBdr>
        <w:top w:val="none" w:sz="0" w:space="0" w:color="auto"/>
        <w:left w:val="none" w:sz="0" w:space="0" w:color="auto"/>
        <w:bottom w:val="none" w:sz="0" w:space="0" w:color="auto"/>
        <w:right w:val="none" w:sz="0" w:space="0" w:color="auto"/>
      </w:divBdr>
    </w:div>
    <w:div w:id="408159956">
      <w:bodyDiv w:val="1"/>
      <w:marLeft w:val="0"/>
      <w:marRight w:val="0"/>
      <w:marTop w:val="0"/>
      <w:marBottom w:val="0"/>
      <w:divBdr>
        <w:top w:val="none" w:sz="0" w:space="0" w:color="auto"/>
        <w:left w:val="none" w:sz="0" w:space="0" w:color="auto"/>
        <w:bottom w:val="none" w:sz="0" w:space="0" w:color="auto"/>
        <w:right w:val="none" w:sz="0" w:space="0" w:color="auto"/>
      </w:divBdr>
    </w:div>
    <w:div w:id="427428655">
      <w:bodyDiv w:val="1"/>
      <w:marLeft w:val="0"/>
      <w:marRight w:val="0"/>
      <w:marTop w:val="0"/>
      <w:marBottom w:val="0"/>
      <w:divBdr>
        <w:top w:val="none" w:sz="0" w:space="0" w:color="auto"/>
        <w:left w:val="none" w:sz="0" w:space="0" w:color="auto"/>
        <w:bottom w:val="none" w:sz="0" w:space="0" w:color="auto"/>
        <w:right w:val="none" w:sz="0" w:space="0" w:color="auto"/>
      </w:divBdr>
    </w:div>
    <w:div w:id="479661570">
      <w:bodyDiv w:val="1"/>
      <w:marLeft w:val="0"/>
      <w:marRight w:val="0"/>
      <w:marTop w:val="0"/>
      <w:marBottom w:val="0"/>
      <w:divBdr>
        <w:top w:val="none" w:sz="0" w:space="0" w:color="auto"/>
        <w:left w:val="none" w:sz="0" w:space="0" w:color="auto"/>
        <w:bottom w:val="none" w:sz="0" w:space="0" w:color="auto"/>
        <w:right w:val="none" w:sz="0" w:space="0" w:color="auto"/>
      </w:divBdr>
    </w:div>
    <w:div w:id="485588516">
      <w:bodyDiv w:val="1"/>
      <w:marLeft w:val="0"/>
      <w:marRight w:val="0"/>
      <w:marTop w:val="0"/>
      <w:marBottom w:val="0"/>
      <w:divBdr>
        <w:top w:val="none" w:sz="0" w:space="0" w:color="auto"/>
        <w:left w:val="none" w:sz="0" w:space="0" w:color="auto"/>
        <w:bottom w:val="none" w:sz="0" w:space="0" w:color="auto"/>
        <w:right w:val="none" w:sz="0" w:space="0" w:color="auto"/>
      </w:divBdr>
    </w:div>
    <w:div w:id="504324013">
      <w:bodyDiv w:val="1"/>
      <w:marLeft w:val="0"/>
      <w:marRight w:val="0"/>
      <w:marTop w:val="0"/>
      <w:marBottom w:val="0"/>
      <w:divBdr>
        <w:top w:val="none" w:sz="0" w:space="0" w:color="auto"/>
        <w:left w:val="none" w:sz="0" w:space="0" w:color="auto"/>
        <w:bottom w:val="none" w:sz="0" w:space="0" w:color="auto"/>
        <w:right w:val="none" w:sz="0" w:space="0" w:color="auto"/>
      </w:divBdr>
    </w:div>
    <w:div w:id="544369820">
      <w:bodyDiv w:val="1"/>
      <w:marLeft w:val="0"/>
      <w:marRight w:val="0"/>
      <w:marTop w:val="0"/>
      <w:marBottom w:val="0"/>
      <w:divBdr>
        <w:top w:val="none" w:sz="0" w:space="0" w:color="auto"/>
        <w:left w:val="none" w:sz="0" w:space="0" w:color="auto"/>
        <w:bottom w:val="none" w:sz="0" w:space="0" w:color="auto"/>
        <w:right w:val="none" w:sz="0" w:space="0" w:color="auto"/>
      </w:divBdr>
    </w:div>
    <w:div w:id="553933142">
      <w:bodyDiv w:val="1"/>
      <w:marLeft w:val="0"/>
      <w:marRight w:val="0"/>
      <w:marTop w:val="0"/>
      <w:marBottom w:val="0"/>
      <w:divBdr>
        <w:top w:val="none" w:sz="0" w:space="0" w:color="auto"/>
        <w:left w:val="none" w:sz="0" w:space="0" w:color="auto"/>
        <w:bottom w:val="none" w:sz="0" w:space="0" w:color="auto"/>
        <w:right w:val="none" w:sz="0" w:space="0" w:color="auto"/>
      </w:divBdr>
    </w:div>
    <w:div w:id="560671658">
      <w:bodyDiv w:val="1"/>
      <w:marLeft w:val="0"/>
      <w:marRight w:val="0"/>
      <w:marTop w:val="0"/>
      <w:marBottom w:val="0"/>
      <w:divBdr>
        <w:top w:val="none" w:sz="0" w:space="0" w:color="auto"/>
        <w:left w:val="none" w:sz="0" w:space="0" w:color="auto"/>
        <w:bottom w:val="none" w:sz="0" w:space="0" w:color="auto"/>
        <w:right w:val="none" w:sz="0" w:space="0" w:color="auto"/>
      </w:divBdr>
    </w:div>
    <w:div w:id="586159051">
      <w:bodyDiv w:val="1"/>
      <w:marLeft w:val="0"/>
      <w:marRight w:val="0"/>
      <w:marTop w:val="0"/>
      <w:marBottom w:val="0"/>
      <w:divBdr>
        <w:top w:val="none" w:sz="0" w:space="0" w:color="auto"/>
        <w:left w:val="none" w:sz="0" w:space="0" w:color="auto"/>
        <w:bottom w:val="none" w:sz="0" w:space="0" w:color="auto"/>
        <w:right w:val="none" w:sz="0" w:space="0" w:color="auto"/>
      </w:divBdr>
    </w:div>
    <w:div w:id="599073000">
      <w:bodyDiv w:val="1"/>
      <w:marLeft w:val="0"/>
      <w:marRight w:val="0"/>
      <w:marTop w:val="0"/>
      <w:marBottom w:val="0"/>
      <w:divBdr>
        <w:top w:val="none" w:sz="0" w:space="0" w:color="auto"/>
        <w:left w:val="none" w:sz="0" w:space="0" w:color="auto"/>
        <w:bottom w:val="none" w:sz="0" w:space="0" w:color="auto"/>
        <w:right w:val="none" w:sz="0" w:space="0" w:color="auto"/>
      </w:divBdr>
    </w:div>
    <w:div w:id="601182359">
      <w:bodyDiv w:val="1"/>
      <w:marLeft w:val="0"/>
      <w:marRight w:val="0"/>
      <w:marTop w:val="0"/>
      <w:marBottom w:val="0"/>
      <w:divBdr>
        <w:top w:val="none" w:sz="0" w:space="0" w:color="auto"/>
        <w:left w:val="none" w:sz="0" w:space="0" w:color="auto"/>
        <w:bottom w:val="none" w:sz="0" w:space="0" w:color="auto"/>
        <w:right w:val="none" w:sz="0" w:space="0" w:color="auto"/>
      </w:divBdr>
    </w:div>
    <w:div w:id="624970419">
      <w:bodyDiv w:val="1"/>
      <w:marLeft w:val="0"/>
      <w:marRight w:val="0"/>
      <w:marTop w:val="0"/>
      <w:marBottom w:val="0"/>
      <w:divBdr>
        <w:top w:val="none" w:sz="0" w:space="0" w:color="auto"/>
        <w:left w:val="none" w:sz="0" w:space="0" w:color="auto"/>
        <w:bottom w:val="none" w:sz="0" w:space="0" w:color="auto"/>
        <w:right w:val="none" w:sz="0" w:space="0" w:color="auto"/>
      </w:divBdr>
    </w:div>
    <w:div w:id="634532364">
      <w:bodyDiv w:val="1"/>
      <w:marLeft w:val="0"/>
      <w:marRight w:val="0"/>
      <w:marTop w:val="0"/>
      <w:marBottom w:val="0"/>
      <w:divBdr>
        <w:top w:val="none" w:sz="0" w:space="0" w:color="auto"/>
        <w:left w:val="none" w:sz="0" w:space="0" w:color="auto"/>
        <w:bottom w:val="none" w:sz="0" w:space="0" w:color="auto"/>
        <w:right w:val="none" w:sz="0" w:space="0" w:color="auto"/>
      </w:divBdr>
    </w:div>
    <w:div w:id="637103948">
      <w:bodyDiv w:val="1"/>
      <w:marLeft w:val="0"/>
      <w:marRight w:val="0"/>
      <w:marTop w:val="0"/>
      <w:marBottom w:val="0"/>
      <w:divBdr>
        <w:top w:val="none" w:sz="0" w:space="0" w:color="auto"/>
        <w:left w:val="none" w:sz="0" w:space="0" w:color="auto"/>
        <w:bottom w:val="none" w:sz="0" w:space="0" w:color="auto"/>
        <w:right w:val="none" w:sz="0" w:space="0" w:color="auto"/>
      </w:divBdr>
    </w:div>
    <w:div w:id="639308424">
      <w:bodyDiv w:val="1"/>
      <w:marLeft w:val="0"/>
      <w:marRight w:val="0"/>
      <w:marTop w:val="0"/>
      <w:marBottom w:val="0"/>
      <w:divBdr>
        <w:top w:val="none" w:sz="0" w:space="0" w:color="auto"/>
        <w:left w:val="none" w:sz="0" w:space="0" w:color="auto"/>
        <w:bottom w:val="none" w:sz="0" w:space="0" w:color="auto"/>
        <w:right w:val="none" w:sz="0" w:space="0" w:color="auto"/>
      </w:divBdr>
    </w:div>
    <w:div w:id="659652558">
      <w:bodyDiv w:val="1"/>
      <w:marLeft w:val="0"/>
      <w:marRight w:val="0"/>
      <w:marTop w:val="0"/>
      <w:marBottom w:val="0"/>
      <w:divBdr>
        <w:top w:val="none" w:sz="0" w:space="0" w:color="auto"/>
        <w:left w:val="none" w:sz="0" w:space="0" w:color="auto"/>
        <w:bottom w:val="none" w:sz="0" w:space="0" w:color="auto"/>
        <w:right w:val="none" w:sz="0" w:space="0" w:color="auto"/>
      </w:divBdr>
    </w:div>
    <w:div w:id="667051423">
      <w:bodyDiv w:val="1"/>
      <w:marLeft w:val="0"/>
      <w:marRight w:val="0"/>
      <w:marTop w:val="0"/>
      <w:marBottom w:val="0"/>
      <w:divBdr>
        <w:top w:val="none" w:sz="0" w:space="0" w:color="auto"/>
        <w:left w:val="none" w:sz="0" w:space="0" w:color="auto"/>
        <w:bottom w:val="none" w:sz="0" w:space="0" w:color="auto"/>
        <w:right w:val="none" w:sz="0" w:space="0" w:color="auto"/>
      </w:divBdr>
    </w:div>
    <w:div w:id="669254184">
      <w:bodyDiv w:val="1"/>
      <w:marLeft w:val="0"/>
      <w:marRight w:val="0"/>
      <w:marTop w:val="0"/>
      <w:marBottom w:val="0"/>
      <w:divBdr>
        <w:top w:val="none" w:sz="0" w:space="0" w:color="auto"/>
        <w:left w:val="none" w:sz="0" w:space="0" w:color="auto"/>
        <w:bottom w:val="none" w:sz="0" w:space="0" w:color="auto"/>
        <w:right w:val="none" w:sz="0" w:space="0" w:color="auto"/>
      </w:divBdr>
    </w:div>
    <w:div w:id="685715688">
      <w:bodyDiv w:val="1"/>
      <w:marLeft w:val="0"/>
      <w:marRight w:val="0"/>
      <w:marTop w:val="0"/>
      <w:marBottom w:val="0"/>
      <w:divBdr>
        <w:top w:val="none" w:sz="0" w:space="0" w:color="auto"/>
        <w:left w:val="none" w:sz="0" w:space="0" w:color="auto"/>
        <w:bottom w:val="none" w:sz="0" w:space="0" w:color="auto"/>
        <w:right w:val="none" w:sz="0" w:space="0" w:color="auto"/>
      </w:divBdr>
    </w:div>
    <w:div w:id="694426801">
      <w:bodyDiv w:val="1"/>
      <w:marLeft w:val="0"/>
      <w:marRight w:val="0"/>
      <w:marTop w:val="0"/>
      <w:marBottom w:val="0"/>
      <w:divBdr>
        <w:top w:val="none" w:sz="0" w:space="0" w:color="auto"/>
        <w:left w:val="none" w:sz="0" w:space="0" w:color="auto"/>
        <w:bottom w:val="none" w:sz="0" w:space="0" w:color="auto"/>
        <w:right w:val="none" w:sz="0" w:space="0" w:color="auto"/>
      </w:divBdr>
    </w:div>
    <w:div w:id="728385506">
      <w:bodyDiv w:val="1"/>
      <w:marLeft w:val="0"/>
      <w:marRight w:val="0"/>
      <w:marTop w:val="0"/>
      <w:marBottom w:val="0"/>
      <w:divBdr>
        <w:top w:val="none" w:sz="0" w:space="0" w:color="auto"/>
        <w:left w:val="none" w:sz="0" w:space="0" w:color="auto"/>
        <w:bottom w:val="none" w:sz="0" w:space="0" w:color="auto"/>
        <w:right w:val="none" w:sz="0" w:space="0" w:color="auto"/>
      </w:divBdr>
    </w:div>
    <w:div w:id="799618016">
      <w:bodyDiv w:val="1"/>
      <w:marLeft w:val="0"/>
      <w:marRight w:val="0"/>
      <w:marTop w:val="0"/>
      <w:marBottom w:val="0"/>
      <w:divBdr>
        <w:top w:val="none" w:sz="0" w:space="0" w:color="auto"/>
        <w:left w:val="none" w:sz="0" w:space="0" w:color="auto"/>
        <w:bottom w:val="none" w:sz="0" w:space="0" w:color="auto"/>
        <w:right w:val="none" w:sz="0" w:space="0" w:color="auto"/>
      </w:divBdr>
    </w:div>
    <w:div w:id="801389786">
      <w:bodyDiv w:val="1"/>
      <w:marLeft w:val="0"/>
      <w:marRight w:val="0"/>
      <w:marTop w:val="0"/>
      <w:marBottom w:val="0"/>
      <w:divBdr>
        <w:top w:val="none" w:sz="0" w:space="0" w:color="auto"/>
        <w:left w:val="none" w:sz="0" w:space="0" w:color="auto"/>
        <w:bottom w:val="none" w:sz="0" w:space="0" w:color="auto"/>
        <w:right w:val="none" w:sz="0" w:space="0" w:color="auto"/>
      </w:divBdr>
    </w:div>
    <w:div w:id="806317562">
      <w:bodyDiv w:val="1"/>
      <w:marLeft w:val="0"/>
      <w:marRight w:val="0"/>
      <w:marTop w:val="0"/>
      <w:marBottom w:val="0"/>
      <w:divBdr>
        <w:top w:val="none" w:sz="0" w:space="0" w:color="auto"/>
        <w:left w:val="none" w:sz="0" w:space="0" w:color="auto"/>
        <w:bottom w:val="none" w:sz="0" w:space="0" w:color="auto"/>
        <w:right w:val="none" w:sz="0" w:space="0" w:color="auto"/>
      </w:divBdr>
    </w:div>
    <w:div w:id="808864558">
      <w:bodyDiv w:val="1"/>
      <w:marLeft w:val="0"/>
      <w:marRight w:val="0"/>
      <w:marTop w:val="0"/>
      <w:marBottom w:val="0"/>
      <w:divBdr>
        <w:top w:val="none" w:sz="0" w:space="0" w:color="auto"/>
        <w:left w:val="none" w:sz="0" w:space="0" w:color="auto"/>
        <w:bottom w:val="none" w:sz="0" w:space="0" w:color="auto"/>
        <w:right w:val="none" w:sz="0" w:space="0" w:color="auto"/>
      </w:divBdr>
    </w:div>
    <w:div w:id="812143656">
      <w:bodyDiv w:val="1"/>
      <w:marLeft w:val="0"/>
      <w:marRight w:val="0"/>
      <w:marTop w:val="0"/>
      <w:marBottom w:val="0"/>
      <w:divBdr>
        <w:top w:val="none" w:sz="0" w:space="0" w:color="auto"/>
        <w:left w:val="none" w:sz="0" w:space="0" w:color="auto"/>
        <w:bottom w:val="none" w:sz="0" w:space="0" w:color="auto"/>
        <w:right w:val="none" w:sz="0" w:space="0" w:color="auto"/>
      </w:divBdr>
    </w:div>
    <w:div w:id="817842752">
      <w:bodyDiv w:val="1"/>
      <w:marLeft w:val="0"/>
      <w:marRight w:val="0"/>
      <w:marTop w:val="0"/>
      <w:marBottom w:val="0"/>
      <w:divBdr>
        <w:top w:val="none" w:sz="0" w:space="0" w:color="auto"/>
        <w:left w:val="none" w:sz="0" w:space="0" w:color="auto"/>
        <w:bottom w:val="none" w:sz="0" w:space="0" w:color="auto"/>
        <w:right w:val="none" w:sz="0" w:space="0" w:color="auto"/>
      </w:divBdr>
    </w:div>
    <w:div w:id="818808023">
      <w:bodyDiv w:val="1"/>
      <w:marLeft w:val="0"/>
      <w:marRight w:val="0"/>
      <w:marTop w:val="0"/>
      <w:marBottom w:val="0"/>
      <w:divBdr>
        <w:top w:val="none" w:sz="0" w:space="0" w:color="auto"/>
        <w:left w:val="none" w:sz="0" w:space="0" w:color="auto"/>
        <w:bottom w:val="none" w:sz="0" w:space="0" w:color="auto"/>
        <w:right w:val="none" w:sz="0" w:space="0" w:color="auto"/>
      </w:divBdr>
    </w:div>
    <w:div w:id="820586418">
      <w:bodyDiv w:val="1"/>
      <w:marLeft w:val="0"/>
      <w:marRight w:val="0"/>
      <w:marTop w:val="0"/>
      <w:marBottom w:val="0"/>
      <w:divBdr>
        <w:top w:val="none" w:sz="0" w:space="0" w:color="auto"/>
        <w:left w:val="none" w:sz="0" w:space="0" w:color="auto"/>
        <w:bottom w:val="none" w:sz="0" w:space="0" w:color="auto"/>
        <w:right w:val="none" w:sz="0" w:space="0" w:color="auto"/>
      </w:divBdr>
    </w:div>
    <w:div w:id="825243672">
      <w:bodyDiv w:val="1"/>
      <w:marLeft w:val="0"/>
      <w:marRight w:val="0"/>
      <w:marTop w:val="0"/>
      <w:marBottom w:val="0"/>
      <w:divBdr>
        <w:top w:val="none" w:sz="0" w:space="0" w:color="auto"/>
        <w:left w:val="none" w:sz="0" w:space="0" w:color="auto"/>
        <w:bottom w:val="none" w:sz="0" w:space="0" w:color="auto"/>
        <w:right w:val="none" w:sz="0" w:space="0" w:color="auto"/>
      </w:divBdr>
    </w:div>
    <w:div w:id="851068949">
      <w:bodyDiv w:val="1"/>
      <w:marLeft w:val="0"/>
      <w:marRight w:val="0"/>
      <w:marTop w:val="0"/>
      <w:marBottom w:val="0"/>
      <w:divBdr>
        <w:top w:val="none" w:sz="0" w:space="0" w:color="auto"/>
        <w:left w:val="none" w:sz="0" w:space="0" w:color="auto"/>
        <w:bottom w:val="none" w:sz="0" w:space="0" w:color="auto"/>
        <w:right w:val="none" w:sz="0" w:space="0" w:color="auto"/>
      </w:divBdr>
    </w:div>
    <w:div w:id="853955006">
      <w:bodyDiv w:val="1"/>
      <w:marLeft w:val="0"/>
      <w:marRight w:val="0"/>
      <w:marTop w:val="0"/>
      <w:marBottom w:val="0"/>
      <w:divBdr>
        <w:top w:val="none" w:sz="0" w:space="0" w:color="auto"/>
        <w:left w:val="none" w:sz="0" w:space="0" w:color="auto"/>
        <w:bottom w:val="none" w:sz="0" w:space="0" w:color="auto"/>
        <w:right w:val="none" w:sz="0" w:space="0" w:color="auto"/>
      </w:divBdr>
    </w:div>
    <w:div w:id="861357653">
      <w:bodyDiv w:val="1"/>
      <w:marLeft w:val="0"/>
      <w:marRight w:val="0"/>
      <w:marTop w:val="0"/>
      <w:marBottom w:val="0"/>
      <w:divBdr>
        <w:top w:val="none" w:sz="0" w:space="0" w:color="auto"/>
        <w:left w:val="none" w:sz="0" w:space="0" w:color="auto"/>
        <w:bottom w:val="none" w:sz="0" w:space="0" w:color="auto"/>
        <w:right w:val="none" w:sz="0" w:space="0" w:color="auto"/>
      </w:divBdr>
    </w:div>
    <w:div w:id="866798977">
      <w:bodyDiv w:val="1"/>
      <w:marLeft w:val="0"/>
      <w:marRight w:val="0"/>
      <w:marTop w:val="0"/>
      <w:marBottom w:val="0"/>
      <w:divBdr>
        <w:top w:val="none" w:sz="0" w:space="0" w:color="auto"/>
        <w:left w:val="none" w:sz="0" w:space="0" w:color="auto"/>
        <w:bottom w:val="none" w:sz="0" w:space="0" w:color="auto"/>
        <w:right w:val="none" w:sz="0" w:space="0" w:color="auto"/>
      </w:divBdr>
    </w:div>
    <w:div w:id="868294175">
      <w:bodyDiv w:val="1"/>
      <w:marLeft w:val="0"/>
      <w:marRight w:val="0"/>
      <w:marTop w:val="0"/>
      <w:marBottom w:val="0"/>
      <w:divBdr>
        <w:top w:val="none" w:sz="0" w:space="0" w:color="auto"/>
        <w:left w:val="none" w:sz="0" w:space="0" w:color="auto"/>
        <w:bottom w:val="none" w:sz="0" w:space="0" w:color="auto"/>
        <w:right w:val="none" w:sz="0" w:space="0" w:color="auto"/>
      </w:divBdr>
    </w:div>
    <w:div w:id="873270522">
      <w:bodyDiv w:val="1"/>
      <w:marLeft w:val="0"/>
      <w:marRight w:val="0"/>
      <w:marTop w:val="0"/>
      <w:marBottom w:val="0"/>
      <w:divBdr>
        <w:top w:val="none" w:sz="0" w:space="0" w:color="auto"/>
        <w:left w:val="none" w:sz="0" w:space="0" w:color="auto"/>
        <w:bottom w:val="none" w:sz="0" w:space="0" w:color="auto"/>
        <w:right w:val="none" w:sz="0" w:space="0" w:color="auto"/>
      </w:divBdr>
    </w:div>
    <w:div w:id="878008076">
      <w:bodyDiv w:val="1"/>
      <w:marLeft w:val="0"/>
      <w:marRight w:val="0"/>
      <w:marTop w:val="0"/>
      <w:marBottom w:val="0"/>
      <w:divBdr>
        <w:top w:val="none" w:sz="0" w:space="0" w:color="auto"/>
        <w:left w:val="none" w:sz="0" w:space="0" w:color="auto"/>
        <w:bottom w:val="none" w:sz="0" w:space="0" w:color="auto"/>
        <w:right w:val="none" w:sz="0" w:space="0" w:color="auto"/>
      </w:divBdr>
    </w:div>
    <w:div w:id="882718537">
      <w:bodyDiv w:val="1"/>
      <w:marLeft w:val="0"/>
      <w:marRight w:val="0"/>
      <w:marTop w:val="0"/>
      <w:marBottom w:val="0"/>
      <w:divBdr>
        <w:top w:val="none" w:sz="0" w:space="0" w:color="auto"/>
        <w:left w:val="none" w:sz="0" w:space="0" w:color="auto"/>
        <w:bottom w:val="none" w:sz="0" w:space="0" w:color="auto"/>
        <w:right w:val="none" w:sz="0" w:space="0" w:color="auto"/>
      </w:divBdr>
    </w:div>
    <w:div w:id="893538847">
      <w:bodyDiv w:val="1"/>
      <w:marLeft w:val="0"/>
      <w:marRight w:val="0"/>
      <w:marTop w:val="0"/>
      <w:marBottom w:val="0"/>
      <w:divBdr>
        <w:top w:val="none" w:sz="0" w:space="0" w:color="auto"/>
        <w:left w:val="none" w:sz="0" w:space="0" w:color="auto"/>
        <w:bottom w:val="none" w:sz="0" w:space="0" w:color="auto"/>
        <w:right w:val="none" w:sz="0" w:space="0" w:color="auto"/>
      </w:divBdr>
    </w:div>
    <w:div w:id="895235720">
      <w:bodyDiv w:val="1"/>
      <w:marLeft w:val="0"/>
      <w:marRight w:val="0"/>
      <w:marTop w:val="0"/>
      <w:marBottom w:val="0"/>
      <w:divBdr>
        <w:top w:val="none" w:sz="0" w:space="0" w:color="auto"/>
        <w:left w:val="none" w:sz="0" w:space="0" w:color="auto"/>
        <w:bottom w:val="none" w:sz="0" w:space="0" w:color="auto"/>
        <w:right w:val="none" w:sz="0" w:space="0" w:color="auto"/>
      </w:divBdr>
    </w:div>
    <w:div w:id="925961939">
      <w:bodyDiv w:val="1"/>
      <w:marLeft w:val="0"/>
      <w:marRight w:val="0"/>
      <w:marTop w:val="0"/>
      <w:marBottom w:val="0"/>
      <w:divBdr>
        <w:top w:val="none" w:sz="0" w:space="0" w:color="auto"/>
        <w:left w:val="none" w:sz="0" w:space="0" w:color="auto"/>
        <w:bottom w:val="none" w:sz="0" w:space="0" w:color="auto"/>
        <w:right w:val="none" w:sz="0" w:space="0" w:color="auto"/>
      </w:divBdr>
    </w:div>
    <w:div w:id="928730430">
      <w:bodyDiv w:val="1"/>
      <w:marLeft w:val="0"/>
      <w:marRight w:val="0"/>
      <w:marTop w:val="0"/>
      <w:marBottom w:val="0"/>
      <w:divBdr>
        <w:top w:val="none" w:sz="0" w:space="0" w:color="auto"/>
        <w:left w:val="none" w:sz="0" w:space="0" w:color="auto"/>
        <w:bottom w:val="none" w:sz="0" w:space="0" w:color="auto"/>
        <w:right w:val="none" w:sz="0" w:space="0" w:color="auto"/>
      </w:divBdr>
    </w:div>
    <w:div w:id="939605178">
      <w:bodyDiv w:val="1"/>
      <w:marLeft w:val="0"/>
      <w:marRight w:val="0"/>
      <w:marTop w:val="0"/>
      <w:marBottom w:val="0"/>
      <w:divBdr>
        <w:top w:val="none" w:sz="0" w:space="0" w:color="auto"/>
        <w:left w:val="none" w:sz="0" w:space="0" w:color="auto"/>
        <w:bottom w:val="none" w:sz="0" w:space="0" w:color="auto"/>
        <w:right w:val="none" w:sz="0" w:space="0" w:color="auto"/>
      </w:divBdr>
    </w:div>
    <w:div w:id="961106863">
      <w:bodyDiv w:val="1"/>
      <w:marLeft w:val="0"/>
      <w:marRight w:val="0"/>
      <w:marTop w:val="0"/>
      <w:marBottom w:val="0"/>
      <w:divBdr>
        <w:top w:val="none" w:sz="0" w:space="0" w:color="auto"/>
        <w:left w:val="none" w:sz="0" w:space="0" w:color="auto"/>
        <w:bottom w:val="none" w:sz="0" w:space="0" w:color="auto"/>
        <w:right w:val="none" w:sz="0" w:space="0" w:color="auto"/>
      </w:divBdr>
    </w:div>
    <w:div w:id="962224947">
      <w:bodyDiv w:val="1"/>
      <w:marLeft w:val="0"/>
      <w:marRight w:val="0"/>
      <w:marTop w:val="0"/>
      <w:marBottom w:val="0"/>
      <w:divBdr>
        <w:top w:val="none" w:sz="0" w:space="0" w:color="auto"/>
        <w:left w:val="none" w:sz="0" w:space="0" w:color="auto"/>
        <w:bottom w:val="none" w:sz="0" w:space="0" w:color="auto"/>
        <w:right w:val="none" w:sz="0" w:space="0" w:color="auto"/>
      </w:divBdr>
    </w:div>
    <w:div w:id="964776247">
      <w:bodyDiv w:val="1"/>
      <w:marLeft w:val="0"/>
      <w:marRight w:val="0"/>
      <w:marTop w:val="0"/>
      <w:marBottom w:val="0"/>
      <w:divBdr>
        <w:top w:val="none" w:sz="0" w:space="0" w:color="auto"/>
        <w:left w:val="none" w:sz="0" w:space="0" w:color="auto"/>
        <w:bottom w:val="none" w:sz="0" w:space="0" w:color="auto"/>
        <w:right w:val="none" w:sz="0" w:space="0" w:color="auto"/>
      </w:divBdr>
    </w:div>
    <w:div w:id="975842363">
      <w:bodyDiv w:val="1"/>
      <w:marLeft w:val="0"/>
      <w:marRight w:val="0"/>
      <w:marTop w:val="0"/>
      <w:marBottom w:val="0"/>
      <w:divBdr>
        <w:top w:val="none" w:sz="0" w:space="0" w:color="auto"/>
        <w:left w:val="none" w:sz="0" w:space="0" w:color="auto"/>
        <w:bottom w:val="none" w:sz="0" w:space="0" w:color="auto"/>
        <w:right w:val="none" w:sz="0" w:space="0" w:color="auto"/>
      </w:divBdr>
    </w:div>
    <w:div w:id="982194863">
      <w:bodyDiv w:val="1"/>
      <w:marLeft w:val="0"/>
      <w:marRight w:val="0"/>
      <w:marTop w:val="0"/>
      <w:marBottom w:val="0"/>
      <w:divBdr>
        <w:top w:val="none" w:sz="0" w:space="0" w:color="auto"/>
        <w:left w:val="none" w:sz="0" w:space="0" w:color="auto"/>
        <w:bottom w:val="none" w:sz="0" w:space="0" w:color="auto"/>
        <w:right w:val="none" w:sz="0" w:space="0" w:color="auto"/>
      </w:divBdr>
    </w:div>
    <w:div w:id="1001586752">
      <w:bodyDiv w:val="1"/>
      <w:marLeft w:val="0"/>
      <w:marRight w:val="0"/>
      <w:marTop w:val="0"/>
      <w:marBottom w:val="0"/>
      <w:divBdr>
        <w:top w:val="none" w:sz="0" w:space="0" w:color="auto"/>
        <w:left w:val="none" w:sz="0" w:space="0" w:color="auto"/>
        <w:bottom w:val="none" w:sz="0" w:space="0" w:color="auto"/>
        <w:right w:val="none" w:sz="0" w:space="0" w:color="auto"/>
      </w:divBdr>
    </w:div>
    <w:div w:id="1015035849">
      <w:bodyDiv w:val="1"/>
      <w:marLeft w:val="0"/>
      <w:marRight w:val="0"/>
      <w:marTop w:val="0"/>
      <w:marBottom w:val="0"/>
      <w:divBdr>
        <w:top w:val="none" w:sz="0" w:space="0" w:color="auto"/>
        <w:left w:val="none" w:sz="0" w:space="0" w:color="auto"/>
        <w:bottom w:val="none" w:sz="0" w:space="0" w:color="auto"/>
        <w:right w:val="none" w:sz="0" w:space="0" w:color="auto"/>
      </w:divBdr>
    </w:div>
    <w:div w:id="1018240659">
      <w:bodyDiv w:val="1"/>
      <w:marLeft w:val="0"/>
      <w:marRight w:val="0"/>
      <w:marTop w:val="0"/>
      <w:marBottom w:val="0"/>
      <w:divBdr>
        <w:top w:val="none" w:sz="0" w:space="0" w:color="auto"/>
        <w:left w:val="none" w:sz="0" w:space="0" w:color="auto"/>
        <w:bottom w:val="none" w:sz="0" w:space="0" w:color="auto"/>
        <w:right w:val="none" w:sz="0" w:space="0" w:color="auto"/>
      </w:divBdr>
    </w:div>
    <w:div w:id="1024087676">
      <w:bodyDiv w:val="1"/>
      <w:marLeft w:val="0"/>
      <w:marRight w:val="0"/>
      <w:marTop w:val="0"/>
      <w:marBottom w:val="0"/>
      <w:divBdr>
        <w:top w:val="none" w:sz="0" w:space="0" w:color="auto"/>
        <w:left w:val="none" w:sz="0" w:space="0" w:color="auto"/>
        <w:bottom w:val="none" w:sz="0" w:space="0" w:color="auto"/>
        <w:right w:val="none" w:sz="0" w:space="0" w:color="auto"/>
      </w:divBdr>
    </w:div>
    <w:div w:id="1028021003">
      <w:bodyDiv w:val="1"/>
      <w:marLeft w:val="0"/>
      <w:marRight w:val="0"/>
      <w:marTop w:val="0"/>
      <w:marBottom w:val="0"/>
      <w:divBdr>
        <w:top w:val="none" w:sz="0" w:space="0" w:color="auto"/>
        <w:left w:val="none" w:sz="0" w:space="0" w:color="auto"/>
        <w:bottom w:val="none" w:sz="0" w:space="0" w:color="auto"/>
        <w:right w:val="none" w:sz="0" w:space="0" w:color="auto"/>
      </w:divBdr>
    </w:div>
    <w:div w:id="1032263687">
      <w:bodyDiv w:val="1"/>
      <w:marLeft w:val="0"/>
      <w:marRight w:val="0"/>
      <w:marTop w:val="0"/>
      <w:marBottom w:val="0"/>
      <w:divBdr>
        <w:top w:val="none" w:sz="0" w:space="0" w:color="auto"/>
        <w:left w:val="none" w:sz="0" w:space="0" w:color="auto"/>
        <w:bottom w:val="none" w:sz="0" w:space="0" w:color="auto"/>
        <w:right w:val="none" w:sz="0" w:space="0" w:color="auto"/>
      </w:divBdr>
    </w:div>
    <w:div w:id="1041369523">
      <w:bodyDiv w:val="1"/>
      <w:marLeft w:val="0"/>
      <w:marRight w:val="0"/>
      <w:marTop w:val="0"/>
      <w:marBottom w:val="0"/>
      <w:divBdr>
        <w:top w:val="none" w:sz="0" w:space="0" w:color="auto"/>
        <w:left w:val="none" w:sz="0" w:space="0" w:color="auto"/>
        <w:bottom w:val="none" w:sz="0" w:space="0" w:color="auto"/>
        <w:right w:val="none" w:sz="0" w:space="0" w:color="auto"/>
      </w:divBdr>
    </w:div>
    <w:div w:id="1086876873">
      <w:bodyDiv w:val="1"/>
      <w:marLeft w:val="0"/>
      <w:marRight w:val="0"/>
      <w:marTop w:val="0"/>
      <w:marBottom w:val="0"/>
      <w:divBdr>
        <w:top w:val="none" w:sz="0" w:space="0" w:color="auto"/>
        <w:left w:val="none" w:sz="0" w:space="0" w:color="auto"/>
        <w:bottom w:val="none" w:sz="0" w:space="0" w:color="auto"/>
        <w:right w:val="none" w:sz="0" w:space="0" w:color="auto"/>
      </w:divBdr>
    </w:div>
    <w:div w:id="1087574199">
      <w:bodyDiv w:val="1"/>
      <w:marLeft w:val="0"/>
      <w:marRight w:val="0"/>
      <w:marTop w:val="0"/>
      <w:marBottom w:val="0"/>
      <w:divBdr>
        <w:top w:val="none" w:sz="0" w:space="0" w:color="auto"/>
        <w:left w:val="none" w:sz="0" w:space="0" w:color="auto"/>
        <w:bottom w:val="none" w:sz="0" w:space="0" w:color="auto"/>
        <w:right w:val="none" w:sz="0" w:space="0" w:color="auto"/>
      </w:divBdr>
    </w:div>
    <w:div w:id="1091773831">
      <w:bodyDiv w:val="1"/>
      <w:marLeft w:val="0"/>
      <w:marRight w:val="0"/>
      <w:marTop w:val="0"/>
      <w:marBottom w:val="0"/>
      <w:divBdr>
        <w:top w:val="none" w:sz="0" w:space="0" w:color="auto"/>
        <w:left w:val="none" w:sz="0" w:space="0" w:color="auto"/>
        <w:bottom w:val="none" w:sz="0" w:space="0" w:color="auto"/>
        <w:right w:val="none" w:sz="0" w:space="0" w:color="auto"/>
      </w:divBdr>
    </w:div>
    <w:div w:id="1119835599">
      <w:bodyDiv w:val="1"/>
      <w:marLeft w:val="0"/>
      <w:marRight w:val="0"/>
      <w:marTop w:val="0"/>
      <w:marBottom w:val="0"/>
      <w:divBdr>
        <w:top w:val="none" w:sz="0" w:space="0" w:color="auto"/>
        <w:left w:val="none" w:sz="0" w:space="0" w:color="auto"/>
        <w:bottom w:val="none" w:sz="0" w:space="0" w:color="auto"/>
        <w:right w:val="none" w:sz="0" w:space="0" w:color="auto"/>
      </w:divBdr>
    </w:div>
    <w:div w:id="1131483721">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45313133">
      <w:bodyDiv w:val="1"/>
      <w:marLeft w:val="0"/>
      <w:marRight w:val="0"/>
      <w:marTop w:val="0"/>
      <w:marBottom w:val="0"/>
      <w:divBdr>
        <w:top w:val="none" w:sz="0" w:space="0" w:color="auto"/>
        <w:left w:val="none" w:sz="0" w:space="0" w:color="auto"/>
        <w:bottom w:val="none" w:sz="0" w:space="0" w:color="auto"/>
        <w:right w:val="none" w:sz="0" w:space="0" w:color="auto"/>
      </w:divBdr>
    </w:div>
    <w:div w:id="1162625275">
      <w:bodyDiv w:val="1"/>
      <w:marLeft w:val="0"/>
      <w:marRight w:val="0"/>
      <w:marTop w:val="0"/>
      <w:marBottom w:val="0"/>
      <w:divBdr>
        <w:top w:val="none" w:sz="0" w:space="0" w:color="auto"/>
        <w:left w:val="none" w:sz="0" w:space="0" w:color="auto"/>
        <w:bottom w:val="none" w:sz="0" w:space="0" w:color="auto"/>
        <w:right w:val="none" w:sz="0" w:space="0" w:color="auto"/>
      </w:divBdr>
    </w:div>
    <w:div w:id="1181703073">
      <w:bodyDiv w:val="1"/>
      <w:marLeft w:val="0"/>
      <w:marRight w:val="0"/>
      <w:marTop w:val="0"/>
      <w:marBottom w:val="0"/>
      <w:divBdr>
        <w:top w:val="none" w:sz="0" w:space="0" w:color="auto"/>
        <w:left w:val="none" w:sz="0" w:space="0" w:color="auto"/>
        <w:bottom w:val="none" w:sz="0" w:space="0" w:color="auto"/>
        <w:right w:val="none" w:sz="0" w:space="0" w:color="auto"/>
      </w:divBdr>
    </w:div>
    <w:div w:id="1182205564">
      <w:bodyDiv w:val="1"/>
      <w:marLeft w:val="0"/>
      <w:marRight w:val="0"/>
      <w:marTop w:val="0"/>
      <w:marBottom w:val="0"/>
      <w:divBdr>
        <w:top w:val="none" w:sz="0" w:space="0" w:color="auto"/>
        <w:left w:val="none" w:sz="0" w:space="0" w:color="auto"/>
        <w:bottom w:val="none" w:sz="0" w:space="0" w:color="auto"/>
        <w:right w:val="none" w:sz="0" w:space="0" w:color="auto"/>
      </w:divBdr>
    </w:div>
    <w:div w:id="1223640665">
      <w:bodyDiv w:val="1"/>
      <w:marLeft w:val="0"/>
      <w:marRight w:val="0"/>
      <w:marTop w:val="0"/>
      <w:marBottom w:val="0"/>
      <w:divBdr>
        <w:top w:val="none" w:sz="0" w:space="0" w:color="auto"/>
        <w:left w:val="none" w:sz="0" w:space="0" w:color="auto"/>
        <w:bottom w:val="none" w:sz="0" w:space="0" w:color="auto"/>
        <w:right w:val="none" w:sz="0" w:space="0" w:color="auto"/>
      </w:divBdr>
    </w:div>
    <w:div w:id="1237932868">
      <w:bodyDiv w:val="1"/>
      <w:marLeft w:val="0"/>
      <w:marRight w:val="0"/>
      <w:marTop w:val="0"/>
      <w:marBottom w:val="0"/>
      <w:divBdr>
        <w:top w:val="none" w:sz="0" w:space="0" w:color="auto"/>
        <w:left w:val="none" w:sz="0" w:space="0" w:color="auto"/>
        <w:bottom w:val="none" w:sz="0" w:space="0" w:color="auto"/>
        <w:right w:val="none" w:sz="0" w:space="0" w:color="auto"/>
      </w:divBdr>
    </w:div>
    <w:div w:id="1241911787">
      <w:bodyDiv w:val="1"/>
      <w:marLeft w:val="0"/>
      <w:marRight w:val="0"/>
      <w:marTop w:val="0"/>
      <w:marBottom w:val="0"/>
      <w:divBdr>
        <w:top w:val="none" w:sz="0" w:space="0" w:color="auto"/>
        <w:left w:val="none" w:sz="0" w:space="0" w:color="auto"/>
        <w:bottom w:val="none" w:sz="0" w:space="0" w:color="auto"/>
        <w:right w:val="none" w:sz="0" w:space="0" w:color="auto"/>
      </w:divBdr>
    </w:div>
    <w:div w:id="1245140899">
      <w:bodyDiv w:val="1"/>
      <w:marLeft w:val="0"/>
      <w:marRight w:val="0"/>
      <w:marTop w:val="0"/>
      <w:marBottom w:val="0"/>
      <w:divBdr>
        <w:top w:val="none" w:sz="0" w:space="0" w:color="auto"/>
        <w:left w:val="none" w:sz="0" w:space="0" w:color="auto"/>
        <w:bottom w:val="none" w:sz="0" w:space="0" w:color="auto"/>
        <w:right w:val="none" w:sz="0" w:space="0" w:color="auto"/>
      </w:divBdr>
    </w:div>
    <w:div w:id="1253853942">
      <w:bodyDiv w:val="1"/>
      <w:marLeft w:val="0"/>
      <w:marRight w:val="0"/>
      <w:marTop w:val="0"/>
      <w:marBottom w:val="0"/>
      <w:divBdr>
        <w:top w:val="none" w:sz="0" w:space="0" w:color="auto"/>
        <w:left w:val="none" w:sz="0" w:space="0" w:color="auto"/>
        <w:bottom w:val="none" w:sz="0" w:space="0" w:color="auto"/>
        <w:right w:val="none" w:sz="0" w:space="0" w:color="auto"/>
      </w:divBdr>
    </w:div>
    <w:div w:id="1256548914">
      <w:bodyDiv w:val="1"/>
      <w:marLeft w:val="0"/>
      <w:marRight w:val="0"/>
      <w:marTop w:val="0"/>
      <w:marBottom w:val="0"/>
      <w:divBdr>
        <w:top w:val="none" w:sz="0" w:space="0" w:color="auto"/>
        <w:left w:val="none" w:sz="0" w:space="0" w:color="auto"/>
        <w:bottom w:val="none" w:sz="0" w:space="0" w:color="auto"/>
        <w:right w:val="none" w:sz="0" w:space="0" w:color="auto"/>
      </w:divBdr>
    </w:div>
    <w:div w:id="1274089464">
      <w:bodyDiv w:val="1"/>
      <w:marLeft w:val="0"/>
      <w:marRight w:val="0"/>
      <w:marTop w:val="0"/>
      <w:marBottom w:val="0"/>
      <w:divBdr>
        <w:top w:val="none" w:sz="0" w:space="0" w:color="auto"/>
        <w:left w:val="none" w:sz="0" w:space="0" w:color="auto"/>
        <w:bottom w:val="none" w:sz="0" w:space="0" w:color="auto"/>
        <w:right w:val="none" w:sz="0" w:space="0" w:color="auto"/>
      </w:divBdr>
    </w:div>
    <w:div w:id="1275594372">
      <w:bodyDiv w:val="1"/>
      <w:marLeft w:val="0"/>
      <w:marRight w:val="0"/>
      <w:marTop w:val="0"/>
      <w:marBottom w:val="0"/>
      <w:divBdr>
        <w:top w:val="none" w:sz="0" w:space="0" w:color="auto"/>
        <w:left w:val="none" w:sz="0" w:space="0" w:color="auto"/>
        <w:bottom w:val="none" w:sz="0" w:space="0" w:color="auto"/>
        <w:right w:val="none" w:sz="0" w:space="0" w:color="auto"/>
      </w:divBdr>
    </w:div>
    <w:div w:id="1290549286">
      <w:bodyDiv w:val="1"/>
      <w:marLeft w:val="0"/>
      <w:marRight w:val="0"/>
      <w:marTop w:val="0"/>
      <w:marBottom w:val="0"/>
      <w:divBdr>
        <w:top w:val="none" w:sz="0" w:space="0" w:color="auto"/>
        <w:left w:val="none" w:sz="0" w:space="0" w:color="auto"/>
        <w:bottom w:val="none" w:sz="0" w:space="0" w:color="auto"/>
        <w:right w:val="none" w:sz="0" w:space="0" w:color="auto"/>
      </w:divBdr>
    </w:div>
    <w:div w:id="1320496794">
      <w:bodyDiv w:val="1"/>
      <w:marLeft w:val="0"/>
      <w:marRight w:val="0"/>
      <w:marTop w:val="0"/>
      <w:marBottom w:val="0"/>
      <w:divBdr>
        <w:top w:val="none" w:sz="0" w:space="0" w:color="auto"/>
        <w:left w:val="none" w:sz="0" w:space="0" w:color="auto"/>
        <w:bottom w:val="none" w:sz="0" w:space="0" w:color="auto"/>
        <w:right w:val="none" w:sz="0" w:space="0" w:color="auto"/>
      </w:divBdr>
    </w:div>
    <w:div w:id="1323898560">
      <w:bodyDiv w:val="1"/>
      <w:marLeft w:val="0"/>
      <w:marRight w:val="0"/>
      <w:marTop w:val="0"/>
      <w:marBottom w:val="0"/>
      <w:divBdr>
        <w:top w:val="none" w:sz="0" w:space="0" w:color="auto"/>
        <w:left w:val="none" w:sz="0" w:space="0" w:color="auto"/>
        <w:bottom w:val="none" w:sz="0" w:space="0" w:color="auto"/>
        <w:right w:val="none" w:sz="0" w:space="0" w:color="auto"/>
      </w:divBdr>
    </w:div>
    <w:div w:id="1330671052">
      <w:bodyDiv w:val="1"/>
      <w:marLeft w:val="0"/>
      <w:marRight w:val="0"/>
      <w:marTop w:val="0"/>
      <w:marBottom w:val="0"/>
      <w:divBdr>
        <w:top w:val="none" w:sz="0" w:space="0" w:color="auto"/>
        <w:left w:val="none" w:sz="0" w:space="0" w:color="auto"/>
        <w:bottom w:val="none" w:sz="0" w:space="0" w:color="auto"/>
        <w:right w:val="none" w:sz="0" w:space="0" w:color="auto"/>
      </w:divBdr>
    </w:div>
    <w:div w:id="1358115293">
      <w:bodyDiv w:val="1"/>
      <w:marLeft w:val="0"/>
      <w:marRight w:val="0"/>
      <w:marTop w:val="0"/>
      <w:marBottom w:val="0"/>
      <w:divBdr>
        <w:top w:val="none" w:sz="0" w:space="0" w:color="auto"/>
        <w:left w:val="none" w:sz="0" w:space="0" w:color="auto"/>
        <w:bottom w:val="none" w:sz="0" w:space="0" w:color="auto"/>
        <w:right w:val="none" w:sz="0" w:space="0" w:color="auto"/>
      </w:divBdr>
    </w:div>
    <w:div w:id="1366566787">
      <w:bodyDiv w:val="1"/>
      <w:marLeft w:val="0"/>
      <w:marRight w:val="0"/>
      <w:marTop w:val="0"/>
      <w:marBottom w:val="0"/>
      <w:divBdr>
        <w:top w:val="none" w:sz="0" w:space="0" w:color="auto"/>
        <w:left w:val="none" w:sz="0" w:space="0" w:color="auto"/>
        <w:bottom w:val="none" w:sz="0" w:space="0" w:color="auto"/>
        <w:right w:val="none" w:sz="0" w:space="0" w:color="auto"/>
      </w:divBdr>
    </w:div>
    <w:div w:id="1382703684">
      <w:bodyDiv w:val="1"/>
      <w:marLeft w:val="0"/>
      <w:marRight w:val="0"/>
      <w:marTop w:val="0"/>
      <w:marBottom w:val="0"/>
      <w:divBdr>
        <w:top w:val="none" w:sz="0" w:space="0" w:color="auto"/>
        <w:left w:val="none" w:sz="0" w:space="0" w:color="auto"/>
        <w:bottom w:val="none" w:sz="0" w:space="0" w:color="auto"/>
        <w:right w:val="none" w:sz="0" w:space="0" w:color="auto"/>
      </w:divBdr>
    </w:div>
    <w:div w:id="1405033862">
      <w:bodyDiv w:val="1"/>
      <w:marLeft w:val="0"/>
      <w:marRight w:val="0"/>
      <w:marTop w:val="0"/>
      <w:marBottom w:val="0"/>
      <w:divBdr>
        <w:top w:val="none" w:sz="0" w:space="0" w:color="auto"/>
        <w:left w:val="none" w:sz="0" w:space="0" w:color="auto"/>
        <w:bottom w:val="none" w:sz="0" w:space="0" w:color="auto"/>
        <w:right w:val="none" w:sz="0" w:space="0" w:color="auto"/>
      </w:divBdr>
    </w:div>
    <w:div w:id="1409419333">
      <w:bodyDiv w:val="1"/>
      <w:marLeft w:val="0"/>
      <w:marRight w:val="0"/>
      <w:marTop w:val="0"/>
      <w:marBottom w:val="0"/>
      <w:divBdr>
        <w:top w:val="none" w:sz="0" w:space="0" w:color="auto"/>
        <w:left w:val="none" w:sz="0" w:space="0" w:color="auto"/>
        <w:bottom w:val="none" w:sz="0" w:space="0" w:color="auto"/>
        <w:right w:val="none" w:sz="0" w:space="0" w:color="auto"/>
      </w:divBdr>
    </w:div>
    <w:div w:id="1414620349">
      <w:bodyDiv w:val="1"/>
      <w:marLeft w:val="0"/>
      <w:marRight w:val="0"/>
      <w:marTop w:val="0"/>
      <w:marBottom w:val="0"/>
      <w:divBdr>
        <w:top w:val="none" w:sz="0" w:space="0" w:color="auto"/>
        <w:left w:val="none" w:sz="0" w:space="0" w:color="auto"/>
        <w:bottom w:val="none" w:sz="0" w:space="0" w:color="auto"/>
        <w:right w:val="none" w:sz="0" w:space="0" w:color="auto"/>
      </w:divBdr>
    </w:div>
    <w:div w:id="1427578041">
      <w:bodyDiv w:val="1"/>
      <w:marLeft w:val="0"/>
      <w:marRight w:val="0"/>
      <w:marTop w:val="0"/>
      <w:marBottom w:val="0"/>
      <w:divBdr>
        <w:top w:val="none" w:sz="0" w:space="0" w:color="auto"/>
        <w:left w:val="none" w:sz="0" w:space="0" w:color="auto"/>
        <w:bottom w:val="none" w:sz="0" w:space="0" w:color="auto"/>
        <w:right w:val="none" w:sz="0" w:space="0" w:color="auto"/>
      </w:divBdr>
    </w:div>
    <w:div w:id="1438065585">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8814079">
      <w:bodyDiv w:val="1"/>
      <w:marLeft w:val="0"/>
      <w:marRight w:val="0"/>
      <w:marTop w:val="0"/>
      <w:marBottom w:val="0"/>
      <w:divBdr>
        <w:top w:val="none" w:sz="0" w:space="0" w:color="auto"/>
        <w:left w:val="none" w:sz="0" w:space="0" w:color="auto"/>
        <w:bottom w:val="none" w:sz="0" w:space="0" w:color="auto"/>
        <w:right w:val="none" w:sz="0" w:space="0" w:color="auto"/>
      </w:divBdr>
    </w:div>
    <w:div w:id="1449395336">
      <w:bodyDiv w:val="1"/>
      <w:marLeft w:val="0"/>
      <w:marRight w:val="0"/>
      <w:marTop w:val="0"/>
      <w:marBottom w:val="0"/>
      <w:divBdr>
        <w:top w:val="none" w:sz="0" w:space="0" w:color="auto"/>
        <w:left w:val="none" w:sz="0" w:space="0" w:color="auto"/>
        <w:bottom w:val="none" w:sz="0" w:space="0" w:color="auto"/>
        <w:right w:val="none" w:sz="0" w:space="0" w:color="auto"/>
      </w:divBdr>
    </w:div>
    <w:div w:id="1519351655">
      <w:bodyDiv w:val="1"/>
      <w:marLeft w:val="0"/>
      <w:marRight w:val="0"/>
      <w:marTop w:val="0"/>
      <w:marBottom w:val="0"/>
      <w:divBdr>
        <w:top w:val="none" w:sz="0" w:space="0" w:color="auto"/>
        <w:left w:val="none" w:sz="0" w:space="0" w:color="auto"/>
        <w:bottom w:val="none" w:sz="0" w:space="0" w:color="auto"/>
        <w:right w:val="none" w:sz="0" w:space="0" w:color="auto"/>
      </w:divBdr>
    </w:div>
    <w:div w:id="1519544628">
      <w:bodyDiv w:val="1"/>
      <w:marLeft w:val="0"/>
      <w:marRight w:val="0"/>
      <w:marTop w:val="0"/>
      <w:marBottom w:val="0"/>
      <w:divBdr>
        <w:top w:val="none" w:sz="0" w:space="0" w:color="auto"/>
        <w:left w:val="none" w:sz="0" w:space="0" w:color="auto"/>
        <w:bottom w:val="none" w:sz="0" w:space="0" w:color="auto"/>
        <w:right w:val="none" w:sz="0" w:space="0" w:color="auto"/>
      </w:divBdr>
    </w:div>
    <w:div w:id="1539202657">
      <w:bodyDiv w:val="1"/>
      <w:marLeft w:val="0"/>
      <w:marRight w:val="0"/>
      <w:marTop w:val="0"/>
      <w:marBottom w:val="0"/>
      <w:divBdr>
        <w:top w:val="none" w:sz="0" w:space="0" w:color="auto"/>
        <w:left w:val="none" w:sz="0" w:space="0" w:color="auto"/>
        <w:bottom w:val="none" w:sz="0" w:space="0" w:color="auto"/>
        <w:right w:val="none" w:sz="0" w:space="0" w:color="auto"/>
      </w:divBdr>
    </w:div>
    <w:div w:id="1558660905">
      <w:bodyDiv w:val="1"/>
      <w:marLeft w:val="0"/>
      <w:marRight w:val="0"/>
      <w:marTop w:val="0"/>
      <w:marBottom w:val="0"/>
      <w:divBdr>
        <w:top w:val="none" w:sz="0" w:space="0" w:color="auto"/>
        <w:left w:val="none" w:sz="0" w:space="0" w:color="auto"/>
        <w:bottom w:val="none" w:sz="0" w:space="0" w:color="auto"/>
        <w:right w:val="none" w:sz="0" w:space="0" w:color="auto"/>
      </w:divBdr>
    </w:div>
    <w:div w:id="1577326650">
      <w:bodyDiv w:val="1"/>
      <w:marLeft w:val="0"/>
      <w:marRight w:val="0"/>
      <w:marTop w:val="0"/>
      <w:marBottom w:val="0"/>
      <w:divBdr>
        <w:top w:val="none" w:sz="0" w:space="0" w:color="auto"/>
        <w:left w:val="none" w:sz="0" w:space="0" w:color="auto"/>
        <w:bottom w:val="none" w:sz="0" w:space="0" w:color="auto"/>
        <w:right w:val="none" w:sz="0" w:space="0" w:color="auto"/>
      </w:divBdr>
    </w:div>
    <w:div w:id="1607535979">
      <w:bodyDiv w:val="1"/>
      <w:marLeft w:val="0"/>
      <w:marRight w:val="0"/>
      <w:marTop w:val="0"/>
      <w:marBottom w:val="0"/>
      <w:divBdr>
        <w:top w:val="none" w:sz="0" w:space="0" w:color="auto"/>
        <w:left w:val="none" w:sz="0" w:space="0" w:color="auto"/>
        <w:bottom w:val="none" w:sz="0" w:space="0" w:color="auto"/>
        <w:right w:val="none" w:sz="0" w:space="0" w:color="auto"/>
      </w:divBdr>
    </w:div>
    <w:div w:id="1618176952">
      <w:bodyDiv w:val="1"/>
      <w:marLeft w:val="0"/>
      <w:marRight w:val="0"/>
      <w:marTop w:val="0"/>
      <w:marBottom w:val="0"/>
      <w:divBdr>
        <w:top w:val="none" w:sz="0" w:space="0" w:color="auto"/>
        <w:left w:val="none" w:sz="0" w:space="0" w:color="auto"/>
        <w:bottom w:val="none" w:sz="0" w:space="0" w:color="auto"/>
        <w:right w:val="none" w:sz="0" w:space="0" w:color="auto"/>
      </w:divBdr>
    </w:div>
    <w:div w:id="1660233669">
      <w:bodyDiv w:val="1"/>
      <w:marLeft w:val="0"/>
      <w:marRight w:val="0"/>
      <w:marTop w:val="0"/>
      <w:marBottom w:val="0"/>
      <w:divBdr>
        <w:top w:val="none" w:sz="0" w:space="0" w:color="auto"/>
        <w:left w:val="none" w:sz="0" w:space="0" w:color="auto"/>
        <w:bottom w:val="none" w:sz="0" w:space="0" w:color="auto"/>
        <w:right w:val="none" w:sz="0" w:space="0" w:color="auto"/>
      </w:divBdr>
    </w:div>
    <w:div w:id="1666205262">
      <w:bodyDiv w:val="1"/>
      <w:marLeft w:val="0"/>
      <w:marRight w:val="0"/>
      <w:marTop w:val="0"/>
      <w:marBottom w:val="0"/>
      <w:divBdr>
        <w:top w:val="none" w:sz="0" w:space="0" w:color="auto"/>
        <w:left w:val="none" w:sz="0" w:space="0" w:color="auto"/>
        <w:bottom w:val="none" w:sz="0" w:space="0" w:color="auto"/>
        <w:right w:val="none" w:sz="0" w:space="0" w:color="auto"/>
      </w:divBdr>
    </w:div>
    <w:div w:id="1707371767">
      <w:bodyDiv w:val="1"/>
      <w:marLeft w:val="0"/>
      <w:marRight w:val="0"/>
      <w:marTop w:val="0"/>
      <w:marBottom w:val="0"/>
      <w:divBdr>
        <w:top w:val="none" w:sz="0" w:space="0" w:color="auto"/>
        <w:left w:val="none" w:sz="0" w:space="0" w:color="auto"/>
        <w:bottom w:val="none" w:sz="0" w:space="0" w:color="auto"/>
        <w:right w:val="none" w:sz="0" w:space="0" w:color="auto"/>
      </w:divBdr>
    </w:div>
    <w:div w:id="1726837295">
      <w:bodyDiv w:val="1"/>
      <w:marLeft w:val="0"/>
      <w:marRight w:val="0"/>
      <w:marTop w:val="0"/>
      <w:marBottom w:val="0"/>
      <w:divBdr>
        <w:top w:val="none" w:sz="0" w:space="0" w:color="auto"/>
        <w:left w:val="none" w:sz="0" w:space="0" w:color="auto"/>
        <w:bottom w:val="none" w:sz="0" w:space="0" w:color="auto"/>
        <w:right w:val="none" w:sz="0" w:space="0" w:color="auto"/>
      </w:divBdr>
    </w:div>
    <w:div w:id="1741638900">
      <w:bodyDiv w:val="1"/>
      <w:marLeft w:val="0"/>
      <w:marRight w:val="0"/>
      <w:marTop w:val="0"/>
      <w:marBottom w:val="0"/>
      <w:divBdr>
        <w:top w:val="none" w:sz="0" w:space="0" w:color="auto"/>
        <w:left w:val="none" w:sz="0" w:space="0" w:color="auto"/>
        <w:bottom w:val="none" w:sz="0" w:space="0" w:color="auto"/>
        <w:right w:val="none" w:sz="0" w:space="0" w:color="auto"/>
      </w:divBdr>
    </w:div>
    <w:div w:id="1747875453">
      <w:bodyDiv w:val="1"/>
      <w:marLeft w:val="0"/>
      <w:marRight w:val="0"/>
      <w:marTop w:val="0"/>
      <w:marBottom w:val="0"/>
      <w:divBdr>
        <w:top w:val="none" w:sz="0" w:space="0" w:color="auto"/>
        <w:left w:val="none" w:sz="0" w:space="0" w:color="auto"/>
        <w:bottom w:val="none" w:sz="0" w:space="0" w:color="auto"/>
        <w:right w:val="none" w:sz="0" w:space="0" w:color="auto"/>
      </w:divBdr>
    </w:div>
    <w:div w:id="1778408548">
      <w:bodyDiv w:val="1"/>
      <w:marLeft w:val="0"/>
      <w:marRight w:val="0"/>
      <w:marTop w:val="0"/>
      <w:marBottom w:val="0"/>
      <w:divBdr>
        <w:top w:val="none" w:sz="0" w:space="0" w:color="auto"/>
        <w:left w:val="none" w:sz="0" w:space="0" w:color="auto"/>
        <w:bottom w:val="none" w:sz="0" w:space="0" w:color="auto"/>
        <w:right w:val="none" w:sz="0" w:space="0" w:color="auto"/>
      </w:divBdr>
    </w:div>
    <w:div w:id="1778521265">
      <w:bodyDiv w:val="1"/>
      <w:marLeft w:val="0"/>
      <w:marRight w:val="0"/>
      <w:marTop w:val="0"/>
      <w:marBottom w:val="0"/>
      <w:divBdr>
        <w:top w:val="none" w:sz="0" w:space="0" w:color="auto"/>
        <w:left w:val="none" w:sz="0" w:space="0" w:color="auto"/>
        <w:bottom w:val="none" w:sz="0" w:space="0" w:color="auto"/>
        <w:right w:val="none" w:sz="0" w:space="0" w:color="auto"/>
      </w:divBdr>
    </w:div>
    <w:div w:id="1780639913">
      <w:bodyDiv w:val="1"/>
      <w:marLeft w:val="0"/>
      <w:marRight w:val="0"/>
      <w:marTop w:val="0"/>
      <w:marBottom w:val="0"/>
      <w:divBdr>
        <w:top w:val="none" w:sz="0" w:space="0" w:color="auto"/>
        <w:left w:val="none" w:sz="0" w:space="0" w:color="auto"/>
        <w:bottom w:val="none" w:sz="0" w:space="0" w:color="auto"/>
        <w:right w:val="none" w:sz="0" w:space="0" w:color="auto"/>
      </w:divBdr>
    </w:div>
    <w:div w:id="1790053855">
      <w:bodyDiv w:val="1"/>
      <w:marLeft w:val="0"/>
      <w:marRight w:val="0"/>
      <w:marTop w:val="0"/>
      <w:marBottom w:val="0"/>
      <w:divBdr>
        <w:top w:val="none" w:sz="0" w:space="0" w:color="auto"/>
        <w:left w:val="none" w:sz="0" w:space="0" w:color="auto"/>
        <w:bottom w:val="none" w:sz="0" w:space="0" w:color="auto"/>
        <w:right w:val="none" w:sz="0" w:space="0" w:color="auto"/>
      </w:divBdr>
    </w:div>
    <w:div w:id="1791703791">
      <w:bodyDiv w:val="1"/>
      <w:marLeft w:val="0"/>
      <w:marRight w:val="0"/>
      <w:marTop w:val="0"/>
      <w:marBottom w:val="0"/>
      <w:divBdr>
        <w:top w:val="none" w:sz="0" w:space="0" w:color="auto"/>
        <w:left w:val="none" w:sz="0" w:space="0" w:color="auto"/>
        <w:bottom w:val="none" w:sz="0" w:space="0" w:color="auto"/>
        <w:right w:val="none" w:sz="0" w:space="0" w:color="auto"/>
      </w:divBdr>
    </w:div>
    <w:div w:id="1848057232">
      <w:bodyDiv w:val="1"/>
      <w:marLeft w:val="0"/>
      <w:marRight w:val="0"/>
      <w:marTop w:val="0"/>
      <w:marBottom w:val="0"/>
      <w:divBdr>
        <w:top w:val="none" w:sz="0" w:space="0" w:color="auto"/>
        <w:left w:val="none" w:sz="0" w:space="0" w:color="auto"/>
        <w:bottom w:val="none" w:sz="0" w:space="0" w:color="auto"/>
        <w:right w:val="none" w:sz="0" w:space="0" w:color="auto"/>
      </w:divBdr>
    </w:div>
    <w:div w:id="1854808051">
      <w:bodyDiv w:val="1"/>
      <w:marLeft w:val="0"/>
      <w:marRight w:val="0"/>
      <w:marTop w:val="0"/>
      <w:marBottom w:val="0"/>
      <w:divBdr>
        <w:top w:val="none" w:sz="0" w:space="0" w:color="auto"/>
        <w:left w:val="none" w:sz="0" w:space="0" w:color="auto"/>
        <w:bottom w:val="none" w:sz="0" w:space="0" w:color="auto"/>
        <w:right w:val="none" w:sz="0" w:space="0" w:color="auto"/>
      </w:divBdr>
    </w:div>
    <w:div w:id="1862087048">
      <w:bodyDiv w:val="1"/>
      <w:marLeft w:val="0"/>
      <w:marRight w:val="0"/>
      <w:marTop w:val="0"/>
      <w:marBottom w:val="0"/>
      <w:divBdr>
        <w:top w:val="none" w:sz="0" w:space="0" w:color="auto"/>
        <w:left w:val="none" w:sz="0" w:space="0" w:color="auto"/>
        <w:bottom w:val="none" w:sz="0" w:space="0" w:color="auto"/>
        <w:right w:val="none" w:sz="0" w:space="0" w:color="auto"/>
      </w:divBdr>
    </w:div>
    <w:div w:id="1868248640">
      <w:bodyDiv w:val="1"/>
      <w:marLeft w:val="0"/>
      <w:marRight w:val="0"/>
      <w:marTop w:val="0"/>
      <w:marBottom w:val="0"/>
      <w:divBdr>
        <w:top w:val="none" w:sz="0" w:space="0" w:color="auto"/>
        <w:left w:val="none" w:sz="0" w:space="0" w:color="auto"/>
        <w:bottom w:val="none" w:sz="0" w:space="0" w:color="auto"/>
        <w:right w:val="none" w:sz="0" w:space="0" w:color="auto"/>
      </w:divBdr>
    </w:div>
    <w:div w:id="1881897225">
      <w:bodyDiv w:val="1"/>
      <w:marLeft w:val="0"/>
      <w:marRight w:val="0"/>
      <w:marTop w:val="0"/>
      <w:marBottom w:val="0"/>
      <w:divBdr>
        <w:top w:val="none" w:sz="0" w:space="0" w:color="auto"/>
        <w:left w:val="none" w:sz="0" w:space="0" w:color="auto"/>
        <w:bottom w:val="none" w:sz="0" w:space="0" w:color="auto"/>
        <w:right w:val="none" w:sz="0" w:space="0" w:color="auto"/>
      </w:divBdr>
    </w:div>
    <w:div w:id="1885170293">
      <w:bodyDiv w:val="1"/>
      <w:marLeft w:val="0"/>
      <w:marRight w:val="0"/>
      <w:marTop w:val="0"/>
      <w:marBottom w:val="0"/>
      <w:divBdr>
        <w:top w:val="none" w:sz="0" w:space="0" w:color="auto"/>
        <w:left w:val="none" w:sz="0" w:space="0" w:color="auto"/>
        <w:bottom w:val="none" w:sz="0" w:space="0" w:color="auto"/>
        <w:right w:val="none" w:sz="0" w:space="0" w:color="auto"/>
      </w:divBdr>
    </w:div>
    <w:div w:id="1906991026">
      <w:bodyDiv w:val="1"/>
      <w:marLeft w:val="0"/>
      <w:marRight w:val="0"/>
      <w:marTop w:val="0"/>
      <w:marBottom w:val="0"/>
      <w:divBdr>
        <w:top w:val="none" w:sz="0" w:space="0" w:color="auto"/>
        <w:left w:val="none" w:sz="0" w:space="0" w:color="auto"/>
        <w:bottom w:val="none" w:sz="0" w:space="0" w:color="auto"/>
        <w:right w:val="none" w:sz="0" w:space="0" w:color="auto"/>
      </w:divBdr>
    </w:div>
    <w:div w:id="1939410195">
      <w:bodyDiv w:val="1"/>
      <w:marLeft w:val="0"/>
      <w:marRight w:val="0"/>
      <w:marTop w:val="0"/>
      <w:marBottom w:val="0"/>
      <w:divBdr>
        <w:top w:val="none" w:sz="0" w:space="0" w:color="auto"/>
        <w:left w:val="none" w:sz="0" w:space="0" w:color="auto"/>
        <w:bottom w:val="none" w:sz="0" w:space="0" w:color="auto"/>
        <w:right w:val="none" w:sz="0" w:space="0" w:color="auto"/>
      </w:divBdr>
    </w:div>
    <w:div w:id="1940259784">
      <w:bodyDiv w:val="1"/>
      <w:marLeft w:val="0"/>
      <w:marRight w:val="0"/>
      <w:marTop w:val="0"/>
      <w:marBottom w:val="0"/>
      <w:divBdr>
        <w:top w:val="none" w:sz="0" w:space="0" w:color="auto"/>
        <w:left w:val="none" w:sz="0" w:space="0" w:color="auto"/>
        <w:bottom w:val="none" w:sz="0" w:space="0" w:color="auto"/>
        <w:right w:val="none" w:sz="0" w:space="0" w:color="auto"/>
      </w:divBdr>
    </w:div>
    <w:div w:id="1983074989">
      <w:bodyDiv w:val="1"/>
      <w:marLeft w:val="0"/>
      <w:marRight w:val="0"/>
      <w:marTop w:val="0"/>
      <w:marBottom w:val="0"/>
      <w:divBdr>
        <w:top w:val="none" w:sz="0" w:space="0" w:color="auto"/>
        <w:left w:val="none" w:sz="0" w:space="0" w:color="auto"/>
        <w:bottom w:val="none" w:sz="0" w:space="0" w:color="auto"/>
        <w:right w:val="none" w:sz="0" w:space="0" w:color="auto"/>
      </w:divBdr>
    </w:div>
    <w:div w:id="1983540761">
      <w:bodyDiv w:val="1"/>
      <w:marLeft w:val="0"/>
      <w:marRight w:val="0"/>
      <w:marTop w:val="0"/>
      <w:marBottom w:val="0"/>
      <w:divBdr>
        <w:top w:val="none" w:sz="0" w:space="0" w:color="auto"/>
        <w:left w:val="none" w:sz="0" w:space="0" w:color="auto"/>
        <w:bottom w:val="none" w:sz="0" w:space="0" w:color="auto"/>
        <w:right w:val="none" w:sz="0" w:space="0" w:color="auto"/>
      </w:divBdr>
    </w:div>
    <w:div w:id="1996687464">
      <w:bodyDiv w:val="1"/>
      <w:marLeft w:val="0"/>
      <w:marRight w:val="0"/>
      <w:marTop w:val="0"/>
      <w:marBottom w:val="0"/>
      <w:divBdr>
        <w:top w:val="none" w:sz="0" w:space="0" w:color="auto"/>
        <w:left w:val="none" w:sz="0" w:space="0" w:color="auto"/>
        <w:bottom w:val="none" w:sz="0" w:space="0" w:color="auto"/>
        <w:right w:val="none" w:sz="0" w:space="0" w:color="auto"/>
      </w:divBdr>
    </w:div>
    <w:div w:id="2014411544">
      <w:bodyDiv w:val="1"/>
      <w:marLeft w:val="0"/>
      <w:marRight w:val="0"/>
      <w:marTop w:val="0"/>
      <w:marBottom w:val="0"/>
      <w:divBdr>
        <w:top w:val="none" w:sz="0" w:space="0" w:color="auto"/>
        <w:left w:val="none" w:sz="0" w:space="0" w:color="auto"/>
        <w:bottom w:val="none" w:sz="0" w:space="0" w:color="auto"/>
        <w:right w:val="none" w:sz="0" w:space="0" w:color="auto"/>
      </w:divBdr>
    </w:div>
    <w:div w:id="2034761788">
      <w:bodyDiv w:val="1"/>
      <w:marLeft w:val="0"/>
      <w:marRight w:val="0"/>
      <w:marTop w:val="0"/>
      <w:marBottom w:val="0"/>
      <w:divBdr>
        <w:top w:val="none" w:sz="0" w:space="0" w:color="auto"/>
        <w:left w:val="none" w:sz="0" w:space="0" w:color="auto"/>
        <w:bottom w:val="none" w:sz="0" w:space="0" w:color="auto"/>
        <w:right w:val="none" w:sz="0" w:space="0" w:color="auto"/>
      </w:divBdr>
    </w:div>
    <w:div w:id="2107382766">
      <w:bodyDiv w:val="1"/>
      <w:marLeft w:val="0"/>
      <w:marRight w:val="0"/>
      <w:marTop w:val="0"/>
      <w:marBottom w:val="0"/>
      <w:divBdr>
        <w:top w:val="none" w:sz="0" w:space="0" w:color="auto"/>
        <w:left w:val="none" w:sz="0" w:space="0" w:color="auto"/>
        <w:bottom w:val="none" w:sz="0" w:space="0" w:color="auto"/>
        <w:right w:val="none" w:sz="0" w:space="0" w:color="auto"/>
      </w:divBdr>
    </w:div>
    <w:div w:id="2108306826">
      <w:bodyDiv w:val="1"/>
      <w:marLeft w:val="0"/>
      <w:marRight w:val="0"/>
      <w:marTop w:val="0"/>
      <w:marBottom w:val="0"/>
      <w:divBdr>
        <w:top w:val="none" w:sz="0" w:space="0" w:color="auto"/>
        <w:left w:val="none" w:sz="0" w:space="0" w:color="auto"/>
        <w:bottom w:val="none" w:sz="0" w:space="0" w:color="auto"/>
        <w:right w:val="none" w:sz="0" w:space="0" w:color="auto"/>
      </w:divBdr>
    </w:div>
    <w:div w:id="2115635652">
      <w:bodyDiv w:val="1"/>
      <w:marLeft w:val="0"/>
      <w:marRight w:val="0"/>
      <w:marTop w:val="0"/>
      <w:marBottom w:val="0"/>
      <w:divBdr>
        <w:top w:val="none" w:sz="0" w:space="0" w:color="auto"/>
        <w:left w:val="none" w:sz="0" w:space="0" w:color="auto"/>
        <w:bottom w:val="none" w:sz="0" w:space="0" w:color="auto"/>
        <w:right w:val="none" w:sz="0" w:space="0" w:color="auto"/>
      </w:divBdr>
    </w:div>
    <w:div w:id="2127849801">
      <w:bodyDiv w:val="1"/>
      <w:marLeft w:val="0"/>
      <w:marRight w:val="0"/>
      <w:marTop w:val="0"/>
      <w:marBottom w:val="0"/>
      <w:divBdr>
        <w:top w:val="none" w:sz="0" w:space="0" w:color="auto"/>
        <w:left w:val="none" w:sz="0" w:space="0" w:color="auto"/>
        <w:bottom w:val="none" w:sz="0" w:space="0" w:color="auto"/>
        <w:right w:val="none" w:sz="0" w:space="0" w:color="auto"/>
      </w:divBdr>
    </w:div>
    <w:div w:id="21325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uria.europa.eu/juris/document/document.jsf?text=&amp;docid=72270&amp;pageIndex=0&amp;doclang=EN&amp;mode=lst&amp;dir=&amp;occ=first&amp;part=1&amp;cid=9945922" TargetMode="External"/><Relationship Id="rId117" Type="http://schemas.openxmlformats.org/officeDocument/2006/relationships/header" Target="header3.xml"/><Relationship Id="rId21" Type="http://schemas.openxmlformats.org/officeDocument/2006/relationships/hyperlink" Target="https://curia.europa.eu/juris/document/document.jsf?text=&amp;docid=45721&amp;pageIndex=0&amp;doclang=EN&amp;mode=lst&amp;dir=&amp;occ=first&amp;part=1&amp;cid=10763343" TargetMode="External"/><Relationship Id="rId42" Type="http://schemas.openxmlformats.org/officeDocument/2006/relationships/hyperlink" Target="https://curia.europa.eu/juris/document/document.jsf?text=&amp;docid=184891&amp;pageIndex=0&amp;doclang=EN&amp;mode=lst&amp;dir=&amp;occ=first&amp;part=1&amp;cid=9777324" TargetMode="External"/><Relationship Id="rId47" Type="http://schemas.openxmlformats.org/officeDocument/2006/relationships/hyperlink" Target="https://curia.europa.eu/juris/document/document.jsf?text=&amp;docid=60336&amp;pageIndex=0&amp;doclang=EN&amp;mode=lst&amp;dir=&amp;occ=first&amp;part=1&amp;cid=1728241" TargetMode="External"/><Relationship Id="rId63" Type="http://schemas.openxmlformats.org/officeDocument/2006/relationships/hyperlink" Target="https://curia.europa.eu/juris/document/document.jsf?text=&amp;docid=125226&amp;pageIndex=0&amp;doclang=EN&amp;mode=lst&amp;dir=&amp;occ=first&amp;part=1&amp;cid=9889670" TargetMode="External"/><Relationship Id="rId68" Type="http://schemas.openxmlformats.org/officeDocument/2006/relationships/hyperlink" Target="https://curia.europa.eu/juris/document/document.jsf?text=C-98%252F14&amp;docid=164955&amp;pageIndex=0&amp;doclang=EN&amp;mode=req&amp;dir=&amp;occ=first&amp;part=1&amp;cid=9889670" TargetMode="External"/><Relationship Id="rId84" Type="http://schemas.openxmlformats.org/officeDocument/2006/relationships/hyperlink" Target="https://curia.europa.eu/juris/document/document.jsf?text=&amp;docid=81369&amp;pageIndex=0&amp;doclang=en&amp;mode=lst&amp;dir=&amp;occ=first&amp;part=1&amp;cid=10904675" TargetMode="External"/><Relationship Id="rId89" Type="http://schemas.openxmlformats.org/officeDocument/2006/relationships/hyperlink" Target="https://curia.europa.eu/juris/document/document.jsf?text=&amp;docid=47026&amp;pageIndex=0&amp;doclang=EN&amp;mode=lst&amp;dir=&amp;occ=first&amp;part=1&amp;cid=8919687" TargetMode="External"/><Relationship Id="rId112" Type="http://schemas.openxmlformats.org/officeDocument/2006/relationships/hyperlink" Target="https://curia.europa.eu/juris/document/document.jsf?text=&amp;docid=74815&amp;pageIndex=0&amp;doclang=EN&amp;mode=lst&amp;dir=&amp;occ=first&amp;part=1&amp;cid=12991943" TargetMode="External"/><Relationship Id="rId16" Type="http://schemas.openxmlformats.org/officeDocument/2006/relationships/hyperlink" Target="https://curia.europa.eu/juris/showPdf.jsf?text=&amp;docid=100042&amp;pageIndex=0&amp;doclang=EN&amp;mode=lst&amp;dir=&amp;occ=first&amp;part=1&amp;cid=10811412" TargetMode="External"/><Relationship Id="rId107" Type="http://schemas.openxmlformats.org/officeDocument/2006/relationships/hyperlink" Target="https://curia.europa.eu/juris/document/document.jsf?text=&amp;docid=217670&amp;pageIndex=0&amp;doclang=EN&amp;mode=lst&amp;dir=&amp;occ=first&amp;part=1&amp;cid=10880021" TargetMode="External"/><Relationship Id="rId11" Type="http://schemas.openxmlformats.org/officeDocument/2006/relationships/hyperlink" Target="https://curia.europa.eu/juris/document/document.jsf?text=&amp;docid=174105&amp;pageIndex=0&amp;doclang=EN&amp;mode=lst&amp;dir=&amp;occ=first&amp;part=1&amp;cid=10904675" TargetMode="External"/><Relationship Id="rId32" Type="http://schemas.openxmlformats.org/officeDocument/2006/relationships/hyperlink" Target="https://curia.europa.eu/juris/document/document.jsf?text=&amp;docid=187343&amp;pageIndex=0&amp;doclang=EN&amp;mode=lst&amp;dir=&amp;occ=first&amp;part=1&amp;cid=9777324" TargetMode="External"/><Relationship Id="rId37" Type="http://schemas.openxmlformats.org/officeDocument/2006/relationships/hyperlink" Target="https://curia.europa.eu/juris/document/document.jsf?text=&amp;docid=85136&amp;pageIndex=0&amp;doclang=EN&amp;mode=lst&amp;dir=&amp;occ=first&amp;part=1&amp;cid=15388659" TargetMode="External"/><Relationship Id="rId53" Type="http://schemas.openxmlformats.org/officeDocument/2006/relationships/hyperlink" Target="https://curia.europa.eu/juris/document/document.jsf?text=&amp;docid=217670&amp;pageIndex=0&amp;doclang=EN&amp;mode=lst&amp;dir=&amp;occ=first&amp;part=1&amp;cid=10880021" TargetMode="External"/><Relationship Id="rId58" Type="http://schemas.openxmlformats.org/officeDocument/2006/relationships/hyperlink" Target="https://curia.europa.eu/juris/document/document.jsf?text=&amp;docid=296555&amp;pageIndex=0&amp;doclang=EN&amp;mode=lst&amp;dir=&amp;occ=first&amp;part=1&amp;cid=14002600" TargetMode="External"/><Relationship Id="rId74" Type="http://schemas.openxmlformats.org/officeDocument/2006/relationships/hyperlink" Target="https://curia.europa.eu/juris/showPdf.jsf?text=&amp;docid=98918&amp;pageIndex=0&amp;doclang=EN&amp;mode=lst&amp;dir=&amp;occ=first&amp;part=1&amp;cid=12994086" TargetMode="External"/><Relationship Id="rId79" Type="http://schemas.openxmlformats.org/officeDocument/2006/relationships/hyperlink" Target="https://curia.europa.eu/juris/showPdf.jsf?text=&amp;docid=44625&amp;pageIndex=0&amp;doclang=en&amp;mode=lst&amp;dir=&amp;occ=first&amp;part=1&amp;cid=7836692" TargetMode="External"/><Relationship Id="rId102" Type="http://schemas.openxmlformats.org/officeDocument/2006/relationships/hyperlink" Target="https://curia.europa.eu/juris/document/document.jsf?docid=59571&amp;mode=req&amp;pageIndex=1&amp;dir=&amp;occ=first&amp;part=1&amp;text=&amp;doclang=EN&amp;cid=8886921" TargetMode="External"/><Relationship Id="rId5" Type="http://schemas.openxmlformats.org/officeDocument/2006/relationships/webSettings" Target="webSettings.xml"/><Relationship Id="rId90" Type="http://schemas.openxmlformats.org/officeDocument/2006/relationships/hyperlink" Target="https://curia.europa.eu/juris/document/document.jsf?text=&amp;docid=59577&amp;pageIndex=0&amp;doclang=FR&amp;mode=lst&amp;dir=&amp;occ=first&amp;part=1&amp;cid=12994086" TargetMode="External"/><Relationship Id="rId95" Type="http://schemas.openxmlformats.org/officeDocument/2006/relationships/hyperlink" Target="https://curia.europa.eu/juris/document/document.jsf?text=&amp;docid=133244&amp;pageIndex=0&amp;doclang=EN&amp;mode=lst&amp;dir=&amp;occ=first&amp;part=1&amp;cid=10904675" TargetMode="External"/><Relationship Id="rId22" Type="http://schemas.openxmlformats.org/officeDocument/2006/relationships/hyperlink" Target="https://curia.europa.eu/juris/document/document.jsf?text=&amp;docid=45811&amp;pageIndex=0&amp;doclang=EN&amp;mode=lst&amp;dir=&amp;occ=first&amp;part=1&amp;cid=8919687" TargetMode="External"/><Relationship Id="rId27" Type="http://schemas.openxmlformats.org/officeDocument/2006/relationships/hyperlink" Target="https://curia.europa.eu/juris/document/document.jsf?text=&amp;docid=81451&amp;pageIndex=0&amp;doclang=EN&amp;mode=lst&amp;dir=&amp;occ=first&amp;part=1&amp;cid=9945922" TargetMode="External"/><Relationship Id="rId43" Type="http://schemas.openxmlformats.org/officeDocument/2006/relationships/hyperlink" Target="https://curia.europa.eu/juris/document/document.jsf?text=&amp;docid=187343&amp;pageIndex=0&amp;doclang=EN&amp;mode=lst&amp;dir=&amp;occ=first&amp;part=1&amp;cid=9777324" TargetMode="External"/><Relationship Id="rId48" Type="http://schemas.openxmlformats.org/officeDocument/2006/relationships/hyperlink" Target="https://curia.europa.eu/juris/document/document.jsf?text=&amp;docid=174105&amp;pageIndex=0&amp;doclang=EN&amp;mode=lst&amp;dir=&amp;occ=first&amp;part=1&amp;cid=10904675" TargetMode="External"/><Relationship Id="rId64" Type="http://schemas.openxmlformats.org/officeDocument/2006/relationships/hyperlink" Target="https://curia.europa.eu/juris/document/document.jsf?text=&amp;docid=184891&amp;pageIndex=0&amp;doclang=EN&amp;mode=lst&amp;dir=&amp;occ=first&amp;part=1&amp;cid=9777324" TargetMode="External"/><Relationship Id="rId69" Type="http://schemas.openxmlformats.org/officeDocument/2006/relationships/hyperlink" Target="https://curia.europa.eu/juris/document/document.jsf?text=&amp;docid=232154&amp;pageIndex=0&amp;doclang=EN&amp;mode=lst&amp;dir=&amp;occ=first&amp;part=1&amp;cid=10904675"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curia.europa.eu/juris/document/document.jsf?text=&amp;docid=58142&amp;pageIndex=0&amp;doclang=EN&amp;mode=lst&amp;dir=&amp;occ=first&amp;part=1&amp;cid=8886921" TargetMode="External"/><Relationship Id="rId85" Type="http://schemas.openxmlformats.org/officeDocument/2006/relationships/hyperlink" Target="https://curia.europa.eu/juris/document/document.jsf?text=&amp;docid=133244&amp;pageIndex=0&amp;doclang=en&amp;mode=lst&amp;dir=&amp;occ=first&amp;part=1&amp;cid=10904675" TargetMode="External"/><Relationship Id="rId12" Type="http://schemas.openxmlformats.org/officeDocument/2006/relationships/hyperlink" Target="https://eur-lex.europa.eu/legal-content/EN/TXT/PDF/?uri=CELEX:61994CJ0194" TargetMode="External"/><Relationship Id="rId17" Type="http://schemas.openxmlformats.org/officeDocument/2006/relationships/hyperlink" Target="https://curia.europa.eu/juris/showPdf.jsf?text=&amp;docid=99992&amp;pageIndex=0&amp;doclang=EN&amp;mode=lst&amp;dir=&amp;occ=first&amp;part=1&amp;cid=10811412" TargetMode="External"/><Relationship Id="rId33" Type="http://schemas.openxmlformats.org/officeDocument/2006/relationships/hyperlink" Target="https://curia.europa.eu/juris/document/document.jsf?text=&amp;docid=206117&amp;pageIndex=0&amp;doclang=EN&amp;mode=lst&amp;dir=&amp;occ=first&amp;part=1&amp;cid=9777324" TargetMode="External"/><Relationship Id="rId38" Type="http://schemas.openxmlformats.org/officeDocument/2006/relationships/hyperlink" Target="https://curia.europa.eu/juris/document/document.jsf?text=&amp;docid=125226&amp;pageIndex=0&amp;doclang=EN&amp;mode=lst&amp;dir=&amp;occ=first&amp;part=1&amp;cid=9889670" TargetMode="External"/><Relationship Id="rId59" Type="http://schemas.openxmlformats.org/officeDocument/2006/relationships/hyperlink" Target="https://curia.europa.eu/juris/showPdf.jsf?text=&amp;docid=43725&amp;pageIndex=0&amp;doclang=EN&amp;mode=lst&amp;dir=&amp;occ=first&amp;part=1&amp;cid=10811412" TargetMode="External"/><Relationship Id="rId103" Type="http://schemas.openxmlformats.org/officeDocument/2006/relationships/hyperlink" Target="https://curia.europa.eu/juris/document/document.jsf?text=&amp;docid=133244&amp;pageIndex=0&amp;doclang=EN&amp;mode=lst&amp;dir=&amp;occ=first&amp;part=1&amp;cid=10904675" TargetMode="External"/><Relationship Id="rId108" Type="http://schemas.openxmlformats.org/officeDocument/2006/relationships/hyperlink" Target="https://curia.europa.eu/juris/document/document.jsf?text=&amp;docid=45692&amp;pageIndex=0&amp;doclang=EN&amp;mode=lst&amp;dir=&amp;occ=first&amp;part=1&amp;cid=10763343" TargetMode="External"/><Relationship Id="rId54" Type="http://schemas.openxmlformats.org/officeDocument/2006/relationships/hyperlink" Target="https://curia.europa.eu/juris/document/document.jsf?text=&amp;docid=221791&amp;pageIndex=0&amp;doclang=EN&amp;mode=lst&amp;dir=&amp;occ=first&amp;part=1&amp;cid=10861227" TargetMode="External"/><Relationship Id="rId70" Type="http://schemas.openxmlformats.org/officeDocument/2006/relationships/hyperlink" Target="https://curia.europa.eu/juris/document/document.jsf?text=&amp;docid=268786&amp;pageIndex=0&amp;doclang=EN&amp;mode=lst&amp;dir=&amp;occ=first&amp;part=1&amp;cid=14061944" TargetMode="External"/><Relationship Id="rId75" Type="http://schemas.openxmlformats.org/officeDocument/2006/relationships/hyperlink" Target="https://curia.europa.eu/juris/showPdf.jsf?text=&amp;docid=98889&amp;pageIndex=0&amp;doclang=EN&amp;mode=lst&amp;dir=&amp;occ=first&amp;part=1&amp;cid=12994086" TargetMode="External"/><Relationship Id="rId91" Type="http://schemas.openxmlformats.org/officeDocument/2006/relationships/hyperlink" Target="https://curia.europa.eu/juris/document/document.jsf?text=&amp;docid=59577&amp;pageIndex=0&amp;doclang=FR&amp;mode=lst&amp;dir=&amp;occ=first&amp;part=1&amp;cid=12994086" TargetMode="External"/><Relationship Id="rId96" Type="http://schemas.openxmlformats.org/officeDocument/2006/relationships/hyperlink" Target="https://curia.europa.eu/juris/showPdf.jsf?text=&amp;docid=100042&amp;pageIndex=0&amp;doclang=EN&amp;mode=lst&amp;dir=&amp;occ=first&amp;part=1&amp;cid=108114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uria.europa.eu/juris/document/document.jsf?text=&amp;docid=45877&amp;pageIndex=0&amp;doclang=EN&amp;mode=lst&amp;dir=&amp;occ=first&amp;part=1&amp;cid=8919687" TargetMode="External"/><Relationship Id="rId28" Type="http://schemas.openxmlformats.org/officeDocument/2006/relationships/hyperlink" Target="https://curia.europa.eu/juris/document/document.jsf?text=&amp;docid=85136&amp;pageIndex=0&amp;doclang=EN&amp;mode=lst&amp;dir=&amp;occ=first&amp;part=1&amp;cid=15388659" TargetMode="External"/><Relationship Id="rId49" Type="http://schemas.openxmlformats.org/officeDocument/2006/relationships/hyperlink" Target="https://curia.europa.eu/juris/document/document.jsf?text=&amp;docid=184507&amp;pageIndex=0&amp;doclang=EN&amp;mode=lst&amp;dir=&amp;occ=first&amp;part=1&amp;cid=9889670"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https://eur-lex.europa.eu/eli/dir/1983/189/oj/eng" TargetMode="External"/><Relationship Id="rId31" Type="http://schemas.openxmlformats.org/officeDocument/2006/relationships/hyperlink" Target="https://curia.europa.eu/juris/document/document.jsf?text=&amp;docid=184891&amp;pageIndex=0&amp;doclang=EN&amp;mode=lst&amp;dir=&amp;occ=first&amp;part=1&amp;cid=9777324" TargetMode="External"/><Relationship Id="rId44" Type="http://schemas.openxmlformats.org/officeDocument/2006/relationships/hyperlink" Target="https://curia.europa.eu/juris/document/document.jsf?text=C-727%252F17&amp;docid=226861&amp;pageIndex=0&amp;doclang=EN&amp;mode=req&amp;dir=&amp;occ=first&amp;part=1&amp;cid=9761408" TargetMode="External"/><Relationship Id="rId52" Type="http://schemas.openxmlformats.org/officeDocument/2006/relationships/hyperlink" Target="https://curia.europa.eu/juris/document/document.jsf?text=&amp;docid=206117&amp;pageIndex=0&amp;doclang=EN&amp;mode=lst&amp;dir=&amp;occ=first&amp;part=1&amp;cid=9777324" TargetMode="External"/><Relationship Id="rId60" Type="http://schemas.openxmlformats.org/officeDocument/2006/relationships/hyperlink" Target="https://curia.europa.eu/juris/document/document.jsf?text=&amp;docid=58142&amp;pageIndex=0&amp;doclang=EN&amp;mode=lst&amp;dir=&amp;occ=first&amp;part=1&amp;cid=8886921" TargetMode="External"/><Relationship Id="rId65" Type="http://schemas.openxmlformats.org/officeDocument/2006/relationships/hyperlink" Target="https://curia.europa.eu/juris/document/document.jsf?text=C-727%252F17&amp;docid=226861&amp;pageIndex=0&amp;doclang=EN&amp;mode=req&amp;dir=&amp;occ=first&amp;part=1&amp;cid=9761408" TargetMode="External"/><Relationship Id="rId73" Type="http://schemas.openxmlformats.org/officeDocument/2006/relationships/hyperlink" Target="https://curia.europa.eu/juris/showPdf.jsf?text=&amp;docid=98488&amp;pageIndex=0&amp;doclang=EN&amp;mode=lst&amp;dir=&amp;occ=first&amp;part=1&amp;cid=12994086" TargetMode="External"/><Relationship Id="rId78" Type="http://schemas.openxmlformats.org/officeDocument/2006/relationships/hyperlink" Target="https://curia.europa.eu/juris/showPdf.jsf?text=&amp;docid=98765&amp;pageIndex=0&amp;doclang=EN&amp;mode=lst&amp;dir=&amp;occ=first&amp;part=1&amp;cid=10811412" TargetMode="External"/><Relationship Id="rId81" Type="http://schemas.openxmlformats.org/officeDocument/2006/relationships/hyperlink" Target="https://curia.europa.eu/juris/document/document.jsf?text=&amp;docid=296555&amp;pageIndex=0&amp;doclang=en&amp;mode=lst&amp;dir=&amp;occ=first&amp;part=1&amp;cid=14002600" TargetMode="External"/><Relationship Id="rId86" Type="http://schemas.openxmlformats.org/officeDocument/2006/relationships/hyperlink" Target="https://curia.europa.eu/juris/document/document.jsf?text=&amp;docid=154825&amp;pageIndex=0&amp;doclang=EN&amp;mode=lst&amp;dir=&amp;occ=first&amp;part=1&amp;cid=9889670" TargetMode="External"/><Relationship Id="rId94" Type="http://schemas.openxmlformats.org/officeDocument/2006/relationships/hyperlink" Target="https://curia.europa.eu/juris/document/document.jsf?text=&amp;docid=271072&amp;pageIndex=0&amp;doclang=EN&amp;mode=lst&amp;dir=&amp;occ=first&amp;part=1&amp;cid=14061944" TargetMode="External"/><Relationship Id="rId99" Type="http://schemas.openxmlformats.org/officeDocument/2006/relationships/hyperlink" Target="https://curia.europa.eu/juris/showPdf.jsf?text=&amp;docid=99809&amp;pageIndex=0&amp;doclang=en&amp;mode=lst&amp;dir=&amp;occ=first&amp;part=1&amp;cid=10904675" TargetMode="External"/><Relationship Id="rId101" Type="http://schemas.openxmlformats.org/officeDocument/2006/relationships/hyperlink" Target="https://curia.europa.eu/juris/document/document.jsf?text=&amp;docid=47386&amp;pageIndex=0&amp;doclang=EN&amp;mode=lst&amp;dir=&amp;occ=first&amp;part=1&amp;cid=8919687" TargetMode="External"/><Relationship Id="rId4" Type="http://schemas.openxmlformats.org/officeDocument/2006/relationships/settings" Target="settings.xml"/><Relationship Id="rId9" Type="http://schemas.openxmlformats.org/officeDocument/2006/relationships/hyperlink" Target="https://eur-lex.europa.eu/legal-content/EN/TXT/PDF/?uri=CELEX:01998L0034-19980805" TargetMode="External"/><Relationship Id="rId13" Type="http://schemas.openxmlformats.org/officeDocument/2006/relationships/hyperlink" Target="https://curia.europa.eu/juris/showPdf.jsf?text=&amp;docid=100864&amp;pageIndex=0&amp;doclang=EN&amp;mode=lst&amp;dir=&amp;occ=first&amp;part=1&amp;cid=10811412" TargetMode="External"/><Relationship Id="rId18" Type="http://schemas.openxmlformats.org/officeDocument/2006/relationships/hyperlink" Target="https://curia.europa.eu/juris/document/document.jsf?text=&amp;docid=44578&amp;pageIndex=0&amp;doclang=EN&amp;mode=lst&amp;dir=&amp;occ=first&amp;part=1&amp;cid=10779034" TargetMode="External"/><Relationship Id="rId39" Type="http://schemas.openxmlformats.org/officeDocument/2006/relationships/hyperlink" Target="https://curia.europa.eu/juris/document/document.jsf?text=&amp;docid=154825&amp;pageIndex=0&amp;doclang=EN&amp;mode=lst&amp;dir=&amp;occ=first&amp;part=1&amp;cid=9889670" TargetMode="External"/><Relationship Id="rId109" Type="http://schemas.openxmlformats.org/officeDocument/2006/relationships/hyperlink" Target="https://curia.europa.eu/juris/document/document.jsf?text=&amp;docid=165924&amp;pageIndex=0&amp;doclang=EN&amp;mode=lst&amp;dir=&amp;occ=first&amp;part=1&amp;cid=12979947" TargetMode="External"/><Relationship Id="rId34" Type="http://schemas.openxmlformats.org/officeDocument/2006/relationships/hyperlink" Target="https://curia.europa.eu/juris/document/document.jsf?text=C-727%252F17&amp;docid=226861&amp;pageIndex=0&amp;doclang=EN&amp;mode=req&amp;dir=&amp;occ=first&amp;part=1&amp;cid=9761408" TargetMode="External"/><Relationship Id="rId50" Type="http://schemas.openxmlformats.org/officeDocument/2006/relationships/hyperlink" Target="https://curia.europa.eu/juris/document/document.jsf?text=&amp;docid=198047&amp;pageIndex=0&amp;doclang=EN&amp;mode=lst&amp;dir=&amp;occ=first&amp;part=1&amp;cid=10880021" TargetMode="External"/><Relationship Id="rId55" Type="http://schemas.openxmlformats.org/officeDocument/2006/relationships/hyperlink" Target="https://curia.europa.eu/juris/document/document.jsf?text=&amp;docid=232725&amp;pageIndex=0&amp;doclang=EN&amp;mode=lst&amp;dir=&amp;occ=first&amp;part=1&amp;cid=7847310" TargetMode="External"/><Relationship Id="rId76" Type="http://schemas.openxmlformats.org/officeDocument/2006/relationships/hyperlink" Target="https://curia.europa.eu/juris/document/document.jsf?text=&amp;docid=59577&amp;pageIndex=0&amp;doclang=FR&amp;mode=lst&amp;dir=&amp;occ=first&amp;part=1&amp;cid=12994086" TargetMode="External"/><Relationship Id="rId97" Type="http://schemas.openxmlformats.org/officeDocument/2006/relationships/hyperlink" Target="https://curia.europa.eu/juris/document/document.jsf?text=&amp;docid=43935&amp;pageIndex=0&amp;doclang=EN&amp;mode=lst&amp;dir=&amp;occ=first&amp;part=1&amp;cid=10779034" TargetMode="External"/><Relationship Id="rId104" Type="http://schemas.openxmlformats.org/officeDocument/2006/relationships/hyperlink" Target="https://curia.europa.eu/juris/document/document.jsf?text=&amp;docid=174105&amp;pageIndex=0&amp;doclang=EN&amp;mode=lst&amp;dir=&amp;occ=first&amp;part=1&amp;cid=10904675"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uria.europa.eu/juris/document/document.jsf?text=&amp;docid=60336&amp;pageIndex=0&amp;doclang=EN&amp;mode=lst&amp;dir=&amp;occ=first&amp;part=1&amp;cid=1728241" TargetMode="External"/><Relationship Id="rId92" Type="http://schemas.openxmlformats.org/officeDocument/2006/relationships/hyperlink" Target="https://curia.europa.eu/juris/document/document.jsf?text=&amp;docid=232150&amp;pageIndex=0&amp;doclang=EN&amp;mode=lst&amp;dir=&amp;occ=first&amp;part=1&amp;cid=12985433" TargetMode="External"/><Relationship Id="rId2" Type="http://schemas.openxmlformats.org/officeDocument/2006/relationships/numbering" Target="numbering.xml"/><Relationship Id="rId29" Type="http://schemas.openxmlformats.org/officeDocument/2006/relationships/hyperlink" Target="https://curia.europa.eu/juris/document/document.jsf?text=&amp;docid=125226&amp;pageIndex=0&amp;doclang=EN&amp;mode=lst&amp;dir=&amp;occ=first&amp;part=1&amp;cid=9889670" TargetMode="External"/><Relationship Id="rId24" Type="http://schemas.openxmlformats.org/officeDocument/2006/relationships/hyperlink" Target="https://curia.europa.eu/juris/document/document.jsf?text=&amp;docid=47386&amp;pageIndex=0&amp;doclang=EN&amp;mode=lst&amp;dir=&amp;occ=first&amp;part=1&amp;cid=8919687" TargetMode="External"/><Relationship Id="rId40" Type="http://schemas.openxmlformats.org/officeDocument/2006/relationships/hyperlink" Target="https://curia.europa.eu/juris/document/document.jsf?text=C-98%252F14&amp;docid=164955&amp;pageIndex=0&amp;doclang=EN&amp;mode=req&amp;dir=&amp;occ=first&amp;part=1&amp;cid=9889670" TargetMode="External"/><Relationship Id="rId45" Type="http://schemas.openxmlformats.org/officeDocument/2006/relationships/hyperlink" Target="https://curia.europa.eu/juris/document/document.jsf?text=&amp;docid=267738&amp;pageIndex=0&amp;doclang=EN&amp;mode=lst&amp;dir=&amp;occ=first&amp;part=1&amp;cid=14061944" TargetMode="External"/><Relationship Id="rId66" Type="http://schemas.openxmlformats.org/officeDocument/2006/relationships/hyperlink" Target="https://curia.europa.eu/juris/showPdf.jsf?text=&amp;docid=100864&amp;pageIndex=0&amp;doclang=EN&amp;mode=lst&amp;dir=&amp;occ=first&amp;part=1&amp;cid=10811412" TargetMode="External"/><Relationship Id="rId87" Type="http://schemas.openxmlformats.org/officeDocument/2006/relationships/hyperlink" Target="https://curia.europa.eu/juris/showPdf.jsf?text=&amp;docid=99992&amp;pageIndex=0&amp;doclang=EN&amp;mode=lst&amp;dir=&amp;occ=first&amp;part=1&amp;cid=10811412" TargetMode="External"/><Relationship Id="rId110" Type="http://schemas.openxmlformats.org/officeDocument/2006/relationships/hyperlink" Target="https://curia.europa.eu/juris/document/document.jsf?text=&amp;docid=280771&amp;pageIndex=0&amp;doclang=EN&amp;mode=lst&amp;dir=&amp;occ=first&amp;part=1&amp;cid=14061944" TargetMode="External"/><Relationship Id="rId115" Type="http://schemas.openxmlformats.org/officeDocument/2006/relationships/footer" Target="footer1.xml"/><Relationship Id="rId61" Type="http://schemas.openxmlformats.org/officeDocument/2006/relationships/hyperlink" Target="https://curia.europa.eu/juris/document/document.jsf?docid=59571&amp;mode=req&amp;pageIndex=1&amp;dir=&amp;occ=first&amp;part=1&amp;text=&amp;doclang=EN&amp;cid=8886921" TargetMode="External"/><Relationship Id="rId82" Type="http://schemas.openxmlformats.org/officeDocument/2006/relationships/hyperlink" Target="https://curia.europa.eu/juris/showPdf.jsf?text=&amp;docid=43725&amp;pageIndex=0&amp;doclang=en&amp;mode=lst&amp;dir=&amp;occ=first&amp;part=1&amp;cid=10904675" TargetMode="External"/><Relationship Id="rId19" Type="http://schemas.openxmlformats.org/officeDocument/2006/relationships/hyperlink" Target="https://curia.europa.eu/juris/document/document.jsf?text=&amp;docid=47026&amp;pageIndex=0&amp;doclang=EN&amp;mode=lst&amp;dir=&amp;occ=first&amp;part=1&amp;cid=8919687" TargetMode="External"/><Relationship Id="rId14" Type="http://schemas.openxmlformats.org/officeDocument/2006/relationships/hyperlink" Target="https://curia.europa.eu/juris/document/document.jsf?text=&amp;docid=45811&amp;pageIndex=0&amp;doclang=EN&amp;mode=lst&amp;dir=&amp;occ=first&amp;part=1&amp;cid=8919687" TargetMode="External"/><Relationship Id="rId30" Type="http://schemas.openxmlformats.org/officeDocument/2006/relationships/hyperlink" Target="https://curia.europa.eu/juris/document/document.jsf?text=&amp;docid=154825&amp;pageIndex=0&amp;doclang=EN&amp;mode=lst&amp;dir=&amp;occ=first&amp;part=1&amp;cid=9889670" TargetMode="External"/><Relationship Id="rId35" Type="http://schemas.openxmlformats.org/officeDocument/2006/relationships/hyperlink" Target="https://curia.europa.eu/juris/document/document.jsf?text=&amp;docid=232725&amp;pageIndex=0&amp;doclang=EN&amp;mode=lst&amp;dir=&amp;occ=first&amp;part=1&amp;cid=7847310" TargetMode="External"/><Relationship Id="rId56" Type="http://schemas.openxmlformats.org/officeDocument/2006/relationships/hyperlink" Target="https://curia.europa.eu/juris/document/document.jsf?text=&amp;docid=234921&amp;pageIndex=0&amp;doclang=EN&amp;mode=lst&amp;dir=&amp;occ=first&amp;part=1&amp;cid=10811412" TargetMode="External"/><Relationship Id="rId77" Type="http://schemas.openxmlformats.org/officeDocument/2006/relationships/hyperlink" Target="https://curia.europa.eu/juris/document/document.jsf?text=&amp;docid=185545&amp;pageIndex=0&amp;doclang=EN&amp;mode=lst&amp;dir=&amp;occ=first&amp;part=1&amp;cid=13138882" TargetMode="External"/><Relationship Id="rId100" Type="http://schemas.openxmlformats.org/officeDocument/2006/relationships/hyperlink" Target="https://curia.europa.eu/juris/document/document.jsf?text=&amp;docid=43935&amp;pageIndex=0&amp;doclang=EN&amp;mode=lst&amp;dir=&amp;occ=first&amp;part=1&amp;cid=10779034" TargetMode="External"/><Relationship Id="rId105" Type="http://schemas.openxmlformats.org/officeDocument/2006/relationships/hyperlink" Target="https://curia.europa.eu/juris/document/document.jsf?text=&amp;docid=177362&amp;pageIndex=0&amp;doclang=FR&amp;mode=lst&amp;dir=&amp;occ=first&amp;part=1&amp;cid=12982840" TargetMode="External"/><Relationship Id="rId8" Type="http://schemas.openxmlformats.org/officeDocument/2006/relationships/hyperlink" Target="https://eur-lex.europa.eu/eli/dir/2015/1535/oj/eng" TargetMode="External"/><Relationship Id="rId51" Type="http://schemas.openxmlformats.org/officeDocument/2006/relationships/hyperlink" Target="https://curia.europa.eu/juris/document/document.jsf?text=&amp;docid=200882&amp;pageIndex=0&amp;doclang=EN&amp;mode=lst&amp;dir=&amp;occ=first&amp;part=1&amp;cid=10880021" TargetMode="External"/><Relationship Id="rId72" Type="http://schemas.openxmlformats.org/officeDocument/2006/relationships/hyperlink" Target="https://curia.europa.eu/juris/document/document.jsf?text=&amp;docid=217670&amp;pageIndex=0&amp;doclang=EN&amp;mode=lst&amp;dir=&amp;occ=first&amp;part=1&amp;cid=10880021" TargetMode="External"/><Relationship Id="rId93" Type="http://schemas.openxmlformats.org/officeDocument/2006/relationships/hyperlink" Target="https://curia.europa.eu/juris/document/document.jsf?text=&amp;docid=226981&amp;pageIndex=0&amp;doclang=EN&amp;mode=lst&amp;dir=&amp;occ=first&amp;part=1&amp;cid=5973987" TargetMode="External"/><Relationship Id="rId98" Type="http://schemas.openxmlformats.org/officeDocument/2006/relationships/hyperlink" Target="https://curia.europa.eu/juris/document/document.jsf?text=&amp;docid=58142&amp;pageIndex=0&amp;doclang=EN&amp;mode=lst&amp;dir=&amp;occ=first&amp;part=1&amp;cid=8886921" TargetMode="External"/><Relationship Id="rId3" Type="http://schemas.openxmlformats.org/officeDocument/2006/relationships/styles" Target="styles.xml"/><Relationship Id="rId25" Type="http://schemas.openxmlformats.org/officeDocument/2006/relationships/hyperlink" Target="https://curia.europa.eu/juris/document/document.jsf?text=&amp;docid=59577&amp;pageIndex=0&amp;doclang=FR&amp;mode=lst&amp;dir=&amp;occ=first&amp;part=1&amp;cid=12994086" TargetMode="External"/><Relationship Id="rId46" Type="http://schemas.openxmlformats.org/officeDocument/2006/relationships/hyperlink" Target="https://curia.europa.eu/juris/document/document.jsf?text=&amp;docid=271072&amp;pageIndex=0&amp;doclang=EN&amp;mode=lst&amp;dir=&amp;occ=first&amp;part=1&amp;cid=14061944" TargetMode="External"/><Relationship Id="rId67" Type="http://schemas.openxmlformats.org/officeDocument/2006/relationships/hyperlink" Target="https://curia.europa.eu/juris/document/document.jsf?text=&amp;docid=154825&amp;pageIndex=0&amp;doclang=EN&amp;mode=lst&amp;dir=&amp;occ=first&amp;part=1&amp;cid=9889670" TargetMode="External"/><Relationship Id="rId116" Type="http://schemas.openxmlformats.org/officeDocument/2006/relationships/footer" Target="footer2.xml"/><Relationship Id="rId20" Type="http://schemas.openxmlformats.org/officeDocument/2006/relationships/hyperlink" Target="https://curia.europa.eu/juris/document/document.jsf?text=&amp;docid=45692&amp;pageIndex=0&amp;doclang=EN&amp;mode=lst&amp;dir=&amp;occ=first&amp;part=1&amp;cid=10763343" TargetMode="External"/><Relationship Id="rId41" Type="http://schemas.openxmlformats.org/officeDocument/2006/relationships/hyperlink" Target="https://curia.europa.eu/juris/document/document.jsf?text=&amp;docid=184507&amp;pageIndex=0&amp;doclang=EN&amp;mode=lst&amp;dir=&amp;occ=first&amp;part=1&amp;cid=9889670" TargetMode="External"/><Relationship Id="rId62" Type="http://schemas.openxmlformats.org/officeDocument/2006/relationships/hyperlink" Target="https://curia.europa.eu/juris/document/document.jsf?text=&amp;docid=63941&amp;pageIndex=0&amp;doclang=EN&amp;mode=lst&amp;dir=&amp;occ=first&amp;part=1&amp;cid=8886921" TargetMode="External"/><Relationship Id="rId83" Type="http://schemas.openxmlformats.org/officeDocument/2006/relationships/hyperlink" Target="https://curia.europa.eu/juris/document/document.jsf?text=&amp;docid=43839&amp;pageIndex=0&amp;doclang=EN&amp;mode=lst&amp;dir=&amp;occ=first&amp;part=1&amp;cid=10811412" TargetMode="External"/><Relationship Id="rId88" Type="http://schemas.openxmlformats.org/officeDocument/2006/relationships/hyperlink" Target="https://curia.europa.eu/juris/document/document.jsf?text=&amp;docid=45692&amp;pageIndex=0&amp;doclang=EN&amp;mode=lst&amp;dir=&amp;occ=first&amp;part=1&amp;cid=10763343" TargetMode="External"/><Relationship Id="rId111" Type="http://schemas.openxmlformats.org/officeDocument/2006/relationships/hyperlink" Target="https://curia.europa.eu/juris/document/document.jsf?text=C-98%252F14&amp;docid=164955&amp;pageIndex=0&amp;doclang=EN&amp;mode=req&amp;dir=&amp;occ=first&amp;part=1&amp;cid=9889670" TargetMode="External"/><Relationship Id="rId15" Type="http://schemas.openxmlformats.org/officeDocument/2006/relationships/hyperlink" Target="https://curia.europa.eu/juris/document/document.jsf?text=&amp;docid=234921&amp;pageIndex=0&amp;doclang=EN&amp;mode=lst&amp;dir=&amp;occ=first&amp;part=1&amp;cid=7739074" TargetMode="External"/><Relationship Id="rId36" Type="http://schemas.openxmlformats.org/officeDocument/2006/relationships/hyperlink" Target="https://curia.europa.eu/juris/document/document.jsf?text=&amp;docid=58142&amp;pageIndex=0&amp;doclang=EN&amp;mode=lst&amp;dir=&amp;occ=first&amp;part=1&amp;cid=8886921" TargetMode="External"/><Relationship Id="rId57" Type="http://schemas.openxmlformats.org/officeDocument/2006/relationships/hyperlink" Target="https://curia.europa.eu/juris/document/document.jsf?text=&amp;docid=283281&amp;pageIndex=0&amp;doclang=EN&amp;mode=lst&amp;dir=&amp;occ=first&amp;part=1&amp;cid=14054161" TargetMode="External"/><Relationship Id="rId106" Type="http://schemas.openxmlformats.org/officeDocument/2006/relationships/hyperlink" Target="https://curia.europa.eu/juris/document/document.jsf?text=&amp;docid=187343&amp;pageIndex=0&amp;doclang=EN&amp;mode=lst&amp;dir=&amp;occ=first&amp;part=1&amp;cid=9777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775D-4CE0-4D03-B06F-D0E02752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32170</Words>
  <Characters>174042</Characters>
  <Application>Microsoft Office Word</Application>
  <DocSecurity>0</DocSecurity>
  <Lines>3053</Lines>
  <Paragraphs>900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 Brice (GROW)</dc:creator>
  <cp:keywords/>
  <dc:description/>
  <cp:lastModifiedBy>ANTOSOVA Sarka (GROW)</cp:lastModifiedBy>
  <cp:revision>2</cp:revision>
  <cp:lastPrinted>2025-05-13T14:46:00Z</cp:lastPrinted>
  <dcterms:created xsi:type="dcterms:W3CDTF">2025-09-23T15:13:00Z</dcterms:created>
  <dcterms:modified xsi:type="dcterms:W3CDTF">2025-09-23T15:13:00Z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2025-04-02T09:32:03Z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b0298679-eda4-43ad-8f56-7a14780fa596</vt:lpwstr>
  </property>
  <property fmtid="{D5CDD505-2E9C-101B-9397-08002B2CF9AE}" pid="8" name="MSIP_Label_6bd9ddd1-4d20-43f6-abfa-fc3c07406f94_ContentBits">
    <vt:lpwstr>0</vt:lpwstr>
  </property>
</Properties>
</file>