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0A" w:rsidRPr="00287FFE" w:rsidRDefault="006255E9" w:rsidP="004A435C">
      <w:pPr>
        <w:jc w:val="center"/>
        <w:rPr>
          <w:rFonts w:eastAsia="Calibri"/>
          <w:b/>
          <w:bCs/>
          <w:sz w:val="32"/>
          <w:szCs w:val="32"/>
          <w:u w:val="single"/>
        </w:rPr>
      </w:pPr>
      <w:r>
        <w:rPr>
          <w:b/>
          <w:sz w:val="32"/>
          <w:u w:val="single"/>
        </w:rPr>
        <w:t>Jurisprudência relacionada com a Diretiva (UE) 2015/1535</w:t>
      </w:r>
    </w:p>
    <w:p w:rsidR="00794472" w:rsidRDefault="00794472" w:rsidP="004A435C">
      <w:pPr>
        <w:jc w:val="both"/>
      </w:pPr>
    </w:p>
    <w:p w:rsidR="008F01F8" w:rsidRDefault="00794472" w:rsidP="004A435C">
      <w:pPr>
        <w:jc w:val="both"/>
      </w:pPr>
      <w:r>
        <w:t xml:space="preserve">O documento constitui uma síntese dos processos mais pertinentes do Tribunal de Justiça da União Europeia no que concerne ao âmbito e à aplicabilidade da Diretiva (UE) 2015/1535 relativa a um procedimento de informação no domínio das regulamentações técnicas e das regras relativas aos serviços da sociedade da informação. Serve como orientação para os representantes dos Estados-Membros, a indústria e os cidadãos. O documento não é exaustivo e podem existir outros processos relevantes neste domínio. O documento é constituído por três secções principais e os casos pertinentes estão elencados por ordem cronológica inversa. </w:t>
      </w:r>
    </w:p>
    <w:p w:rsidR="008F01F8" w:rsidRDefault="008F01F8" w:rsidP="004A435C">
      <w:pPr>
        <w:jc w:val="both"/>
      </w:pPr>
    </w:p>
    <w:p w:rsidR="008F01F8" w:rsidRPr="006255E9" w:rsidRDefault="001A1872" w:rsidP="008F01F8">
      <w:pPr>
        <w:pStyle w:val="ListParagraph"/>
        <w:numPr>
          <w:ilvl w:val="0"/>
          <w:numId w:val="18"/>
        </w:numPr>
        <w:jc w:val="both"/>
        <w:rPr>
          <w:color w:val="000000" w:themeColor="text1"/>
        </w:rPr>
      </w:pPr>
      <w:hyperlink w:anchor="First_heading" w:history="1">
        <w:r w:rsidR="00CD6E6A">
          <w:rPr>
            <w:rStyle w:val="Hyperlink"/>
            <w:color w:val="000000" w:themeColor="text1"/>
          </w:rPr>
          <w:t>Âmbito de aplicação da Diretiva (UE) 2015/1535</w:t>
        </w:r>
      </w:hyperlink>
    </w:p>
    <w:bookmarkStart w:id="0" w:name="a_heading"/>
    <w:p w:rsidR="008F01F8" w:rsidRPr="006A4C68" w:rsidRDefault="006A4C68" w:rsidP="008F01F8">
      <w:pPr>
        <w:pStyle w:val="ListParagraph"/>
        <w:numPr>
          <w:ilvl w:val="1"/>
          <w:numId w:val="18"/>
        </w:numPr>
        <w:jc w:val="both"/>
        <w:rPr>
          <w:rStyle w:val="Hyperlink"/>
        </w:rPr>
      </w:pPr>
      <w:r>
        <w:fldChar w:fldCharType="begin"/>
      </w:r>
      <w:r>
        <w:instrText>HYPERLINK "a_heading"</w:instrText>
      </w:r>
      <w:r>
        <w:fldChar w:fldCharType="separate"/>
      </w:r>
      <w:r>
        <w:rPr>
          <w:rStyle w:val="Hyperlink"/>
        </w:rPr>
        <w:t>Regulamentações técnicas</w:t>
      </w:r>
      <w:r>
        <w:fldChar w:fldCharType="end"/>
      </w:r>
    </w:p>
    <w:bookmarkEnd w:id="0"/>
    <w:p w:rsidR="008F01F8" w:rsidRDefault="006A4C68" w:rsidP="008F01F8">
      <w:pPr>
        <w:pStyle w:val="ListParagraph"/>
        <w:numPr>
          <w:ilvl w:val="1"/>
          <w:numId w:val="18"/>
        </w:numPr>
        <w:jc w:val="both"/>
      </w:pPr>
      <w:r>
        <w:fldChar w:fldCharType="begin"/>
      </w:r>
      <w:r>
        <w:instrText>HYPERLINK "a_heading"</w:instrText>
      </w:r>
      <w:r>
        <w:fldChar w:fldCharType="end"/>
      </w:r>
      <w:hyperlink w:anchor="b_heading" w:history="1">
        <w:r>
          <w:rPr>
            <w:rStyle w:val="Hyperlink"/>
          </w:rPr>
          <w:t>Serviços da sociedade da informação</w:t>
        </w:r>
      </w:hyperlink>
    </w:p>
    <w:p w:rsidR="008F01F8" w:rsidRDefault="001A1872" w:rsidP="008F01F8">
      <w:pPr>
        <w:pStyle w:val="ListParagraph"/>
        <w:numPr>
          <w:ilvl w:val="1"/>
          <w:numId w:val="18"/>
        </w:numPr>
        <w:jc w:val="both"/>
      </w:pPr>
      <w:hyperlink w:anchor="c_heading" w:history="1">
        <w:r w:rsidR="00CD6E6A">
          <w:rPr>
            <w:rStyle w:val="Hyperlink"/>
          </w:rPr>
          <w:t>Medidas fiscais</w:t>
        </w:r>
      </w:hyperlink>
    </w:p>
    <w:p w:rsidR="008F01F8" w:rsidRDefault="001A1872" w:rsidP="008F01F8">
      <w:pPr>
        <w:pStyle w:val="ListParagraph"/>
        <w:numPr>
          <w:ilvl w:val="1"/>
          <w:numId w:val="18"/>
        </w:numPr>
        <w:jc w:val="both"/>
      </w:pPr>
      <w:hyperlink w:anchor="d_heading" w:history="1">
        <w:r w:rsidR="00CD6E6A">
          <w:rPr>
            <w:rStyle w:val="Hyperlink"/>
          </w:rPr>
          <w:t>Obrigação de nova notificação</w:t>
        </w:r>
      </w:hyperlink>
    </w:p>
    <w:p w:rsidR="00AE51A7" w:rsidRPr="00AE51A7" w:rsidRDefault="00AE51A7" w:rsidP="00AE51A7">
      <w:pPr>
        <w:jc w:val="both"/>
      </w:pPr>
    </w:p>
    <w:p w:rsidR="008F01F8" w:rsidRDefault="001A1872" w:rsidP="008F01F8">
      <w:pPr>
        <w:pStyle w:val="ListParagraph"/>
        <w:numPr>
          <w:ilvl w:val="0"/>
          <w:numId w:val="18"/>
        </w:numPr>
        <w:jc w:val="both"/>
      </w:pPr>
      <w:hyperlink w:anchor="Second_heading" w:history="1">
        <w:r w:rsidR="00CD6E6A">
          <w:rPr>
            <w:rStyle w:val="Hyperlink"/>
          </w:rPr>
          <w:t xml:space="preserve">Casos de não notificação ou adoção antes do final do período de </w:t>
        </w:r>
        <w:r w:rsidR="00CD6E6A">
          <w:rPr>
            <w:rStyle w:val="Hyperlink"/>
            <w:i/>
          </w:rPr>
          <w:t>statu quo</w:t>
        </w:r>
      </w:hyperlink>
      <w:r w:rsidR="00CD6E6A">
        <w:rPr>
          <w:rStyle w:val="Hyperlink"/>
        </w:rPr>
        <w:t xml:space="preserve"> (Inaplicabilidade)</w:t>
      </w:r>
    </w:p>
    <w:p w:rsidR="00AE51A7" w:rsidRPr="00AE51A7" w:rsidRDefault="00AE51A7" w:rsidP="00AE51A7">
      <w:pPr>
        <w:jc w:val="both"/>
      </w:pPr>
    </w:p>
    <w:p w:rsidR="008F01F8" w:rsidRPr="008F01F8" w:rsidRDefault="001A1872" w:rsidP="008F01F8">
      <w:pPr>
        <w:pStyle w:val="ListParagraph"/>
        <w:numPr>
          <w:ilvl w:val="0"/>
          <w:numId w:val="18"/>
        </w:numPr>
        <w:jc w:val="both"/>
      </w:pPr>
      <w:hyperlink w:anchor="Third_heading" w:history="1">
        <w:r w:rsidR="00CD6E6A">
          <w:rPr>
            <w:rStyle w:val="Hyperlink"/>
          </w:rPr>
          <w:t>Incumprimento das obrigações por parte de um Estado-Membro</w:t>
        </w:r>
      </w:hyperlink>
    </w:p>
    <w:p w:rsidR="00794472" w:rsidRDefault="00794472" w:rsidP="004A435C">
      <w:pPr>
        <w:jc w:val="both"/>
      </w:pPr>
      <w:r>
        <w:t xml:space="preserve"> </w:t>
      </w:r>
    </w:p>
    <w:p w:rsidR="00794472" w:rsidRPr="00287FFE" w:rsidRDefault="00794472" w:rsidP="004A435C">
      <w:pPr>
        <w:jc w:val="both"/>
      </w:pPr>
    </w:p>
    <w:p w:rsidR="006255E9" w:rsidRDefault="006255E9" w:rsidP="00D26045">
      <w:pPr>
        <w:pStyle w:val="Style1"/>
        <w:jc w:val="left"/>
      </w:pPr>
      <w:r>
        <w:br w:type="page"/>
      </w:r>
    </w:p>
    <w:p w:rsidR="00DE6496" w:rsidRPr="00287FFE" w:rsidRDefault="008F01F8" w:rsidP="003C09E5">
      <w:pPr>
        <w:pStyle w:val="Style1"/>
      </w:pPr>
      <w:bookmarkStart w:id="1" w:name="First_heading"/>
      <w:r>
        <w:lastRenderedPageBreak/>
        <w:t>I. Âmbito de aplicação da Diretiva (UE) 2015/1535</w:t>
      </w:r>
    </w:p>
    <w:bookmarkEnd w:id="1"/>
    <w:p w:rsidR="00B65378" w:rsidRPr="00287FFE" w:rsidRDefault="00B65378" w:rsidP="004A435C">
      <w:pPr>
        <w:jc w:val="both"/>
        <w:rPr>
          <w:rFonts w:eastAsia="Calibri"/>
          <w:b/>
        </w:rPr>
      </w:pPr>
    </w:p>
    <w:p w:rsidR="00600D1E" w:rsidRPr="00160B40" w:rsidRDefault="008F01F8" w:rsidP="00600D1E">
      <w:pPr>
        <w:jc w:val="both"/>
        <w:rPr>
          <w:rFonts w:eastAsia="Calibri"/>
          <w:b/>
          <w:u w:val="single"/>
        </w:rPr>
      </w:pPr>
      <w:r>
        <w:rPr>
          <w:b/>
          <w:u w:val="single"/>
        </w:rPr>
        <w:t>a. Regulamentações técnicas</w:t>
      </w:r>
    </w:p>
    <w:p w:rsidR="00600D1E" w:rsidRPr="00287FFE" w:rsidRDefault="00600D1E" w:rsidP="00600D1E">
      <w:pPr>
        <w:jc w:val="both"/>
        <w:rPr>
          <w:rFonts w:eastAsia="Calibri"/>
          <w:b/>
          <w:i/>
        </w:rPr>
      </w:pPr>
    </w:p>
    <w:p w:rsidR="00B83CD6" w:rsidRDefault="00B83CD6" w:rsidP="00600D1E">
      <w:pPr>
        <w:jc w:val="both"/>
        <w:rPr>
          <w:rFonts w:eastAsia="Calibri"/>
          <w:b/>
          <w:i/>
        </w:rPr>
      </w:pPr>
      <w:r>
        <w:rPr>
          <w:b/>
          <w:i/>
        </w:rPr>
        <w:t>Acórdão de 26 de setembro de 2018, Van Gennip e o., Processo C-137/17, EU:C:2018:771</w:t>
      </w:r>
    </w:p>
    <w:p w:rsidR="00B83CD6" w:rsidRPr="00B83CD6" w:rsidRDefault="00160B40" w:rsidP="00600D1E">
      <w:pPr>
        <w:jc w:val="both"/>
        <w:rPr>
          <w:rFonts w:eastAsia="Calibri"/>
        </w:rPr>
      </w:pPr>
      <w:r>
        <w:t>- As disposições nacionais que subordinam a comercialização de produtos à condição de o comprador possuir uma autorização não se enquadram no conceito de «regra técnica» na aceção da Diretiva (UE) 2015/1535.</w:t>
      </w:r>
    </w:p>
    <w:p w:rsidR="00B83CD6" w:rsidRDefault="00B83CD6" w:rsidP="00600D1E">
      <w:pPr>
        <w:jc w:val="both"/>
        <w:rPr>
          <w:rFonts w:eastAsia="Calibri"/>
          <w:b/>
          <w:i/>
        </w:rPr>
      </w:pPr>
    </w:p>
    <w:p w:rsidR="00600D1E" w:rsidRPr="009613F1" w:rsidRDefault="00600D1E" w:rsidP="00600D1E">
      <w:pPr>
        <w:jc w:val="both"/>
        <w:rPr>
          <w:rFonts w:eastAsia="Calibri"/>
          <w:b/>
          <w:i/>
        </w:rPr>
      </w:pPr>
      <w:r>
        <w:rPr>
          <w:b/>
          <w:i/>
        </w:rPr>
        <w:t>Acórdão de 1 de fevereiro de 2017, Município de Palmela, Processo C-144/16, EU:C:2017:76, n.º 23</w:t>
      </w:r>
    </w:p>
    <w:p w:rsidR="00600D1E" w:rsidRPr="00287FFE" w:rsidRDefault="00B15802" w:rsidP="00B15802">
      <w:pPr>
        <w:ind w:left="142" w:hanging="142"/>
        <w:jc w:val="both"/>
      </w:pPr>
      <w:r>
        <w:t>- Constitui uma regra técnica na aceção da Diretiva 98/34 uma disposição que preveja exigências de segurança impostas a um produto, por razões de proteção dos consumidores, que visam o seu ciclo de vida após a sua introdução no mercado e influenciam significativamente a composição e a comercialização desse produto. Essa disposição está abrangida pela categoria das «outras exigências» na aceção tanto do artigo 1.º, n.º 3, da Diretiva 83/189 como do artigo 1.º, n.º 4, da Diretiva 98/34.</w:t>
      </w:r>
    </w:p>
    <w:p w:rsidR="00600D1E" w:rsidRPr="00287FFE" w:rsidRDefault="00B15802" w:rsidP="00B15802">
      <w:pPr>
        <w:ind w:left="142" w:hanging="142"/>
        <w:jc w:val="both"/>
      </w:pPr>
      <w:r>
        <w:t>- A regra que impõe a afixação, em diferentes locais dos espaços de jogo e recreio, da informação sobre a lotação máxima desse espaço não constitui uma regra técnica na aceção da Diretiva 98/34.</w:t>
      </w:r>
    </w:p>
    <w:p w:rsidR="00600D1E" w:rsidRPr="00287FFE" w:rsidRDefault="00600D1E" w:rsidP="00600D1E">
      <w:pPr>
        <w:jc w:val="both"/>
      </w:pPr>
    </w:p>
    <w:p w:rsidR="00600D1E" w:rsidRPr="00287FFE" w:rsidRDefault="00600D1E" w:rsidP="00600D1E">
      <w:pPr>
        <w:jc w:val="both"/>
        <w:rPr>
          <w:rFonts w:eastAsia="Calibri"/>
          <w:b/>
          <w:i/>
        </w:rPr>
      </w:pPr>
      <w:r>
        <w:rPr>
          <w:b/>
          <w:i/>
        </w:rPr>
        <w:t>Acórdão de 27 de outubro de 2016, James Elliott Construction, Processo C-613/14, EU:C:2016:821, n.º 72</w:t>
      </w:r>
    </w:p>
    <w:p w:rsidR="00600D1E" w:rsidRPr="00287FFE" w:rsidRDefault="00600D1E" w:rsidP="00600D1E">
      <w:pPr>
        <w:jc w:val="both"/>
        <w:rPr>
          <w:rFonts w:eastAsia="Calibri"/>
        </w:rPr>
      </w:pPr>
    </w:p>
    <w:p w:rsidR="00600D1E" w:rsidRPr="00287FFE" w:rsidRDefault="00160B40" w:rsidP="00600D1E">
      <w:pPr>
        <w:jc w:val="both"/>
        <w:rPr>
          <w:rFonts w:eastAsia="Calibri"/>
        </w:rPr>
      </w:pPr>
      <w:r>
        <w:t>- As disposições nacionais que enunciam, com exclusão da vontade contrária das partes, condições contratuais implícitas relativas à qualidade comerciável e à aptidão para o uso dos produtos vendidos não constituem «regras técnicas», na aceção do artigo 1.º, n.º 11, da Diretiva 98/34.</w:t>
      </w:r>
    </w:p>
    <w:p w:rsidR="00600D1E" w:rsidRPr="00287FFE" w:rsidRDefault="00600D1E" w:rsidP="00600D1E">
      <w:pPr>
        <w:jc w:val="both"/>
        <w:rPr>
          <w:rFonts w:eastAsia="Calibri"/>
          <w:highlight w:val="green"/>
        </w:rPr>
      </w:pPr>
    </w:p>
    <w:p w:rsidR="00600D1E" w:rsidRPr="00287FFE" w:rsidRDefault="00600D1E" w:rsidP="00600D1E">
      <w:pPr>
        <w:jc w:val="both"/>
        <w:rPr>
          <w:rFonts w:eastAsia="Calibri"/>
          <w:b/>
          <w:i/>
        </w:rPr>
      </w:pPr>
      <w:r>
        <w:rPr>
          <w:b/>
          <w:i/>
        </w:rPr>
        <w:t>Acórdão de 13 de outubro de 2016, M. e S., Processo C-303/15, EU:C:2016:771, n.</w:t>
      </w:r>
      <w:r>
        <w:rPr>
          <w:b/>
          <w:i/>
          <w:vertAlign w:val="superscript"/>
        </w:rPr>
        <w:t>os</w:t>
      </w:r>
      <w:r>
        <w:rPr>
          <w:b/>
          <w:i/>
        </w:rPr>
        <w:t> 23 a 31</w:t>
      </w:r>
    </w:p>
    <w:p w:rsidR="00600D1E" w:rsidRPr="00287FFE" w:rsidRDefault="00600D1E" w:rsidP="00600D1E">
      <w:pPr>
        <w:jc w:val="both"/>
      </w:pPr>
    </w:p>
    <w:p w:rsidR="00600D1E" w:rsidRPr="00287FFE" w:rsidRDefault="00B15802" w:rsidP="00B15802">
      <w:pPr>
        <w:ind w:left="142" w:hanging="142"/>
        <w:jc w:val="both"/>
      </w:pPr>
      <w:r>
        <w:t xml:space="preserve">- As disposições nacionais que se limitam a prever condições para o estabelecimento das empresas ou a prestação de serviços por estas, como as disposições que sujeitam o exercício de uma atividade profissional a uma autorização prévia, não constituem regras técnicas na aceção do artigo 1.º, n.º 11, da Diretiva 98/34. </w:t>
      </w:r>
    </w:p>
    <w:p w:rsidR="00600D1E" w:rsidRPr="00287FFE" w:rsidRDefault="00B15802" w:rsidP="00B15802">
      <w:pPr>
        <w:ind w:left="142" w:hanging="142"/>
        <w:jc w:val="both"/>
      </w:pPr>
      <w:r>
        <w:t xml:space="preserve">- Uma medida nacional que reserva unicamente aos casinos a organização de determinados jogos de fortuna ou azar constitui uma «regra técnica» na aceção do artigo 1.º, n.º 11, da Diretiva 98/34, na medida em que é suscetível de influenciar significativamente a natureza ou a comercialização dos produtos utilizados neste contexto e, por outro lado, na medida em que uma proibição de exploração de certos produtos fora dos casinos é suscetível de influenciar significativamente a comercialização desses produtos, reduzindo os canais de exploração em que podem ser utilizados. Uma disposição que sujeita a organização de jogos de roleta, de cartas, de dados e em máquinas de jogo a uma licença da exploração de casinos não constitui uma «especificação técnica» na aceção do artigo 1.º, n.º 3, da Diretiva 98/34, uma vez que não se refere ao produto ou à sua embalagem enquanto tais e não fixa uma das características exigidas de um produto. A referida disposição não é abrangida pela categoria das «regras relativas aos serviços» da sociedade da informação, na aceção do artigo 1.º, n.º 5, da Diretiva 98/34, uma vez que não diz respeito a «serviços da sociedade da informação», na aceção do artigo 1.º, n.º 2, desta diretiva. </w:t>
      </w:r>
    </w:p>
    <w:p w:rsidR="00B010E1" w:rsidRPr="00287FFE" w:rsidRDefault="00B010E1" w:rsidP="00600D1E">
      <w:pPr>
        <w:jc w:val="both"/>
      </w:pPr>
    </w:p>
    <w:p w:rsidR="00295CA4" w:rsidRPr="00287FFE" w:rsidRDefault="00295CA4" w:rsidP="00295CA4">
      <w:pPr>
        <w:jc w:val="both"/>
        <w:rPr>
          <w:rFonts w:eastAsia="Calibri"/>
          <w:b/>
          <w:i/>
        </w:rPr>
      </w:pPr>
      <w:r>
        <w:rPr>
          <w:b/>
          <w:i/>
        </w:rPr>
        <w:lastRenderedPageBreak/>
        <w:t>Acórdão de 11 de junho de 2015, Berlington Hungary e o., Processo C-98/14, EU:C:2015:386, n.</w:t>
      </w:r>
      <w:r>
        <w:rPr>
          <w:b/>
          <w:i/>
          <w:vertAlign w:val="superscript"/>
        </w:rPr>
        <w:t>os</w:t>
      </w:r>
      <w:r>
        <w:rPr>
          <w:b/>
          <w:i/>
        </w:rPr>
        <w:t> 42, 98 e 99</w:t>
      </w:r>
    </w:p>
    <w:p w:rsidR="00295CA4" w:rsidRPr="00287FFE" w:rsidRDefault="00295CA4" w:rsidP="00295CA4">
      <w:pPr>
        <w:jc w:val="both"/>
        <w:rPr>
          <w:rFonts w:eastAsia="Calibri"/>
        </w:rPr>
      </w:pPr>
    </w:p>
    <w:p w:rsidR="00295CA4" w:rsidRPr="00287FFE" w:rsidRDefault="00B15802" w:rsidP="00B15802">
      <w:pPr>
        <w:ind w:left="142" w:hanging="142"/>
        <w:jc w:val="both"/>
        <w:rPr>
          <w:rFonts w:eastAsia="Calibri"/>
        </w:rPr>
      </w:pPr>
      <w:r>
        <w:t xml:space="preserve">- As disposições de uma legislação nacional que quintuplicam o valor de um imposto de montante fixo que incide na exploração de </w:t>
      </w:r>
      <w:r>
        <w:rPr>
          <w:i/>
        </w:rPr>
        <w:t>slot machines</w:t>
      </w:r>
      <w:r>
        <w:t xml:space="preserve"> em salas de jogos e, em acréscimo, instituem um imposto proporcional sobre esta mesma atividade não constituem «regras técnicas» na aceção da Diretiva 98/34.</w:t>
      </w:r>
    </w:p>
    <w:p w:rsidR="00295CA4" w:rsidRPr="00287FFE" w:rsidRDefault="00B15802" w:rsidP="00B15802">
      <w:pPr>
        <w:ind w:left="142" w:hanging="142"/>
        <w:jc w:val="both"/>
      </w:pPr>
      <w:r>
        <w:t xml:space="preserve">- As disposições de uma legislação nacional que proíbem a exploração de </w:t>
      </w:r>
      <w:r>
        <w:rPr>
          <w:i/>
        </w:rPr>
        <w:t>slot machines</w:t>
      </w:r>
      <w:r>
        <w:t xml:space="preserve"> fora dos casinos constituem «regras técnicas» na aceção da Diretiva 98/34, na medida em que tal é suscetível de influenciar significativamente a natureza ou a comercialização de </w:t>
      </w:r>
      <w:r>
        <w:rPr>
          <w:i/>
        </w:rPr>
        <w:t>slot machines</w:t>
      </w:r>
      <w:r>
        <w:t>.</w:t>
      </w:r>
    </w:p>
    <w:p w:rsidR="00295CA4" w:rsidRPr="00287FFE" w:rsidRDefault="00295CA4" w:rsidP="00295CA4">
      <w:pPr>
        <w:jc w:val="both"/>
      </w:pPr>
    </w:p>
    <w:p w:rsidR="00B15802" w:rsidRPr="00287FFE" w:rsidRDefault="00B15802" w:rsidP="00B15802">
      <w:pPr>
        <w:jc w:val="both"/>
        <w:rPr>
          <w:rFonts w:eastAsia="Calibri"/>
          <w:b/>
          <w:i/>
        </w:rPr>
      </w:pPr>
      <w:r>
        <w:rPr>
          <w:b/>
          <w:i/>
        </w:rPr>
        <w:t>Acórdão de 10 de julho de 2014, Ivansson e o., Processo C</w:t>
      </w:r>
      <w:r>
        <w:rPr>
          <w:rFonts w:ascii="MS Gothic" w:hAnsi="MS Gothic"/>
          <w:b/>
          <w:i/>
        </w:rPr>
        <w:t>-</w:t>
      </w:r>
      <w:r>
        <w:rPr>
          <w:b/>
          <w:i/>
        </w:rPr>
        <w:t>307/13, EU:C:2014:2058, n.</w:t>
      </w:r>
      <w:r>
        <w:rPr>
          <w:b/>
          <w:i/>
          <w:vertAlign w:val="superscript"/>
        </w:rPr>
        <w:t>os</w:t>
      </w:r>
      <w:r>
        <w:rPr>
          <w:b/>
          <w:i/>
        </w:rPr>
        <w:t> 30 e 31, 46 a 50</w:t>
      </w:r>
    </w:p>
    <w:p w:rsidR="00B15802" w:rsidRPr="00287FFE" w:rsidRDefault="00B15802" w:rsidP="00B15802">
      <w:pPr>
        <w:jc w:val="both"/>
        <w:rPr>
          <w:rFonts w:eastAsia="Calibri"/>
        </w:rPr>
      </w:pPr>
    </w:p>
    <w:p w:rsidR="00B15802" w:rsidRPr="00287FFE" w:rsidRDefault="00B15802" w:rsidP="00B15802">
      <w:pPr>
        <w:ind w:left="142" w:hanging="142"/>
        <w:jc w:val="both"/>
        <w:rPr>
          <w:rFonts w:eastAsia="Calibri"/>
        </w:rPr>
      </w:pPr>
      <w:r>
        <w:t xml:space="preserve">- Um reenvio para regras administrativas mais pormenorizadas que constituam «especificações técnicas» ou «outras exigências» é suscetível de conferir ao projeto de notificação a qualidade de «regra técnica </w:t>
      </w:r>
      <w:r>
        <w:rPr>
          <w:i/>
        </w:rPr>
        <w:t>de facto</w:t>
      </w:r>
      <w:r>
        <w:t>».</w:t>
      </w:r>
    </w:p>
    <w:p w:rsidR="00B15802" w:rsidRPr="00287FFE" w:rsidRDefault="00B15802" w:rsidP="00B15802">
      <w:pPr>
        <w:ind w:left="142" w:hanging="142"/>
        <w:jc w:val="both"/>
        <w:rPr>
          <w:rFonts w:eastAsia="Calibri"/>
        </w:rPr>
      </w:pPr>
      <w:r>
        <w:t xml:space="preserve">- A data fixada em último lugar pelas autoridades nacionais para a entrada em vigor de uma medida nacional está sujeita à obrigação de comunicação à Comissão, conforme prevista no artigo 8.º, n.º 1, terceiro parágrafo, da Diretiva 98/34, na medida em que ocorreu uma alteração do calendário de aplicação da referida medida nacional e que a mesma revista um caráter significativo, o que incumbe ao tribunal nacional verificar. </w:t>
      </w:r>
    </w:p>
    <w:p w:rsidR="00B15802" w:rsidRPr="00287FFE" w:rsidRDefault="00B15802" w:rsidP="00B15802">
      <w:pPr>
        <w:ind w:left="142" w:hanging="142"/>
        <w:jc w:val="both"/>
        <w:rPr>
          <w:rFonts w:eastAsia="Calibri"/>
        </w:rPr>
      </w:pPr>
      <w:r>
        <w:t>- Uma redução «significativa» do calendário inicialmente fixado pelas autoridades nacionais para a entrada em vigor e a aplicação de uma regra técnica está sujeita à obrigação de comunicação à Comissão, conforme prevista no artigo 8.º, n.º 1, terceiro parágrafo, da Diretiva 98/34. A omissão de proceder a essa notificação acarreta a inaplicabilidade da referida medida nacional, de modo que esta não possa ser invocada contra particulares.</w:t>
      </w:r>
    </w:p>
    <w:p w:rsidR="00B15802" w:rsidRPr="00287FFE" w:rsidRDefault="00B15802" w:rsidP="00295CA4">
      <w:pPr>
        <w:jc w:val="both"/>
        <w:rPr>
          <w:rFonts w:eastAsia="Calibri"/>
          <w:b/>
          <w:i/>
          <w:highlight w:val="green"/>
        </w:rPr>
      </w:pPr>
    </w:p>
    <w:p w:rsidR="00295CA4" w:rsidRPr="00287FFE" w:rsidRDefault="00295CA4" w:rsidP="00295CA4">
      <w:pPr>
        <w:jc w:val="both"/>
        <w:rPr>
          <w:rFonts w:eastAsia="Calibri"/>
          <w:b/>
          <w:i/>
        </w:rPr>
      </w:pPr>
      <w:r>
        <w:rPr>
          <w:b/>
          <w:i/>
        </w:rPr>
        <w:t>Acórdão de 19 de julho de 2012, Fortuna e o., Processos apensos C-213/11 e C-217/11, EU:C:2012:495, n.</w:t>
      </w:r>
      <w:r>
        <w:rPr>
          <w:b/>
          <w:i/>
          <w:vertAlign w:val="superscript"/>
        </w:rPr>
        <w:t>os</w:t>
      </w:r>
      <w:r>
        <w:rPr>
          <w:b/>
          <w:i/>
        </w:rPr>
        <w:t> 25 e 40</w:t>
      </w:r>
    </w:p>
    <w:p w:rsidR="00295CA4" w:rsidRPr="00287FFE" w:rsidRDefault="00295CA4" w:rsidP="00295CA4">
      <w:pPr>
        <w:jc w:val="both"/>
      </w:pPr>
    </w:p>
    <w:p w:rsidR="00DB04B3" w:rsidRPr="00287FFE" w:rsidRDefault="00160B40" w:rsidP="00295CA4">
      <w:pPr>
        <w:jc w:val="both"/>
      </w:pPr>
      <w:r>
        <w:t xml:space="preserve">- As disposições nacionais que possam ter por efeito limitar, ou mesmo tornar progressivamente impossível, a exploração de jogos automáticos com prémios reduzidos em estabelecimentos que não sejam casinos ou salas de jogo são suscetíveis de constituir «regras técnicas», na medida em que seja estabelecido que as referidas disposições constituem condições que podem influenciar significativamente a natureza ou a comercialização do produto em questão. </w:t>
      </w:r>
    </w:p>
    <w:p w:rsidR="00295CA4" w:rsidRPr="00287FFE" w:rsidRDefault="00160B40" w:rsidP="00295CA4">
      <w:pPr>
        <w:jc w:val="both"/>
      </w:pPr>
      <w:r>
        <w:t>- Uma medida que reserva unicamente aos casinos de jogo a organização de jogos automáticos deve ser qualificada de «regra técnica» na aceção do artigo 1.º, n.º 11, da Diretiva 98/34.</w:t>
      </w:r>
    </w:p>
    <w:p w:rsidR="00295CA4" w:rsidRPr="00287FFE" w:rsidRDefault="00295CA4" w:rsidP="00295CA4">
      <w:pPr>
        <w:jc w:val="both"/>
        <w:rPr>
          <w:rFonts w:eastAsia="Calibri"/>
          <w:b/>
          <w:i/>
          <w:highlight w:val="green"/>
        </w:rPr>
      </w:pPr>
    </w:p>
    <w:p w:rsidR="00295CA4" w:rsidRPr="00287FFE" w:rsidRDefault="00295CA4" w:rsidP="00295CA4">
      <w:pPr>
        <w:jc w:val="both"/>
        <w:rPr>
          <w:rFonts w:eastAsia="Calibri"/>
          <w:b/>
          <w:i/>
        </w:rPr>
      </w:pPr>
      <w:r>
        <w:rPr>
          <w:b/>
          <w:i/>
        </w:rPr>
        <w:t>Acórdão de 14 de abril de 2011, Vlaamse Dierenartsenvereniging VZW e Marc Janssens, Processos apensos C-42/10, C-45/10 e C-57/10, EU:C:2011:253, n.</w:t>
      </w:r>
      <w:r>
        <w:rPr>
          <w:b/>
          <w:i/>
          <w:vertAlign w:val="superscript"/>
        </w:rPr>
        <w:t>os</w:t>
      </w:r>
      <w:r>
        <w:rPr>
          <w:b/>
          <w:i/>
        </w:rPr>
        <w:t xml:space="preserve"> 69 e 70 </w:t>
      </w:r>
    </w:p>
    <w:p w:rsidR="00295CA4" w:rsidRPr="00287FFE" w:rsidRDefault="00295CA4" w:rsidP="00295CA4">
      <w:pPr>
        <w:jc w:val="both"/>
        <w:rPr>
          <w:rFonts w:eastAsia="Calibri"/>
        </w:rPr>
      </w:pPr>
    </w:p>
    <w:p w:rsidR="00295CA4" w:rsidRPr="00287FFE" w:rsidRDefault="00160B40" w:rsidP="00295CA4">
      <w:pPr>
        <w:jc w:val="both"/>
        <w:rPr>
          <w:rFonts w:eastAsia="Calibri"/>
        </w:rPr>
      </w:pPr>
      <w:r>
        <w:t>- A Diretiva 98/34 não é aplicável a passaportes para animais de companhia que não podem ser qualificados de «mercadoria» (não podem ser objeto de transações comercias).</w:t>
      </w:r>
    </w:p>
    <w:p w:rsidR="00295CA4" w:rsidRPr="00287FFE" w:rsidRDefault="00160B40" w:rsidP="00295CA4">
      <w:pPr>
        <w:jc w:val="both"/>
        <w:rPr>
          <w:rFonts w:eastAsia="Calibri"/>
        </w:rPr>
      </w:pPr>
      <w:r>
        <w:t>- As disposições nacionais relativas ao passaporte para animais de companhia e à utilização do mesmo como prova da identificação e do registo dos cães, bem como ao uso de etiquetas autocolantes para efetuar as alterações relativas à identificação do proprietário e do animal, por um lado, e as relativas à determinação de um número único para os gatos e os furões, por outro, não constituem regras técnicas na aceção do artigo 1.º da Diretiva 98/34 que devam, em conformidade com o artigo 8.º desta diretiva, ser objeto de uma comunicação prévia à Comissão.</w:t>
      </w:r>
    </w:p>
    <w:p w:rsidR="00295CA4" w:rsidRPr="00287FFE" w:rsidRDefault="00295CA4" w:rsidP="00295CA4">
      <w:pPr>
        <w:jc w:val="both"/>
      </w:pPr>
    </w:p>
    <w:p w:rsidR="00295CA4" w:rsidRPr="00287FFE" w:rsidRDefault="00295CA4" w:rsidP="00295CA4">
      <w:pPr>
        <w:jc w:val="both"/>
        <w:rPr>
          <w:rFonts w:eastAsia="Calibri"/>
          <w:b/>
          <w:i/>
        </w:rPr>
      </w:pPr>
      <w:r>
        <w:rPr>
          <w:b/>
          <w:i/>
        </w:rPr>
        <w:t xml:space="preserve">Acórdão de 8 de novembro de 2007, Schwibbert, Processo C-20/05, EU:C:2007:652, n.º 45 </w:t>
      </w:r>
    </w:p>
    <w:p w:rsidR="00295CA4" w:rsidRPr="00287FFE" w:rsidRDefault="00295CA4" w:rsidP="00295CA4">
      <w:pPr>
        <w:jc w:val="both"/>
      </w:pPr>
    </w:p>
    <w:p w:rsidR="00295CA4" w:rsidRPr="00287FFE" w:rsidRDefault="00160B40" w:rsidP="00295CA4">
      <w:pPr>
        <w:jc w:val="both"/>
      </w:pPr>
      <w:r>
        <w:t>- As disposições nacionais que introduzem a obrigação de apor um sinal distintivo nos produtos para a sua comercialização no Estado-Membro em causa constituem uma regra técnica que, se não for notificada à Comissão, não pode ser invocada contra um particular.</w:t>
      </w:r>
    </w:p>
    <w:p w:rsidR="00295CA4" w:rsidRPr="00287FFE" w:rsidRDefault="00295CA4" w:rsidP="00295CA4">
      <w:pPr>
        <w:jc w:val="center"/>
        <w:rPr>
          <w:rFonts w:eastAsia="Calibri"/>
          <w:b/>
          <w:i/>
        </w:rPr>
      </w:pPr>
    </w:p>
    <w:p w:rsidR="00295CA4" w:rsidRPr="00287FFE" w:rsidRDefault="00295CA4" w:rsidP="00295CA4">
      <w:pPr>
        <w:jc w:val="both"/>
        <w:rPr>
          <w:rFonts w:eastAsia="Calibri"/>
          <w:b/>
          <w:i/>
        </w:rPr>
      </w:pPr>
      <w:r>
        <w:rPr>
          <w:b/>
          <w:i/>
        </w:rPr>
        <w:t>Acórdão de 26 de outubro de 2006, Comissão contra Grécia, Processo C-65/05, EU:C:2006:673, n.º 11</w:t>
      </w:r>
    </w:p>
    <w:p w:rsidR="00295CA4" w:rsidRPr="00287FFE" w:rsidRDefault="00295CA4" w:rsidP="00295CA4">
      <w:pPr>
        <w:jc w:val="both"/>
      </w:pPr>
    </w:p>
    <w:p w:rsidR="00295CA4" w:rsidRPr="00287FFE" w:rsidRDefault="00160B40" w:rsidP="00295CA4">
      <w:pPr>
        <w:jc w:val="both"/>
      </w:pPr>
      <w:r>
        <w:t>- As medidas que proíbem a instalação de quaisquer jogos elétricos, eletromecânicos e eletrónicos, incluindo jogos para computadores, em todos os locais públicos ou privados, com exceção dos casinos, bem como a utilização de jogos em computadores que se encontrem em empresas de prestação de serviços de Internet, e que submetem a exploração destas empresas à emissão de uma autorização especial devem ser consideradas regras técnicas na aceção do artigo 1.º, n.º 11, da Diretiva 98/34.</w:t>
      </w:r>
    </w:p>
    <w:p w:rsidR="00295CA4" w:rsidRPr="00287FFE" w:rsidRDefault="00295CA4" w:rsidP="00295CA4">
      <w:pPr>
        <w:jc w:val="both"/>
        <w:rPr>
          <w:rFonts w:eastAsia="Calibri"/>
          <w:b/>
          <w:i/>
        </w:rPr>
      </w:pPr>
    </w:p>
    <w:p w:rsidR="00295CA4" w:rsidRPr="00287FFE" w:rsidRDefault="00295CA4" w:rsidP="00295CA4">
      <w:pPr>
        <w:jc w:val="both"/>
        <w:rPr>
          <w:rFonts w:eastAsia="Calibri"/>
          <w:b/>
          <w:i/>
        </w:rPr>
      </w:pPr>
      <w:r>
        <w:rPr>
          <w:b/>
          <w:i/>
        </w:rPr>
        <w:t>Acórdão de 8 de setembro de 2005, Lidl Italia, Processo C-303/04, EU:C:2005:528, n.º 14</w:t>
      </w:r>
    </w:p>
    <w:p w:rsidR="00295CA4" w:rsidRPr="00287FFE" w:rsidRDefault="00295CA4" w:rsidP="00295CA4"/>
    <w:p w:rsidR="00295CA4" w:rsidRPr="00287FFE" w:rsidRDefault="00160B40" w:rsidP="00295CA4">
      <w:r>
        <w:t>- Uma disposição legislativa nacional que inclua uma proibição de comercialização de produtos que não são fabricados com recurso a determinados materiais constitui uma regra técnica.</w:t>
      </w:r>
    </w:p>
    <w:p w:rsidR="00CE6151" w:rsidRPr="00287FFE" w:rsidRDefault="00CE6151" w:rsidP="00295CA4"/>
    <w:p w:rsidR="00B15802" w:rsidRPr="00287FFE" w:rsidRDefault="00B15802" w:rsidP="00B15802">
      <w:pPr>
        <w:jc w:val="both"/>
        <w:rPr>
          <w:rFonts w:eastAsia="Calibri"/>
          <w:b/>
          <w:i/>
        </w:rPr>
      </w:pPr>
      <w:r>
        <w:rPr>
          <w:b/>
          <w:i/>
        </w:rPr>
        <w:t>Acórdão de 21 de abril de 2005, Lindberg, Processo C</w:t>
      </w:r>
      <w:r>
        <w:noBreakHyphen/>
      </w:r>
      <w:r>
        <w:rPr>
          <w:b/>
          <w:i/>
        </w:rPr>
        <w:t>267/03, EU:C:2005:246, n.</w:t>
      </w:r>
      <w:r>
        <w:rPr>
          <w:b/>
          <w:i/>
          <w:vertAlign w:val="superscript"/>
        </w:rPr>
        <w:t>os</w:t>
      </w:r>
      <w:r>
        <w:rPr>
          <w:b/>
          <w:i/>
        </w:rPr>
        <w:t> 80, 85 e 95</w:t>
      </w:r>
    </w:p>
    <w:p w:rsidR="00B15802" w:rsidRPr="00287FFE" w:rsidRDefault="00B15802" w:rsidP="00B15802">
      <w:pPr>
        <w:jc w:val="both"/>
      </w:pPr>
    </w:p>
    <w:p w:rsidR="00B15802" w:rsidRPr="00287FFE" w:rsidRDefault="00DB04B3" w:rsidP="00DB04B3">
      <w:pPr>
        <w:ind w:left="142" w:hanging="142"/>
        <w:jc w:val="both"/>
      </w:pPr>
      <w:r>
        <w:t>- A redefinição na legislação nacional de um serviço que está ligado à conceção de um produto pode constituir uma regra técnica que deve ser notificada, se esta nova legislação não se limitar a reproduzir ou a substituir, sem lhes aditar especificações técnicas, novas ou complementares, regras técnicas existentes que, caso tenham sido adotadas após a entrada em vigor da Diretiva 83/189 no Estado-Membro em causa, tenham sido devidamente notificadas.</w:t>
      </w:r>
    </w:p>
    <w:p w:rsidR="00B15802" w:rsidRPr="00287FFE" w:rsidRDefault="00DB04B3" w:rsidP="00DB04B3">
      <w:pPr>
        <w:ind w:left="142" w:hanging="142"/>
        <w:jc w:val="both"/>
      </w:pPr>
      <w:r>
        <w:t>- A passagem, na legislação nacional, de um regime de autorização a um regime de proibição pode ser uma circunstância pertinente à luz da obrigação de notificação.</w:t>
      </w:r>
    </w:p>
    <w:p w:rsidR="00B15802" w:rsidRPr="00287FFE" w:rsidRDefault="00DB04B3" w:rsidP="00DB04B3">
      <w:pPr>
        <w:ind w:left="142" w:hanging="142"/>
        <w:jc w:val="both"/>
        <w:rPr>
          <w:rFonts w:eastAsia="Calibri"/>
          <w:b/>
          <w:i/>
        </w:rPr>
      </w:pPr>
      <w:r>
        <w:t>- O maior ou menor valor do produto ou do serviço ou a dimensão do mercado do produto ou do serviço são circunstâncias que não são pertinentes à luz da obrigação de notificação prevista pela diretiva.</w:t>
      </w:r>
      <w:r>
        <w:rPr>
          <w:b/>
          <w:i/>
        </w:rPr>
        <w:t xml:space="preserve"> </w:t>
      </w:r>
    </w:p>
    <w:p w:rsidR="00B15802" w:rsidRPr="00287FFE" w:rsidRDefault="00DB04B3" w:rsidP="00DB04B3">
      <w:pPr>
        <w:ind w:left="142" w:hanging="142"/>
        <w:jc w:val="both"/>
      </w:pPr>
      <w:r>
        <w:t>- As disposições nacionais que contêm uma proibição de organizar jogos de azar através da exploração de determinadas máquinas de jogos automáticas podem constituir uma regra técnica na aceção da Diretiva 83/189, desde que se demonstre que o alcance da proibição em causa é tal que só permite uma utilização puramente marginal que pode razoavelmente ser esperada do produto em causa ou, se assim não for, que se demonstre que essa proibição pode influenciar de forma significativa a composição, a natureza ou a comercialização do referido produto.</w:t>
      </w:r>
    </w:p>
    <w:p w:rsidR="00CE6151" w:rsidRPr="00287FFE" w:rsidRDefault="00CE6151" w:rsidP="00295CA4"/>
    <w:p w:rsidR="00CE6151" w:rsidRPr="00287FFE" w:rsidRDefault="00CE6151" w:rsidP="00CE6151">
      <w:pPr>
        <w:rPr>
          <w:rFonts w:eastAsia="Calibri"/>
          <w:b/>
          <w:i/>
        </w:rPr>
      </w:pPr>
      <w:r>
        <w:rPr>
          <w:b/>
          <w:i/>
        </w:rPr>
        <w:t>Acórdão de 6 de junho de 2002, Sapod Audic, Processo C-159/00, EU:C:2002:343, n.</w:t>
      </w:r>
      <w:r>
        <w:rPr>
          <w:b/>
          <w:i/>
          <w:vertAlign w:val="superscript"/>
        </w:rPr>
        <w:t>os</w:t>
      </w:r>
      <w:r>
        <w:rPr>
          <w:b/>
          <w:i/>
        </w:rPr>
        <w:t> 30 e 39</w:t>
      </w:r>
    </w:p>
    <w:p w:rsidR="00CE6151" w:rsidRPr="00287FFE" w:rsidRDefault="00CE6151" w:rsidP="00CE6151">
      <w:pPr>
        <w:jc w:val="both"/>
      </w:pPr>
    </w:p>
    <w:p w:rsidR="00CE6151" w:rsidRPr="00B010E1" w:rsidRDefault="00160B40" w:rsidP="00B010E1">
      <w:pPr>
        <w:jc w:val="both"/>
      </w:pPr>
      <w:r>
        <w:t>- Uma disposição nacional que estabelece uma obrigação de identificação das embalagens constitui uma regra técnica que deve ser notificada na medida em que implica uma obrigação de marcação ou de rotulagem destas embalagens.</w:t>
      </w:r>
    </w:p>
    <w:p w:rsidR="00CE6151" w:rsidRPr="00287FFE" w:rsidRDefault="00CE6151" w:rsidP="00295CA4"/>
    <w:p w:rsidR="00B15802" w:rsidRPr="00287FFE" w:rsidRDefault="00B15802" w:rsidP="00BC18A3">
      <w:pPr>
        <w:keepNext/>
        <w:keepLines/>
        <w:rPr>
          <w:rFonts w:eastAsia="Calibri"/>
          <w:b/>
          <w:i/>
        </w:rPr>
      </w:pPr>
      <w:r>
        <w:rPr>
          <w:b/>
          <w:i/>
        </w:rPr>
        <w:lastRenderedPageBreak/>
        <w:t>Acórdão de 8 de março de 2001, Van der Burg, Processo C-278/99, EU:C:2001:143, n.º 20</w:t>
      </w:r>
    </w:p>
    <w:p w:rsidR="00B15802" w:rsidRPr="00287FFE" w:rsidRDefault="00B15802" w:rsidP="00BC18A3">
      <w:pPr>
        <w:keepNext/>
        <w:keepLines/>
      </w:pPr>
    </w:p>
    <w:p w:rsidR="00B15802" w:rsidRPr="00287FFE" w:rsidRDefault="00160B40" w:rsidP="00B15802">
      <w:pPr>
        <w:jc w:val="both"/>
      </w:pPr>
      <w:r>
        <w:t xml:space="preserve">- Uma regra que se limita a proibir a publicidade comercial e não define as características exigidas de um produto não constitui uma especificação técnica na aceção da Diretiva 83/189 e, por conseguinte, não pode ser considerada uma regra técnica que se insere no âmbito de aplicação da referida diretiva. </w:t>
      </w:r>
    </w:p>
    <w:p w:rsidR="00B15802" w:rsidRPr="00287FFE" w:rsidRDefault="00B15802" w:rsidP="00CE6151">
      <w:pPr>
        <w:jc w:val="both"/>
        <w:rPr>
          <w:b/>
          <w:i/>
          <w:highlight w:val="green"/>
        </w:rPr>
      </w:pPr>
    </w:p>
    <w:p w:rsidR="00B15802" w:rsidRPr="00287FFE" w:rsidRDefault="00B15802" w:rsidP="00B15802">
      <w:pPr>
        <w:jc w:val="both"/>
        <w:rPr>
          <w:rFonts w:eastAsia="Calibri"/>
          <w:b/>
          <w:i/>
        </w:rPr>
      </w:pPr>
      <w:r>
        <w:rPr>
          <w:b/>
          <w:i/>
        </w:rPr>
        <w:t>Acórdão de 22 de janeiro de 2001, Canal Satélite Digital, Processo C-390/99, EU:C:2002:34, n.</w:t>
      </w:r>
      <w:r>
        <w:rPr>
          <w:b/>
          <w:i/>
          <w:vertAlign w:val="superscript"/>
        </w:rPr>
        <w:t>os</w:t>
      </w:r>
      <w:r>
        <w:rPr>
          <w:b/>
          <w:i/>
        </w:rPr>
        <w:t> 47 e 48</w:t>
      </w:r>
    </w:p>
    <w:p w:rsidR="00B15802" w:rsidRPr="00287FFE" w:rsidRDefault="00B15802" w:rsidP="00B15802">
      <w:pPr>
        <w:jc w:val="both"/>
        <w:rPr>
          <w:rFonts w:ascii="Helvetica" w:hAnsi="Helvetica" w:cs="Helvetica"/>
          <w:sz w:val="21"/>
          <w:szCs w:val="21"/>
        </w:rPr>
      </w:pPr>
    </w:p>
    <w:p w:rsidR="00B15802" w:rsidRPr="00287FFE" w:rsidRDefault="00DB04B3" w:rsidP="00DB04B3">
      <w:pPr>
        <w:ind w:left="142" w:hanging="142"/>
        <w:jc w:val="both"/>
      </w:pPr>
      <w:r>
        <w:t>- Uma regulamentação nacional que impõe aos operadores de serviços de acesso condicional a obrigação de inscreverem os equipamentos, descodificadores ou sistemas de transmissão e de receção digital de sinais de televisão por satélite, que se propõem comercializar, num registo e de obterem a certificação prévia destes produtos antes de poderem comercializá-los constitui uma regra técnica.</w:t>
      </w:r>
    </w:p>
    <w:p w:rsidR="00B15802" w:rsidRDefault="00DB04B3" w:rsidP="00DB04B3">
      <w:pPr>
        <w:ind w:left="142" w:hanging="142"/>
        <w:jc w:val="both"/>
      </w:pPr>
      <w:r>
        <w:t>- As disposições nacionais pelas quais os Estados-Membros se conformam com atos comunitários obrigatórios que têm por efeito a adoção de especificações técnicas não serão abrangidas pela obrigação de notificação nos termos da Diretiva 83/189, mas apenas na medida em que a legislação nacional em causa transponha os atos comunitários obrigatórios.</w:t>
      </w:r>
    </w:p>
    <w:p w:rsidR="00403A6E" w:rsidRDefault="00403A6E" w:rsidP="00DB04B3">
      <w:pPr>
        <w:ind w:left="142" w:hanging="142"/>
        <w:jc w:val="both"/>
      </w:pPr>
    </w:p>
    <w:p w:rsidR="0017652C" w:rsidRPr="0017652C" w:rsidRDefault="0017652C" w:rsidP="0017652C">
      <w:pPr>
        <w:jc w:val="both"/>
        <w:rPr>
          <w:rFonts w:eastAsia="Calibri"/>
          <w:b/>
          <w:i/>
        </w:rPr>
      </w:pPr>
      <w:r>
        <w:rPr>
          <w:b/>
          <w:i/>
        </w:rPr>
        <w:t>Acórdão de 16 de novembro de 2000, Donkersteeg, Processo C-37/99, EU:C:2000:636, n.</w:t>
      </w:r>
      <w:r>
        <w:rPr>
          <w:b/>
          <w:i/>
          <w:vertAlign w:val="superscript"/>
        </w:rPr>
        <w:t>os</w:t>
      </w:r>
      <w:r>
        <w:rPr>
          <w:b/>
          <w:i/>
        </w:rPr>
        <w:t> 21 e 30 a 34</w:t>
      </w:r>
    </w:p>
    <w:p w:rsidR="0017652C" w:rsidRPr="0017652C" w:rsidRDefault="0017652C" w:rsidP="0017652C">
      <w:pPr>
        <w:jc w:val="both"/>
      </w:pPr>
    </w:p>
    <w:p w:rsidR="0017652C" w:rsidRPr="0017652C" w:rsidRDefault="0017652C" w:rsidP="0017652C">
      <w:pPr>
        <w:ind w:left="142" w:hanging="142"/>
        <w:jc w:val="both"/>
      </w:pPr>
      <w:r>
        <w:t>- Uma especificação técnica é, no que respeita aos produtos agrícolas, a especificação que consta de um documento que define as características exigidas de um produto ou os seus métodos ou processos de produção.</w:t>
      </w:r>
    </w:p>
    <w:p w:rsidR="0017652C" w:rsidRPr="0017652C" w:rsidRDefault="0017652C" w:rsidP="0017652C">
      <w:pPr>
        <w:ind w:left="142" w:hanging="142"/>
        <w:jc w:val="both"/>
      </w:pPr>
      <w:r>
        <w:t>- Uma disposição nacional que não prevê uma regra para a definição de uma «característica exigida» dos produtos agrícolas em questão nem de um método ou um processo de produção destes produtos não constitui uma especificação técnica na aceção da Diretiva 83/189 e não pode constituir uma regra técnica para efeitos desta diretiva.</w:t>
      </w:r>
    </w:p>
    <w:p w:rsidR="0017652C" w:rsidRPr="0017652C" w:rsidRDefault="0017652C" w:rsidP="0017652C">
      <w:pPr>
        <w:ind w:left="142" w:hanging="142"/>
        <w:jc w:val="both"/>
      </w:pPr>
      <w:r>
        <w:t>- Uma disposição nacional que se limita a exigir que dispositivos de desinfeção ou equipamentos de limpeza adequados para desinfetar o calçado existam nas explorações de criação de gado suíno não diz respeito à produção propriamente dita do produto agrícola em questão e não constitui uma regra técnica.</w:t>
      </w:r>
    </w:p>
    <w:p w:rsidR="0017652C" w:rsidRDefault="0017652C" w:rsidP="0017652C">
      <w:pPr>
        <w:ind w:left="142" w:hanging="142"/>
        <w:jc w:val="both"/>
      </w:pPr>
      <w:r>
        <w:t>- A disposição que impõe regras precisas e pormenorizadas em matéria de vacinação é uma regra técnica, uma vez que as regras em matéria de vacinação estão ligadas à produção propriamente dita do produto agrícola em causa. Contudo, caso a disposição não imponha uma restrição à comercialização ou à utilização dos produtos não conformes com as regras em matéria de vacinação, esta não constitui uma regra técnica que deve ser notificada antes de ser adotada.</w:t>
      </w:r>
    </w:p>
    <w:p w:rsidR="0017652C" w:rsidRDefault="0017652C" w:rsidP="0017652C">
      <w:pPr>
        <w:ind w:left="142" w:hanging="142"/>
        <w:jc w:val="both"/>
      </w:pPr>
    </w:p>
    <w:p w:rsidR="0017652C" w:rsidRPr="00287FFE" w:rsidRDefault="0017652C" w:rsidP="0017652C">
      <w:pPr>
        <w:rPr>
          <w:rFonts w:eastAsia="Calibri"/>
          <w:b/>
          <w:i/>
        </w:rPr>
      </w:pPr>
      <w:r>
        <w:rPr>
          <w:b/>
          <w:i/>
        </w:rPr>
        <w:t>Acórdão de 12 de outubro de 2000, Snellers, Processo C-314/98, EU:C:2000:557, n.</w:t>
      </w:r>
      <w:r>
        <w:rPr>
          <w:b/>
          <w:i/>
          <w:vertAlign w:val="superscript"/>
        </w:rPr>
        <w:t>os</w:t>
      </w:r>
      <w:r>
        <w:rPr>
          <w:b/>
          <w:i/>
        </w:rPr>
        <w:t> 37 a 40</w:t>
      </w:r>
    </w:p>
    <w:p w:rsidR="0017652C" w:rsidRPr="00287FFE" w:rsidRDefault="0017652C" w:rsidP="0017652C">
      <w:pPr>
        <w:rPr>
          <w:rFonts w:ascii="Helvetica" w:hAnsi="Helvetica" w:cs="Helvetica"/>
          <w:sz w:val="21"/>
          <w:szCs w:val="21"/>
          <w:highlight w:val="yellow"/>
        </w:rPr>
      </w:pPr>
    </w:p>
    <w:p w:rsidR="0017652C" w:rsidRPr="00287FFE" w:rsidRDefault="0017652C" w:rsidP="0017652C">
      <w:pPr>
        <w:jc w:val="both"/>
      </w:pPr>
      <w:r>
        <w:t>- As especificações técnicas na aceção da Diretiva 83/189 devem referir-se ao produto enquanto tal. Uma regra que prevê critérios para determinar a data em que um veículo se considera ter sido admitido pela primeira vez a circular na via pública, para efeitos de emissão de um certificado de matrícula, não define qualquer característica exigida do produto enquanto tal e, por conseguinte, não pode ser qualificada de regra técnica abrangida pelo âmbito de aplicação da referida diretiva e não requer notificação.</w:t>
      </w:r>
    </w:p>
    <w:p w:rsidR="0017652C" w:rsidRPr="00287FFE" w:rsidRDefault="0017652C" w:rsidP="0017652C">
      <w:pPr>
        <w:jc w:val="both"/>
      </w:pPr>
    </w:p>
    <w:p w:rsidR="0017652C" w:rsidRPr="00287FFE" w:rsidRDefault="0017652C" w:rsidP="00BC18A3">
      <w:pPr>
        <w:keepNext/>
        <w:keepLines/>
        <w:rPr>
          <w:rFonts w:eastAsia="Calibri"/>
          <w:b/>
          <w:i/>
        </w:rPr>
      </w:pPr>
      <w:r>
        <w:rPr>
          <w:b/>
          <w:i/>
        </w:rPr>
        <w:lastRenderedPageBreak/>
        <w:t>Acórdão de 26 de setembro de 2000, Unilever, Processo C-443/98, EU:C:2000:496, n.</w:t>
      </w:r>
      <w:r>
        <w:rPr>
          <w:b/>
          <w:i/>
          <w:vertAlign w:val="superscript"/>
        </w:rPr>
        <w:t>os</w:t>
      </w:r>
      <w:r>
        <w:rPr>
          <w:b/>
          <w:i/>
        </w:rPr>
        <w:t> 26 a 30</w:t>
      </w:r>
    </w:p>
    <w:p w:rsidR="0017652C" w:rsidRPr="00287FFE" w:rsidRDefault="0017652C" w:rsidP="00BC18A3">
      <w:pPr>
        <w:keepNext/>
        <w:keepLines/>
        <w:rPr>
          <w:rFonts w:ascii="Helvetica" w:hAnsi="Helvetica" w:cs="Helvetica"/>
          <w:sz w:val="21"/>
          <w:szCs w:val="21"/>
        </w:rPr>
      </w:pPr>
    </w:p>
    <w:p w:rsidR="0017652C" w:rsidRPr="00287FFE" w:rsidRDefault="0017652C" w:rsidP="0017652C">
      <w:pPr>
        <w:ind w:left="142" w:hanging="142"/>
        <w:jc w:val="both"/>
      </w:pPr>
      <w:r>
        <w:t xml:space="preserve">- A disposição que regulamenta a rotulagem relativa à origem do azeite inclui normas que devem ser qualificadas como «especificações técnicas» na aceção da Diretiva 98/34. </w:t>
      </w:r>
    </w:p>
    <w:p w:rsidR="0017652C" w:rsidRPr="00287FFE" w:rsidRDefault="0017652C" w:rsidP="0017652C">
      <w:pPr>
        <w:ind w:left="142" w:hanging="142"/>
        <w:jc w:val="both"/>
      </w:pPr>
      <w:r>
        <w:t xml:space="preserve">- Quando a diretiva da UE deixa aos Estados-Membros uma margem de manobra suficientemente importante, as normas nacionais adotadas com base na referida diretiva não podem ser qualificadas como disposições nacionais que dão cumprimento a um ato comunitário vinculativo na aceção do artigo 10.º, n.º 1, primeiro travessão, da Diretiva 83/189. </w:t>
      </w:r>
    </w:p>
    <w:p w:rsidR="0017652C" w:rsidRPr="00287FFE" w:rsidRDefault="0017652C" w:rsidP="0017652C">
      <w:pPr>
        <w:jc w:val="both"/>
      </w:pPr>
    </w:p>
    <w:p w:rsidR="0017652C" w:rsidRPr="00287FFE" w:rsidRDefault="0017652C" w:rsidP="0017652C">
      <w:pPr>
        <w:ind w:right="-86"/>
        <w:rPr>
          <w:rFonts w:eastAsia="Calibri"/>
          <w:b/>
          <w:i/>
        </w:rPr>
      </w:pPr>
      <w:r>
        <w:rPr>
          <w:b/>
          <w:i/>
        </w:rPr>
        <w:t>Acórdão de 3 de junho de 1999, Colim, Processo C-33/97, EU:C:1999:274, n.</w:t>
      </w:r>
      <w:r>
        <w:rPr>
          <w:b/>
          <w:i/>
          <w:vertAlign w:val="superscript"/>
        </w:rPr>
        <w:t>os</w:t>
      </w:r>
      <w:r>
        <w:rPr>
          <w:b/>
          <w:i/>
        </w:rPr>
        <w:t> 22, 27 a 30 e 36</w:t>
      </w:r>
    </w:p>
    <w:p w:rsidR="0017652C" w:rsidRPr="00287FFE" w:rsidRDefault="0017652C" w:rsidP="0017652C">
      <w:pPr>
        <w:jc w:val="both"/>
        <w:rPr>
          <w:highlight w:val="yellow"/>
        </w:rPr>
      </w:pPr>
    </w:p>
    <w:p w:rsidR="0017652C" w:rsidRPr="00287FFE" w:rsidRDefault="0017652C" w:rsidP="0017652C">
      <w:pPr>
        <w:ind w:left="142" w:hanging="142"/>
        <w:jc w:val="both"/>
      </w:pPr>
      <w:r>
        <w:t>- Uma medida nacional que reproduz ou substitui, sem aditar especificações novas ou complementares, regras técnicas existentes que, se adotadas após a entrada em vigor da Diretiva 83/189, tenham sido devidamente notificadas à Comissão não pode ser considerada um «projeto» de regra técnica nem, por conseguinte, estar sujeita à obrigação de notificação.</w:t>
      </w:r>
    </w:p>
    <w:p w:rsidR="0017652C" w:rsidRPr="00287FFE" w:rsidRDefault="0017652C" w:rsidP="0017652C">
      <w:pPr>
        <w:ind w:left="142" w:hanging="142"/>
        <w:jc w:val="both"/>
      </w:pPr>
      <w:r>
        <w:t xml:space="preserve">- Uma regulamentação de um Estado-Membro que subordina a comercialização de produtos, nesse Estado, à utilização de uma ou diversas línguas determinadas nas menções que obrigatoriamente devem figurar no rótulo, nas instruções de utilização ou no certificado de garantia pode ser considerada parte das «prescrições aplicáveis ao produto no que respeita à terminologia, aos símbolos [...], à embalagem, à marcação e à rotulagem» na aceção do artigo 1.º, ponto 1, da Diretiva 83/189, sendo, por conseguinte, uma regra técnica na aceção dessa diretiva. Todavia, há que distinguir a obrigação de transmitir determinadas informações sobre um produto ao consumidor, executada através da aposição das menções no referido produto ou fazendo-o acompanhar dos documentos como as instruções de utilização e o certificado de garantia, da obrigação de redigir essas informações numa determinada língua. Diferentemente da primeira obrigação que diz diretamente respeito ao produto, a segunda apenas visa determinar a língua em que a primeira deve ser executada. A obrigação de redigir as informações que os operadores económicos são obrigados a dar ao adquirente ou ao consumidor final numa determinada língua não constitui em si uma «regra técnica» na aceção da Diretiva 83/189, mas uma regra acessória necessária à realização da transmissão efetiva das informações. </w:t>
      </w:r>
    </w:p>
    <w:p w:rsidR="0017652C" w:rsidRPr="00287FFE" w:rsidRDefault="0017652C" w:rsidP="0017652C">
      <w:pPr>
        <w:ind w:left="142" w:hanging="142"/>
        <w:jc w:val="both"/>
      </w:pPr>
      <w:r>
        <w:t>- Embora não sejam regras técnicas na aceção da diretiva, as exigências linguísticas impostas a rótulos, instruções de utilização ou certificados de garantia constituem um entrave ao comércio intracomunitário, na medida em que os produtos provenientes de outros Estados-Membros devem ostentar rótulos diferentes que implicam despesas suplementares de embalagem.</w:t>
      </w:r>
    </w:p>
    <w:p w:rsidR="0017652C" w:rsidRPr="00287FFE" w:rsidRDefault="0017652C" w:rsidP="0017652C">
      <w:pPr>
        <w:jc w:val="both"/>
      </w:pPr>
    </w:p>
    <w:p w:rsidR="0017652C" w:rsidRPr="00287FFE" w:rsidRDefault="0017652C" w:rsidP="0017652C">
      <w:pPr>
        <w:jc w:val="both"/>
        <w:rPr>
          <w:rFonts w:eastAsia="Calibri"/>
          <w:b/>
          <w:i/>
        </w:rPr>
      </w:pPr>
      <w:r>
        <w:rPr>
          <w:b/>
          <w:i/>
        </w:rPr>
        <w:t>Acórdão de 11 de maio de 1999, Albers, Processos apensos C-425/97 a C-427/97, EU:C:1999:243, n.</w:t>
      </w:r>
      <w:r>
        <w:rPr>
          <w:b/>
          <w:i/>
          <w:vertAlign w:val="superscript"/>
        </w:rPr>
        <w:t>os</w:t>
      </w:r>
      <w:r>
        <w:rPr>
          <w:b/>
          <w:i/>
        </w:rPr>
        <w:t> 16 a 24</w:t>
      </w:r>
    </w:p>
    <w:p w:rsidR="0017652C" w:rsidRPr="00287FFE" w:rsidRDefault="0017652C" w:rsidP="0017652C">
      <w:pPr>
        <w:jc w:val="both"/>
      </w:pPr>
    </w:p>
    <w:p w:rsidR="0017652C" w:rsidRPr="00287FFE" w:rsidRDefault="0017652C" w:rsidP="0017652C">
      <w:pPr>
        <w:jc w:val="both"/>
      </w:pPr>
      <w:r>
        <w:t>- As regras que têm como finalidade evitar a administração de substâncias específicas a bovinos de engorda constituem especificações técnicas na aceção da Diretiva 83/189. Por serem emitidas pelas autoridades administrativas nacionais, aplicáveis ao conjunto do território nacional e obrigatórias para os seus destinatários, estas regras constituem regras técnicas na aceção da Diretiva 83/189.</w:t>
      </w:r>
    </w:p>
    <w:p w:rsidR="0017652C" w:rsidRPr="00287FFE" w:rsidRDefault="0017652C" w:rsidP="0017652C"/>
    <w:p w:rsidR="0017652C" w:rsidRPr="00287FFE" w:rsidRDefault="0017652C" w:rsidP="0017652C">
      <w:r>
        <w:rPr>
          <w:b/>
          <w:i/>
        </w:rPr>
        <w:t>Acórdão de 16 de junho de 1998, Lemmens, Processo C-226/97, EU:C:1998:296, n.</w:t>
      </w:r>
      <w:r>
        <w:rPr>
          <w:b/>
          <w:i/>
          <w:vertAlign w:val="superscript"/>
        </w:rPr>
        <w:t>os</w:t>
      </w:r>
      <w:r>
        <w:rPr>
          <w:b/>
          <w:i/>
        </w:rPr>
        <w:t> 19 a 21 e 24 a 26</w:t>
      </w:r>
    </w:p>
    <w:p w:rsidR="0017652C" w:rsidRPr="00287FFE" w:rsidRDefault="0017652C" w:rsidP="0017652C"/>
    <w:p w:rsidR="0017652C" w:rsidRPr="00287FFE" w:rsidRDefault="0017652C" w:rsidP="0017652C">
      <w:pPr>
        <w:ind w:left="142" w:hanging="142"/>
        <w:jc w:val="both"/>
      </w:pPr>
      <w:r>
        <w:t xml:space="preserve">- A Diretiva 83/189 é aplicável às regras técnicas independentemente das razões que justificaram a sua adoção. Embora, em princípio, a legislação penal e as normas do processo penal relevem da competência dos Estados-Membros, tal não significa que as regras técnicas na aceção do </w:t>
      </w:r>
      <w:r>
        <w:lastRenderedPageBreak/>
        <w:t xml:space="preserve">artigo 1.º da diretiva, pelo facto de pertencerem ao domínio do direito penal, estão excluídas da obrigação de notificação ou que o âmbito de aplicação da diretiva se limita aos produtos destinados a usos que não relevam das prerrogativas de autoridade pública. </w:t>
      </w:r>
    </w:p>
    <w:p w:rsidR="0017652C" w:rsidRPr="00287FFE" w:rsidRDefault="0017652C" w:rsidP="0017652C">
      <w:pPr>
        <w:ind w:left="142" w:hanging="142"/>
        <w:jc w:val="both"/>
      </w:pPr>
      <w:r>
        <w:t xml:space="preserve">- As disposições nacionais relativas aos etilómetros a ser utilizados pela polícia judiciária nos exames de alcoolemia constituem regras técnicas que deveriam, antes de ser adotadas, ter sido notificadas à Comissão em conformidade com o artigo 8.º da diretiva. </w:t>
      </w:r>
    </w:p>
    <w:p w:rsidR="0017652C" w:rsidRPr="00287FFE" w:rsidRDefault="0017652C" w:rsidP="0017652C">
      <w:pPr>
        <w:rPr>
          <w:highlight w:val="yellow"/>
        </w:rPr>
      </w:pPr>
    </w:p>
    <w:p w:rsidR="0017652C" w:rsidRPr="00287FFE" w:rsidRDefault="0017652C" w:rsidP="0017652C">
      <w:pPr>
        <w:ind w:right="56"/>
        <w:jc w:val="both"/>
      </w:pPr>
      <w:r>
        <w:rPr>
          <w:b/>
          <w:i/>
        </w:rPr>
        <w:t>Acórdão de 7 de maio de 1998, Comissão contra Bélgica, Processo C-145/97, EU:C:1998:212, n.º 12</w:t>
      </w:r>
    </w:p>
    <w:p w:rsidR="0017652C" w:rsidRPr="00287FFE" w:rsidRDefault="0017652C" w:rsidP="0017652C">
      <w:pPr>
        <w:jc w:val="both"/>
      </w:pPr>
    </w:p>
    <w:p w:rsidR="0017652C" w:rsidRDefault="0017652C" w:rsidP="0017652C">
      <w:pPr>
        <w:jc w:val="both"/>
      </w:pPr>
      <w:r>
        <w:t>- Nos termos do artigo 8.º da diretiva, os Estados-Membros devem comunicar tanto o texto do projeto que contém as regras técnicas como o texto das disposições legislativas e regulamentares de base principal e diretamente relacionadas. Esta disposição visa permitir que a Comissão disponha da informação mais completa possível, a fim de poder exercer com a máxima eficácia os poderes que lhe são conferidos pela diretiva.</w:t>
      </w:r>
    </w:p>
    <w:p w:rsidR="00CE6151" w:rsidRPr="00287FFE" w:rsidRDefault="00CE6151" w:rsidP="008F01F8">
      <w:pPr>
        <w:pStyle w:val="NormalWeb"/>
        <w:jc w:val="both"/>
      </w:pPr>
      <w:r>
        <w:rPr>
          <w:b/>
          <w:i/>
        </w:rPr>
        <w:t>Acórdão de 20 de março de 1997, Bic Benelux, Processo C-13/96, EU:C:1997:173, n.</w:t>
      </w:r>
      <w:r>
        <w:rPr>
          <w:b/>
          <w:i/>
          <w:vertAlign w:val="superscript"/>
        </w:rPr>
        <w:t>os</w:t>
      </w:r>
      <w:r>
        <w:rPr>
          <w:b/>
          <w:i/>
        </w:rPr>
        <w:t> 20 a 26</w:t>
      </w:r>
    </w:p>
    <w:p w:rsidR="00CE6151" w:rsidRPr="00287FFE" w:rsidRDefault="00DB04B3" w:rsidP="00DB04B3">
      <w:pPr>
        <w:autoSpaceDE w:val="0"/>
        <w:autoSpaceDN w:val="0"/>
        <w:adjustRightInd w:val="0"/>
        <w:ind w:left="142" w:hanging="142"/>
        <w:jc w:val="both"/>
      </w:pPr>
      <w:r>
        <w:t xml:space="preserve">- Uma obrigação de apor determinados sinais distintivos em produtos sujeitos a um imposto que os onera em razão das perturbações ecológicas que se considera que provocam constitui uma especificação técnica na aceção da Diretiva 83/189, sendo que a norma nacional que a institui é uma regra técnica na aceção da mesma diretiva. </w:t>
      </w:r>
    </w:p>
    <w:p w:rsidR="00CE6151" w:rsidRPr="00287FFE" w:rsidRDefault="00DB04B3" w:rsidP="00DB04B3">
      <w:pPr>
        <w:autoSpaceDE w:val="0"/>
        <w:autoSpaceDN w:val="0"/>
        <w:adjustRightInd w:val="0"/>
        <w:ind w:left="142" w:hanging="142"/>
        <w:jc w:val="both"/>
      </w:pPr>
      <w:r>
        <w:t>- O facto de uma medida nacional ter sido adotada com vista a proteger o ambiente ou o facto de tal medida não dar execução a uma norma técnica suscetível de constituir um entrave à livre circulação não excluem que a medida em causa possa constituir uma regra técnica na aceção da Diretiva 83/189.</w:t>
      </w:r>
    </w:p>
    <w:p w:rsidR="00CE6151" w:rsidRPr="00287FFE" w:rsidRDefault="00DB04B3" w:rsidP="00DB04B3">
      <w:pPr>
        <w:autoSpaceDE w:val="0"/>
        <w:autoSpaceDN w:val="0"/>
        <w:adjustRightInd w:val="0"/>
        <w:ind w:left="142" w:hanging="142"/>
        <w:jc w:val="both"/>
      </w:pPr>
      <w:r>
        <w:t>- Uma vez que a obrigação de marcação não pode de nenhum modo ser considerada exclusivamente uma medida de acompanhamento fiscal, não constitui uma exigência relacionada com uma medida fiscal para efeitos do artigo 1.º, n.º 9, segundo parágrafo, terceiro travessão, da Diretiva 83/189, conforme alterada pela Diretiva 94/10.</w:t>
      </w:r>
    </w:p>
    <w:p w:rsidR="00295CA4" w:rsidRPr="00287FFE" w:rsidRDefault="00295CA4" w:rsidP="00295CA4">
      <w:pPr>
        <w:jc w:val="both"/>
        <w:rPr>
          <w:rFonts w:eastAsia="Calibri"/>
          <w:b/>
          <w:i/>
        </w:rPr>
      </w:pPr>
    </w:p>
    <w:p w:rsidR="00295CA4" w:rsidRPr="00287FFE" w:rsidRDefault="00295CA4" w:rsidP="00295CA4">
      <w:pPr>
        <w:jc w:val="both"/>
        <w:rPr>
          <w:rFonts w:eastAsia="Calibri"/>
          <w:b/>
          <w:i/>
        </w:rPr>
      </w:pPr>
      <w:r>
        <w:rPr>
          <w:b/>
          <w:i/>
        </w:rPr>
        <w:t>Acórdão de 17 de setembro de 1996, Comissão contra Itália, Processo C-289/94, EU:C:1996:330, n.</w:t>
      </w:r>
      <w:r>
        <w:rPr>
          <w:b/>
          <w:i/>
          <w:vertAlign w:val="superscript"/>
        </w:rPr>
        <w:t>os</w:t>
      </w:r>
      <w:r>
        <w:rPr>
          <w:b/>
          <w:i/>
        </w:rPr>
        <w:t> 32, 36, 43 a 44 e 51</w:t>
      </w:r>
    </w:p>
    <w:p w:rsidR="00295CA4" w:rsidRPr="00287FFE" w:rsidRDefault="00295CA4" w:rsidP="00295CA4">
      <w:pPr>
        <w:jc w:val="both"/>
      </w:pPr>
    </w:p>
    <w:p w:rsidR="00295CA4" w:rsidRPr="00287FFE" w:rsidRDefault="00356040" w:rsidP="00356040">
      <w:pPr>
        <w:ind w:left="142" w:hanging="142"/>
        <w:jc w:val="both"/>
      </w:pPr>
      <w:r>
        <w:t>- O conceito de especificação técnica inclui os métodos e processos de produção relativos aos medicamentos tais como definidos no artigo 1.º da Diretiva 65/65, desde o alargamento do âmbito de aplicação da Diretiva 83/189 por meio da Diretiva 88/182.</w:t>
      </w:r>
    </w:p>
    <w:p w:rsidR="00295CA4" w:rsidRPr="00287FFE" w:rsidRDefault="00356040" w:rsidP="00356040">
      <w:pPr>
        <w:ind w:left="142" w:hanging="142"/>
        <w:jc w:val="both"/>
      </w:pPr>
      <w:r>
        <w:t>- O decreto referente à qualidade das águas destinadas à cultura de moluscos lamelibrânquios comestíveis deve ser considerado como uma regra técnica sujeita à obrigação de notificação, atendendo à correlação muito estreita entre a qualidade das águas de cultura e a comercialização dos produtos em causa e dado que a sua observância tem uma incidência direta sobre a comercialização das mercadorias, no sentido de que apenas as mercadorias produzidas de acordo com estas regras técnicas podem ser comercializadas.</w:t>
      </w:r>
    </w:p>
    <w:p w:rsidR="00295CA4" w:rsidRPr="00287FFE" w:rsidRDefault="00356040" w:rsidP="00356040">
      <w:pPr>
        <w:ind w:left="142" w:hanging="142"/>
        <w:jc w:val="both"/>
      </w:pPr>
      <w:r>
        <w:t xml:space="preserve">- Para uma medida de execução estar isenta de notificação nos termos do artigo 10.º, n.º 1, primeiro travessão, da diretiva, é necessário que haja um nexo direto entre um ato comunitário vinculativo e uma medida nacional. </w:t>
      </w:r>
    </w:p>
    <w:p w:rsidR="00295CA4" w:rsidRPr="00287FFE" w:rsidRDefault="00295CA4" w:rsidP="00295CA4">
      <w:pPr>
        <w:rPr>
          <w:rFonts w:eastAsia="Calibri"/>
          <w:b/>
          <w:i/>
          <w:highlight w:val="green"/>
        </w:rPr>
      </w:pPr>
    </w:p>
    <w:p w:rsidR="00295CA4" w:rsidRPr="00287FFE" w:rsidRDefault="00295CA4" w:rsidP="00BC18A3">
      <w:pPr>
        <w:keepNext/>
        <w:keepLines/>
        <w:jc w:val="both"/>
        <w:rPr>
          <w:rFonts w:eastAsia="Calibri"/>
          <w:b/>
          <w:i/>
        </w:rPr>
      </w:pPr>
      <w:r>
        <w:rPr>
          <w:b/>
          <w:i/>
        </w:rPr>
        <w:lastRenderedPageBreak/>
        <w:t>Acórdão de 16 de setembro de 1997, Comissão contra Itália, Processo C-279/94, EU:C:1997:396, n.</w:t>
      </w:r>
      <w:r>
        <w:rPr>
          <w:b/>
          <w:i/>
          <w:vertAlign w:val="superscript"/>
        </w:rPr>
        <w:t>os</w:t>
      </w:r>
      <w:r>
        <w:rPr>
          <w:b/>
          <w:i/>
        </w:rPr>
        <w:t> 30, 34 e 38 a 42</w:t>
      </w:r>
    </w:p>
    <w:p w:rsidR="00295CA4" w:rsidRPr="00287FFE" w:rsidRDefault="00295CA4" w:rsidP="00BC18A3">
      <w:pPr>
        <w:keepNext/>
        <w:keepLines/>
        <w:jc w:val="both"/>
      </w:pPr>
    </w:p>
    <w:p w:rsidR="00295CA4" w:rsidRPr="00287FFE" w:rsidRDefault="00356040" w:rsidP="00B010E1">
      <w:pPr>
        <w:ind w:left="142" w:hanging="142"/>
        <w:jc w:val="both"/>
      </w:pPr>
      <w:r>
        <w:t>- Uma nova regra técnica deve produzir efeitos jurídicos distintos em comparação com as regras existentes.</w:t>
      </w:r>
    </w:p>
    <w:p w:rsidR="00295CA4" w:rsidRPr="00287FFE" w:rsidRDefault="00356040" w:rsidP="00356040">
      <w:pPr>
        <w:ind w:left="142" w:hanging="142"/>
        <w:jc w:val="both"/>
      </w:pPr>
      <w:r>
        <w:t xml:space="preserve">- Tendo em conta o objetivo do artigo 8.º da diretiva, que visa permitir que a Comissão obtenha o máximo de informação possível sobre o conteúdo, o âmbito e o contexto geral de qualquer projeto de regra técnica, é obrigação dos Estados-Membros apresentar o texto integral que contém as regras técnicas; por conseguinte, embora todo o texto deva ser notificado, apenas as regras técnicas dele constantes estão sujeitas à obrigação de </w:t>
      </w:r>
      <w:r>
        <w:rPr>
          <w:i/>
        </w:rPr>
        <w:t>statu quo</w:t>
      </w:r>
      <w:r>
        <w:t>.</w:t>
      </w:r>
    </w:p>
    <w:p w:rsidR="00295CA4" w:rsidRPr="00287FFE" w:rsidRDefault="00356040" w:rsidP="00356040">
      <w:pPr>
        <w:ind w:left="142" w:hanging="142"/>
        <w:jc w:val="both"/>
      </w:pPr>
      <w:r>
        <w:t>- A disposição que proíbe a comercialização e a utilização de amianto constitui uma regra técnica que deve ser notificada na fase de projeto.</w:t>
      </w:r>
    </w:p>
    <w:p w:rsidR="00295CA4" w:rsidRPr="00287FFE" w:rsidRDefault="00356040" w:rsidP="00356040">
      <w:pPr>
        <w:ind w:left="142" w:hanging="142"/>
        <w:jc w:val="both"/>
      </w:pPr>
      <w:r>
        <w:t xml:space="preserve">- A disposição que estabelece valores-limite de concentração em fibras de amianto respiráveis nos locais de trabalho, dado que não define uma característica exigida de um produto, não está, </w:t>
      </w:r>
      <w:r>
        <w:rPr>
          <w:i/>
        </w:rPr>
        <w:t>a priori</w:t>
      </w:r>
      <w:r>
        <w:t>, abrangida pela definição de especificação técnica e não pode, por conseguinte, ser considerada uma regra técnica que deve ser notificada à Comissão, exceto nos casos em que os valores-limite possam ter consequências sobre as características do produto em causa.</w:t>
      </w:r>
    </w:p>
    <w:p w:rsidR="00295CA4" w:rsidRPr="00287FFE" w:rsidRDefault="00356040" w:rsidP="00356040">
      <w:pPr>
        <w:ind w:left="142" w:hanging="142"/>
        <w:jc w:val="both"/>
      </w:pPr>
      <w:r>
        <w:t>- Os Estados-Membros têm a obrigação de notificar o texto completo do projeto de lei, incluindo as disposições que não constituem regras técnicas, a fim de permitir à Comissão dispor da informação mais completa possível sobre qualquer projeto de regra técnica no que toca ao seu conteúdo, ao seu alcance e ao seu contexto geral.</w:t>
      </w:r>
    </w:p>
    <w:p w:rsidR="00B15802" w:rsidRPr="00287FFE" w:rsidRDefault="00B15802" w:rsidP="00B15802">
      <w:pPr>
        <w:autoSpaceDE w:val="0"/>
        <w:autoSpaceDN w:val="0"/>
        <w:adjustRightInd w:val="0"/>
        <w:jc w:val="both"/>
      </w:pPr>
    </w:p>
    <w:p w:rsidR="00B15802" w:rsidRPr="00287FFE" w:rsidRDefault="00B15802" w:rsidP="00B15802">
      <w:pPr>
        <w:pStyle w:val="NormalWeb"/>
        <w:spacing w:before="0" w:beforeAutospacing="0" w:after="0" w:afterAutospacing="0"/>
        <w:jc w:val="both"/>
        <w:rPr>
          <w:rFonts w:eastAsia="Calibri"/>
          <w:b/>
          <w:i/>
        </w:rPr>
      </w:pPr>
      <w:r>
        <w:rPr>
          <w:b/>
          <w:i/>
        </w:rPr>
        <w:t>Acórdão de 30 de abril de 1996, CIA Security International SA, Processo C-194/94, EU:C:1996:172, n.</w:t>
      </w:r>
      <w:r>
        <w:rPr>
          <w:b/>
          <w:i/>
          <w:vertAlign w:val="superscript"/>
        </w:rPr>
        <w:t>os</w:t>
      </w:r>
      <w:r>
        <w:rPr>
          <w:b/>
          <w:i/>
        </w:rPr>
        <w:t> 30, 54 e 55</w:t>
      </w:r>
    </w:p>
    <w:p w:rsidR="00B15802" w:rsidRPr="00287FFE" w:rsidRDefault="00B15802" w:rsidP="00B15802">
      <w:pPr>
        <w:autoSpaceDE w:val="0"/>
        <w:autoSpaceDN w:val="0"/>
        <w:adjustRightInd w:val="0"/>
        <w:jc w:val="both"/>
      </w:pPr>
    </w:p>
    <w:p w:rsidR="00B15802" w:rsidRPr="00287FFE" w:rsidRDefault="00160B40" w:rsidP="00B15802">
      <w:pPr>
        <w:autoSpaceDE w:val="0"/>
        <w:autoSpaceDN w:val="0"/>
        <w:adjustRightInd w:val="0"/>
        <w:jc w:val="both"/>
      </w:pPr>
      <w:r>
        <w:t>- Uma regra deve ser qualificada de regra técnica na aceção da Diretiva 83/189 quando</w:t>
      </w:r>
      <w:r w:rsidR="00501CCC">
        <w:t xml:space="preserve"> </w:t>
      </w:r>
      <w:r w:rsidR="00B15802">
        <w:t>obriga as empresas interessadas a solicitar uma homologação prévia do seu material, mesmo se as regras administrativas previstas não foram adotadas.</w:t>
      </w:r>
    </w:p>
    <w:p w:rsidR="00B15802" w:rsidRPr="00287FFE" w:rsidRDefault="00B15802" w:rsidP="00B15802">
      <w:pPr>
        <w:autoSpaceDE w:val="0"/>
        <w:autoSpaceDN w:val="0"/>
        <w:adjustRightInd w:val="0"/>
        <w:jc w:val="both"/>
      </w:pPr>
    </w:p>
    <w:p w:rsidR="00E91B63" w:rsidRPr="00287FFE" w:rsidRDefault="00E91B63" w:rsidP="00E91B63">
      <w:pPr>
        <w:jc w:val="both"/>
        <w:rPr>
          <w:rFonts w:eastAsia="Calibri"/>
          <w:b/>
          <w:i/>
        </w:rPr>
      </w:pPr>
      <w:r>
        <w:rPr>
          <w:b/>
          <w:i/>
        </w:rPr>
        <w:t>Acórdão de 11 de janeiro de 1996, Comissão contra Países Baixos, Processo C-273/94, EU:C:1996:4, n.</w:t>
      </w:r>
      <w:r>
        <w:rPr>
          <w:b/>
          <w:i/>
          <w:vertAlign w:val="superscript"/>
        </w:rPr>
        <w:t>os</w:t>
      </w:r>
      <w:r>
        <w:rPr>
          <w:b/>
          <w:i/>
        </w:rPr>
        <w:t> 13 a 15</w:t>
      </w:r>
    </w:p>
    <w:p w:rsidR="00E91B63" w:rsidRPr="00287FFE" w:rsidRDefault="00E91B63" w:rsidP="00E91B63">
      <w:pPr>
        <w:autoSpaceDE w:val="0"/>
        <w:autoSpaceDN w:val="0"/>
        <w:adjustRightInd w:val="0"/>
        <w:jc w:val="both"/>
        <w:rPr>
          <w:rFonts w:eastAsia="Calibri"/>
        </w:rPr>
      </w:pPr>
    </w:p>
    <w:p w:rsidR="00E91B63" w:rsidRPr="00287FFE" w:rsidRDefault="00356040" w:rsidP="00356040">
      <w:pPr>
        <w:autoSpaceDE w:val="0"/>
        <w:autoSpaceDN w:val="0"/>
        <w:adjustRightInd w:val="0"/>
        <w:ind w:left="142" w:hanging="142"/>
        <w:jc w:val="both"/>
        <w:rPr>
          <w:rFonts w:eastAsia="Calibri"/>
        </w:rPr>
      </w:pPr>
      <w:r>
        <w:t xml:space="preserve">- O diploma nacional que aplica a um determinado produto uma derrogação de outra regra técnica existente relativa ao mesmo produto constitui uma regra técnica, na aceção da Diretiva 83/189, quando fixa especificações técnicas alternativas cujo respeito é obrigatório, </w:t>
      </w:r>
      <w:r>
        <w:rPr>
          <w:i/>
        </w:rPr>
        <w:t>de jure</w:t>
      </w:r>
      <w:r>
        <w:t xml:space="preserve"> ou </w:t>
      </w:r>
      <w:r>
        <w:rPr>
          <w:i/>
        </w:rPr>
        <w:t>de facto</w:t>
      </w:r>
      <w:r>
        <w:t>, para a comercialização ou utilização desse produto. Quem pretenda derrogar as regras existentes fica obrigado a respeitar as especificações alternativas para o fabrico e a colocação no mercado do produto em causa.</w:t>
      </w:r>
    </w:p>
    <w:p w:rsidR="00E91B63" w:rsidRPr="00287FFE" w:rsidRDefault="00356040" w:rsidP="00356040">
      <w:pPr>
        <w:ind w:left="142" w:hanging="142"/>
        <w:jc w:val="both"/>
      </w:pPr>
      <w:r>
        <w:t>- A obrigação de notificação não depende dos efeitos presumidos da regra técnica em causa sobre o comércio entre Estados-Membros. Pelo contrário, o objetivo do procedimento é justamente o de se apurar se existe ou não o risco de criar obstáculos e se tal é ou não justificável à luz da legislação da UE. Consequentemente, mesmo as regras que liberalizem o regime regulamentar dos produtos em causa devem ser notificadas.</w:t>
      </w:r>
    </w:p>
    <w:p w:rsidR="00E91B63" w:rsidRDefault="00E91B63" w:rsidP="00E91B63">
      <w:pPr>
        <w:jc w:val="both"/>
        <w:rPr>
          <w:rFonts w:eastAsia="Calibri"/>
          <w:b/>
          <w:i/>
        </w:rPr>
      </w:pPr>
    </w:p>
    <w:p w:rsidR="00295CA4" w:rsidRPr="00287FFE" w:rsidRDefault="00295CA4" w:rsidP="00295CA4">
      <w:pPr>
        <w:jc w:val="both"/>
        <w:rPr>
          <w:rFonts w:eastAsia="Calibri"/>
          <w:b/>
          <w:i/>
        </w:rPr>
      </w:pPr>
      <w:r>
        <w:rPr>
          <w:b/>
          <w:i/>
        </w:rPr>
        <w:t>Acórdão de 1 de junho de 1994, Comissão contra Alemanha, Processo C-317/92, EU:C:1994:212, n.</w:t>
      </w:r>
      <w:r>
        <w:rPr>
          <w:b/>
          <w:i/>
          <w:vertAlign w:val="superscript"/>
        </w:rPr>
        <w:t>os</w:t>
      </w:r>
      <w:r>
        <w:rPr>
          <w:b/>
          <w:i/>
        </w:rPr>
        <w:t> 25 e 26</w:t>
      </w:r>
    </w:p>
    <w:p w:rsidR="00295CA4" w:rsidRPr="00287FFE" w:rsidRDefault="00295CA4" w:rsidP="00295CA4">
      <w:pPr>
        <w:autoSpaceDE w:val="0"/>
        <w:autoSpaceDN w:val="0"/>
        <w:adjustRightInd w:val="0"/>
        <w:jc w:val="both"/>
      </w:pPr>
    </w:p>
    <w:p w:rsidR="00295CA4" w:rsidRPr="00287FFE" w:rsidRDefault="00356040" w:rsidP="00356040">
      <w:pPr>
        <w:autoSpaceDE w:val="0"/>
        <w:autoSpaceDN w:val="0"/>
        <w:adjustRightInd w:val="0"/>
        <w:ind w:left="142" w:hanging="142"/>
        <w:jc w:val="both"/>
        <w:rPr>
          <w:rFonts w:ascii="Helvetica" w:hAnsi="Helvetica" w:cs="Helvetica"/>
          <w:sz w:val="21"/>
          <w:szCs w:val="21"/>
        </w:rPr>
      </w:pPr>
      <w:r>
        <w:t xml:space="preserve">- Uma regra é qualificada de regra técnica para efeitos da Diretiva 83/189 se tiver os seus próprios efeitos jurídicos. Caso, nos termos do direito nacional, a regra se limite a servir de base para habilitar a adoção de regulamentações administrativas que contêm regras obrigatórias para </w:t>
      </w:r>
      <w:r>
        <w:lastRenderedPageBreak/>
        <w:t>as partes interessadas, de modo que, por si só, não produza efeitos jurídicos para os particulares, a regra não constitui uma regra técnica na aceção da diretiva. O facto de a disposição de habilitação já ter sido comunicada à Comissão não dispensa a obrigação de notificar as disposições que lhe dão execução. Não é na disposição de habilitação que se encontram as especificações técnicas, mas sim, muito provavelmente, nas medidas de execução.</w:t>
      </w:r>
    </w:p>
    <w:p w:rsidR="00295CA4" w:rsidRPr="00287FFE" w:rsidRDefault="00356040" w:rsidP="00356040">
      <w:pPr>
        <w:autoSpaceDE w:val="0"/>
        <w:autoSpaceDN w:val="0"/>
        <w:adjustRightInd w:val="0"/>
        <w:ind w:left="142" w:hanging="142"/>
        <w:jc w:val="both"/>
      </w:pPr>
      <w:r>
        <w:t>- A aplicação a determinados produtos de uma regra técnica antes exclusiva a outros produtos constitui uma regra técnica e deve ser objeto de notificação.</w:t>
      </w:r>
    </w:p>
    <w:p w:rsidR="00295CA4" w:rsidRPr="00287FFE" w:rsidRDefault="00356040" w:rsidP="00356040">
      <w:pPr>
        <w:ind w:left="142" w:hanging="142"/>
        <w:jc w:val="both"/>
      </w:pPr>
      <w:r>
        <w:t xml:space="preserve">- Uma medida que limite as datas em que terminam os prazos de validade que podem ser indicadas na embalagem dos produtos constitui uma regra técnica na aceção da Diretiva 83/189. </w:t>
      </w:r>
    </w:p>
    <w:p w:rsidR="00B010E1" w:rsidRDefault="00B010E1" w:rsidP="00B010E1">
      <w:pPr>
        <w:jc w:val="both"/>
        <w:rPr>
          <w:rFonts w:eastAsia="Calibri"/>
          <w:b/>
        </w:rPr>
      </w:pPr>
    </w:p>
    <w:p w:rsidR="00160B40" w:rsidRDefault="00160B40" w:rsidP="00B010E1">
      <w:pPr>
        <w:jc w:val="both"/>
        <w:rPr>
          <w:rFonts w:eastAsia="Calibri"/>
          <w:b/>
        </w:rPr>
      </w:pPr>
    </w:p>
    <w:p w:rsidR="00B010E1" w:rsidRPr="00160B40" w:rsidRDefault="00160B40" w:rsidP="00B010E1">
      <w:pPr>
        <w:jc w:val="both"/>
        <w:rPr>
          <w:rFonts w:eastAsia="Calibri"/>
          <w:b/>
          <w:u w:val="single"/>
        </w:rPr>
      </w:pPr>
      <w:bookmarkStart w:id="2" w:name="b_heading"/>
      <w:r>
        <w:rPr>
          <w:b/>
          <w:u w:val="single"/>
        </w:rPr>
        <w:t>b. Serviços da sociedade da informação</w:t>
      </w:r>
    </w:p>
    <w:bookmarkEnd w:id="2"/>
    <w:p w:rsidR="00B010E1" w:rsidRPr="00287FFE" w:rsidRDefault="00B010E1" w:rsidP="00B010E1">
      <w:pPr>
        <w:jc w:val="both"/>
        <w:rPr>
          <w:rFonts w:eastAsia="Calibri"/>
          <w:b/>
          <w:i/>
        </w:rPr>
      </w:pPr>
    </w:p>
    <w:p w:rsidR="00B010E1" w:rsidRPr="00287FFE" w:rsidRDefault="00B010E1" w:rsidP="00B010E1">
      <w:pPr>
        <w:jc w:val="both"/>
        <w:rPr>
          <w:rFonts w:eastAsia="Calibri"/>
          <w:b/>
          <w:i/>
        </w:rPr>
      </w:pPr>
      <w:r>
        <w:rPr>
          <w:b/>
          <w:i/>
        </w:rPr>
        <w:t>Acórdão de 10 de abril de 2018, Uber France, Processo C</w:t>
      </w:r>
      <w:r>
        <w:noBreakHyphen/>
      </w:r>
      <w:r>
        <w:rPr>
          <w:b/>
          <w:i/>
        </w:rPr>
        <w:t>320/16, EU:C:2018:221, n.</w:t>
      </w:r>
      <w:r>
        <w:rPr>
          <w:b/>
          <w:i/>
          <w:vertAlign w:val="superscript"/>
        </w:rPr>
        <w:t>os</w:t>
      </w:r>
      <w:r>
        <w:rPr>
          <w:b/>
          <w:i/>
        </w:rPr>
        <w:t> 18 a 28</w:t>
      </w:r>
    </w:p>
    <w:p w:rsidR="00B010E1" w:rsidRPr="00287FFE" w:rsidRDefault="00B010E1" w:rsidP="00B010E1">
      <w:pPr>
        <w:jc w:val="both"/>
      </w:pPr>
    </w:p>
    <w:p w:rsidR="00B010E1" w:rsidRPr="00287FFE" w:rsidRDefault="00160B40" w:rsidP="00B010E1">
      <w:pPr>
        <w:jc w:val="both"/>
      </w:pPr>
      <w:r>
        <w:t>- Uma disposição da legislação nacional que prevê a aplicação de uma sanção penal a quem organizar um sistema que estabelece a ligação entre clientes e pessoas que fornecem prestações de transporte rodoviário de passageiros a título oneroso com veículos de menos de dez lugares, sem dispor de uma habilitação para o efeito, refere-se a um «serviço no domínio dos transportes», na medida em que se aplica a um serviço de intermediação prestado através de uma aplicação para telefones inteligentes e que faz parte integrante de um serviço global cujo elemento principal é o serviço de transporte. Esse serviço está excluído do âmbito de aplicação da Diretiva 2015/1535.</w:t>
      </w:r>
    </w:p>
    <w:p w:rsidR="00B010E1" w:rsidRPr="00287FFE" w:rsidRDefault="00B010E1" w:rsidP="00B010E1">
      <w:pPr>
        <w:jc w:val="both"/>
        <w:rPr>
          <w:rFonts w:eastAsia="Calibri"/>
          <w:b/>
          <w:i/>
        </w:rPr>
      </w:pPr>
    </w:p>
    <w:p w:rsidR="00B010E1" w:rsidRPr="00287FFE" w:rsidRDefault="00B010E1" w:rsidP="00B010E1">
      <w:pPr>
        <w:jc w:val="both"/>
        <w:rPr>
          <w:rFonts w:eastAsia="Calibri"/>
          <w:b/>
          <w:i/>
        </w:rPr>
      </w:pPr>
      <w:r>
        <w:rPr>
          <w:b/>
          <w:i/>
        </w:rPr>
        <w:t>Acórdão de 20 de dezembro de 2017, Asociación Profesional Elite Taxi, Processo C</w:t>
      </w:r>
      <w:r>
        <w:noBreakHyphen/>
      </w:r>
      <w:r>
        <w:rPr>
          <w:b/>
          <w:i/>
        </w:rPr>
        <w:t>434/15, EU:C:2017:981, n.º 48</w:t>
      </w:r>
    </w:p>
    <w:p w:rsidR="00B010E1" w:rsidRPr="00287FFE" w:rsidRDefault="00B010E1" w:rsidP="00B010E1">
      <w:pPr>
        <w:jc w:val="both"/>
      </w:pPr>
    </w:p>
    <w:p w:rsidR="00B010E1" w:rsidRPr="00287FFE" w:rsidRDefault="00160B40" w:rsidP="00B010E1">
      <w:pPr>
        <w:jc w:val="both"/>
      </w:pPr>
      <w:r>
        <w:t>- Um serviço de intermediação que tem por objeto, através de uma aplicação para telefones inteligentes, estabelecer a ligação, mediante remuneração, entre motoristas não profissionais que utilizam o seu próprio veículo e pessoas que pretendam efetuar uma deslocação urbana deve ser considerado indissociavelmente ligado a um serviço de transporte e, por conseguinte, abrangido pela qualificação de «serviço no domínio dos transportes» (e não de serviço da sociedade da informação).</w:t>
      </w:r>
    </w:p>
    <w:p w:rsidR="00B010E1" w:rsidRPr="00287FFE" w:rsidRDefault="00B010E1" w:rsidP="00B010E1">
      <w:pPr>
        <w:jc w:val="both"/>
      </w:pPr>
    </w:p>
    <w:p w:rsidR="00B010E1" w:rsidRPr="00287FFE" w:rsidRDefault="00B010E1" w:rsidP="00B010E1">
      <w:pPr>
        <w:jc w:val="both"/>
        <w:rPr>
          <w:rFonts w:eastAsia="Calibri"/>
          <w:b/>
          <w:i/>
        </w:rPr>
      </w:pPr>
      <w:r>
        <w:rPr>
          <w:b/>
          <w:i/>
        </w:rPr>
        <w:t>Acórdão de 20 de dezembro de 2017, Falbert e o., Processo C-255/16, EU:C:2017:983,</w:t>
      </w:r>
      <w:r>
        <w:rPr>
          <w:rStyle w:val="outputecliaff"/>
        </w:rPr>
        <w:t xml:space="preserve"> </w:t>
      </w:r>
      <w:r>
        <w:rPr>
          <w:b/>
          <w:i/>
        </w:rPr>
        <w:t>n.</w:t>
      </w:r>
      <w:r>
        <w:rPr>
          <w:b/>
          <w:i/>
          <w:vertAlign w:val="superscript"/>
        </w:rPr>
        <w:t>os</w:t>
      </w:r>
      <w:r>
        <w:rPr>
          <w:b/>
          <w:i/>
        </w:rPr>
        <w:t> 27 a 30</w:t>
      </w:r>
    </w:p>
    <w:p w:rsidR="00B010E1" w:rsidRPr="00287FFE" w:rsidRDefault="00B010E1" w:rsidP="00B010E1">
      <w:pPr>
        <w:jc w:val="both"/>
      </w:pPr>
    </w:p>
    <w:p w:rsidR="00B010E1" w:rsidRPr="00287FFE" w:rsidRDefault="00160B40" w:rsidP="00B010E1">
      <w:pPr>
        <w:jc w:val="both"/>
      </w:pPr>
      <w:r>
        <w:t xml:space="preserve">- Uma disposição nacional que prevê a aplicação de sanções penais em caso de comercialização de jogos, lotarias ou apostas no território nacional sem autorização não constitui uma regra técnica, na aceção da Diretiva 2015/1535, sujeita à obrigação de notificação por força do artigo 8.º, n.º 1, da referida diretiva. </w:t>
      </w:r>
    </w:p>
    <w:p w:rsidR="00B010E1" w:rsidRPr="00287FFE" w:rsidRDefault="00160B40" w:rsidP="00B010E1">
      <w:pPr>
        <w:jc w:val="both"/>
      </w:pPr>
      <w:r>
        <w:t>- Em contrapartida, uma disposição nacional que prevê a aplicação de sanções penais em caso de publicidade a jogos, lotarias ou apostas que não foram autorizados constitui uma regra técnica, na aceção da Diretiva 2015/1535, sujeita à obrigação de notificação por força do artigo 8.º, n.º 1, da referida diretiva, quando resulte claramente dos seus trabalhos preparatórios que essa disposição de direito nacional tinha por objeto e por finalidade alargar aos serviços de jogos em linha uma proibição de publicidade anteriormente existente, o que cabe ao órgão jurisdicional de reenvio determinar.</w:t>
      </w:r>
    </w:p>
    <w:p w:rsidR="00B010E1" w:rsidRPr="00287FFE" w:rsidRDefault="00B010E1" w:rsidP="00B010E1">
      <w:pPr>
        <w:jc w:val="both"/>
      </w:pPr>
    </w:p>
    <w:p w:rsidR="00B010E1" w:rsidRPr="00287FFE" w:rsidRDefault="00B010E1" w:rsidP="00BC18A3">
      <w:pPr>
        <w:keepNext/>
        <w:keepLines/>
        <w:jc w:val="both"/>
        <w:rPr>
          <w:rFonts w:eastAsia="Calibri"/>
          <w:b/>
          <w:i/>
        </w:rPr>
      </w:pPr>
      <w:r>
        <w:rPr>
          <w:b/>
          <w:i/>
        </w:rPr>
        <w:lastRenderedPageBreak/>
        <w:t>Acórdão de 2 de fevereiro de 2016, Ince, Processo C-336/14, EU:C:2016:72, n.</w:t>
      </w:r>
      <w:r>
        <w:rPr>
          <w:b/>
          <w:i/>
          <w:vertAlign w:val="superscript"/>
        </w:rPr>
        <w:t>os</w:t>
      </w:r>
      <w:r>
        <w:rPr>
          <w:b/>
          <w:i/>
        </w:rPr>
        <w:t> 75, 76, 79 e 84</w:t>
      </w:r>
    </w:p>
    <w:p w:rsidR="00B010E1" w:rsidRPr="00287FFE" w:rsidRDefault="00B010E1" w:rsidP="00BC18A3">
      <w:pPr>
        <w:keepNext/>
        <w:keepLines/>
        <w:jc w:val="both"/>
      </w:pPr>
    </w:p>
    <w:p w:rsidR="00B010E1" w:rsidRPr="00287FFE" w:rsidRDefault="00B010E1" w:rsidP="00B010E1">
      <w:pPr>
        <w:ind w:left="142" w:hanging="142"/>
        <w:jc w:val="both"/>
      </w:pPr>
      <w:r>
        <w:t xml:space="preserve">- As disposições nacionais que instituem a proibição de oferecer jogos de fortuna e azar na Internet, as exceções a essa proibição, as limitações introduzidas à possibilidade de oferecer apostas desportivas através de meios de telecomunicação, bem como a proibição de fazer publicidade a jogos de fortuna e azar na Internet ou através de meios de telecomunicação, podem ser qualificadas de «regras relativas aos serviços» na aceção do artigo 1.º, n.º 5, da Diretiva 98/34, na medida em que dizem respeito a um «serviço da sociedade de informação» na aceção do artigo 1.º, n.º 2, da referida diretiva. </w:t>
      </w:r>
    </w:p>
    <w:p w:rsidR="00B010E1" w:rsidRPr="00287FFE" w:rsidRDefault="00B010E1" w:rsidP="00B010E1">
      <w:pPr>
        <w:ind w:left="142" w:hanging="142"/>
        <w:jc w:val="both"/>
      </w:pPr>
      <w:r>
        <w:t xml:space="preserve">- As disposições nacionais que se limitam a prever condições para o estabelecimento ou a prestação de serviços por empresas, como as disposições que sujeitam o exercício de uma atividade profissional a uma autorização prévia ou a impossibilidade de conceder essa autorização a operadores privados, não constituem regras técnicas na aceção da Diretiva 98/34. </w:t>
      </w:r>
    </w:p>
    <w:p w:rsidR="00B010E1" w:rsidRPr="00287FFE" w:rsidRDefault="00B010E1" w:rsidP="00B010E1">
      <w:pPr>
        <w:ind w:left="142" w:hanging="142"/>
        <w:jc w:val="both"/>
      </w:pPr>
      <w:r>
        <w:t xml:space="preserve">- O projeto de uma legislação regional que mantém em vigor, à escala da região em causa, as disposições de uma legislação comum às diferentes regiões de um Estado-Membro, cujo prazo de vigência tenha expirado, está sujeito à obrigação de notificação prevista no artigo 8.º, n.º 1, da Diretiva 98/34, na medida em que esse projeto contenha regras técnicas na aceção do artigo 1.º da referida diretiva. </w:t>
      </w:r>
    </w:p>
    <w:p w:rsidR="00B010E1" w:rsidRPr="00287FFE" w:rsidRDefault="00B010E1" w:rsidP="00B010E1">
      <w:pPr>
        <w:ind w:left="142" w:hanging="142"/>
        <w:jc w:val="both"/>
      </w:pPr>
      <w:r>
        <w:t>- Tal obrigação não é posta em causa pela circunstância de a referida legislação comum ter sido anteriormente notificada à Comissão, na fase de projeto, em conformidade com o artigo 8.º, n.º 1, da Diretiva 98/34 e de as regras estabelecidas no projeto regional apresentarem um conteúdo idêntico ao das regras estabelecidas na regulamentação nacional, uma vez que se distinguem no que se refere ao seu âmbito de aplicação territorial e temporal.</w:t>
      </w:r>
    </w:p>
    <w:p w:rsidR="00B010E1" w:rsidRPr="00287FFE" w:rsidRDefault="00B010E1" w:rsidP="00B010E1">
      <w:pPr>
        <w:ind w:left="142" w:hanging="142"/>
        <w:jc w:val="both"/>
      </w:pPr>
      <w:r>
        <w:t>- A obrigação, que o artigo 8.º, n.º 1, terceiro parágrafo, da Diretiva 98/34 impõe aos Estados-Membros, de se proceder a uma «nova comunicação» das alterações significativas introduzidas num projeto de regra técnica visa apenas a hipótese em que são introduzidas alterações significativas, no decurso do processo legislativo nacional, a um projeto de regra técnica, após a notificação desse projeto à Comissão.</w:t>
      </w:r>
    </w:p>
    <w:p w:rsidR="00B010E1" w:rsidRPr="00287FFE" w:rsidRDefault="00B010E1" w:rsidP="00B010E1">
      <w:pPr>
        <w:ind w:left="142" w:hanging="142"/>
        <w:jc w:val="both"/>
      </w:pPr>
      <w:r>
        <w:t>- As disposições que instituem a obrigação de obter uma autorização para a organização ou a recolha de apostas desportivas, bem como a impossibilidade de conceder essa autorização a operadores privados, não constituem «regras técnicas» na aceção do artigo 1.º, n.º 11, dessa diretiva. As disposições nacionais que se limitam a prever condições para o estabelecimento ou a prestação de serviços por empresas, como as disposições que sujeitam o exercício de uma atividade profissional a uma autorização prévia, não constituem regras técnicas na aceção dessa disposição.</w:t>
      </w:r>
    </w:p>
    <w:p w:rsidR="00B010E1" w:rsidRDefault="00B010E1" w:rsidP="00B010E1">
      <w:pPr>
        <w:pStyle w:val="NormalWeb"/>
        <w:spacing w:before="0" w:beforeAutospacing="0" w:after="0" w:afterAutospacing="0"/>
        <w:jc w:val="both"/>
      </w:pPr>
    </w:p>
    <w:p w:rsidR="00160B40" w:rsidRPr="00287FFE" w:rsidRDefault="00160B40" w:rsidP="00B010E1">
      <w:pPr>
        <w:pStyle w:val="NormalWeb"/>
        <w:spacing w:before="0" w:beforeAutospacing="0" w:after="0" w:afterAutospacing="0"/>
        <w:jc w:val="both"/>
      </w:pPr>
    </w:p>
    <w:p w:rsidR="00B010E1" w:rsidRPr="00160B40" w:rsidRDefault="00160B40" w:rsidP="00B010E1">
      <w:pPr>
        <w:jc w:val="both"/>
        <w:rPr>
          <w:rFonts w:eastAsia="Calibri"/>
          <w:b/>
          <w:u w:val="single"/>
        </w:rPr>
      </w:pPr>
      <w:bookmarkStart w:id="3" w:name="c_heading"/>
      <w:r>
        <w:rPr>
          <w:b/>
          <w:u w:val="single"/>
        </w:rPr>
        <w:t>c. Medidas fiscais</w:t>
      </w:r>
    </w:p>
    <w:bookmarkEnd w:id="3"/>
    <w:p w:rsidR="00B010E1" w:rsidRPr="00287FFE" w:rsidRDefault="00B010E1" w:rsidP="00B010E1">
      <w:pPr>
        <w:jc w:val="both"/>
        <w:rPr>
          <w:rFonts w:eastAsia="Calibri"/>
          <w:b/>
          <w:i/>
        </w:rPr>
      </w:pPr>
    </w:p>
    <w:p w:rsidR="00B010E1" w:rsidRPr="00287FFE" w:rsidRDefault="00B010E1" w:rsidP="00B010E1">
      <w:pPr>
        <w:jc w:val="both"/>
        <w:rPr>
          <w:rFonts w:eastAsia="Calibri"/>
          <w:b/>
          <w:i/>
        </w:rPr>
      </w:pPr>
      <w:r>
        <w:rPr>
          <w:b/>
          <w:i/>
        </w:rPr>
        <w:t>Acórdão de 20 de março de 1997, Bic Benelux, Processo C-13/96, EU:C:1997:173, n.</w:t>
      </w:r>
      <w:r>
        <w:rPr>
          <w:b/>
          <w:i/>
          <w:vertAlign w:val="superscript"/>
        </w:rPr>
        <w:t>os</w:t>
      </w:r>
      <w:r>
        <w:rPr>
          <w:b/>
          <w:i/>
        </w:rPr>
        <w:t> 20 a 26</w:t>
      </w:r>
    </w:p>
    <w:p w:rsidR="00B010E1" w:rsidRPr="00287FFE" w:rsidRDefault="00B010E1" w:rsidP="00B010E1">
      <w:pPr>
        <w:autoSpaceDE w:val="0"/>
        <w:autoSpaceDN w:val="0"/>
        <w:adjustRightInd w:val="0"/>
        <w:jc w:val="both"/>
      </w:pPr>
    </w:p>
    <w:p w:rsidR="00B010E1" w:rsidRPr="00287FFE" w:rsidRDefault="00B010E1" w:rsidP="00B010E1">
      <w:pPr>
        <w:autoSpaceDE w:val="0"/>
        <w:autoSpaceDN w:val="0"/>
        <w:adjustRightInd w:val="0"/>
        <w:jc w:val="both"/>
      </w:pPr>
      <w:r>
        <w:t xml:space="preserve">- Uma obrigação de apor determinados sinais distintivos em produtos sujeitos a um imposto que os onera em razão das perturbações ecológicas que se considera que provocam constitui uma especificação técnica na aceção da Diretiva 83/189, sendo que a norma nacional que a institui é uma regra técnica na aceção da mesma diretiva. </w:t>
      </w:r>
    </w:p>
    <w:p w:rsidR="00B010E1" w:rsidRPr="00287FFE" w:rsidRDefault="00160B40" w:rsidP="00B010E1">
      <w:pPr>
        <w:autoSpaceDE w:val="0"/>
        <w:autoSpaceDN w:val="0"/>
        <w:adjustRightInd w:val="0"/>
        <w:jc w:val="both"/>
      </w:pPr>
      <w:r>
        <w:t>- O facto de uma medida nacional ter sido adotada com vista a proteger o ambiente ou o facto de tal medida não dar execução a uma norma técnica suscetível de constituir um entrave à livre circulação não excluem que a medida em causa possa constituir uma regra técnica na aceção da Diretiva 83/189.</w:t>
      </w:r>
    </w:p>
    <w:p w:rsidR="00B010E1" w:rsidRPr="00287FFE" w:rsidRDefault="00160B40" w:rsidP="00B010E1">
      <w:pPr>
        <w:autoSpaceDE w:val="0"/>
        <w:autoSpaceDN w:val="0"/>
        <w:adjustRightInd w:val="0"/>
        <w:jc w:val="both"/>
      </w:pPr>
      <w:r>
        <w:lastRenderedPageBreak/>
        <w:t>- Uma vez que a obrigação de marcação não pode de nenhum modo ser considerada exclusivamente uma medida de acompanhamento fiscal, não constitui uma exigência relacionada com uma medida fiscal para efeitos do artigo 1.º, n.º 9, segundo parágrafo, terceiro travessão, da Diretiva 83/189, conforme alterada pela Diretiva 94/10.</w:t>
      </w:r>
    </w:p>
    <w:p w:rsidR="00600D1E" w:rsidRDefault="00600D1E" w:rsidP="00600D1E">
      <w:pPr>
        <w:jc w:val="both"/>
        <w:rPr>
          <w:rFonts w:eastAsia="Calibri"/>
          <w:b/>
        </w:rPr>
      </w:pPr>
    </w:p>
    <w:p w:rsidR="00B010E1" w:rsidRPr="00287FFE" w:rsidRDefault="00B010E1" w:rsidP="00600D1E">
      <w:pPr>
        <w:jc w:val="both"/>
        <w:rPr>
          <w:rFonts w:eastAsia="Calibri"/>
          <w:b/>
        </w:rPr>
      </w:pPr>
    </w:p>
    <w:p w:rsidR="00600D1E" w:rsidRPr="00160B40" w:rsidRDefault="00160B40" w:rsidP="00600D1E">
      <w:pPr>
        <w:jc w:val="both"/>
        <w:rPr>
          <w:rFonts w:eastAsia="Calibri"/>
          <w:b/>
          <w:u w:val="single"/>
        </w:rPr>
      </w:pPr>
      <w:bookmarkStart w:id="4" w:name="d_heading"/>
      <w:r>
        <w:rPr>
          <w:b/>
          <w:u w:val="single"/>
        </w:rPr>
        <w:t>d. Obrigação de nova notificação</w:t>
      </w:r>
    </w:p>
    <w:bookmarkEnd w:id="4"/>
    <w:p w:rsidR="00295CA4" w:rsidRPr="00287FFE" w:rsidRDefault="00295CA4" w:rsidP="00600D1E">
      <w:pPr>
        <w:jc w:val="both"/>
        <w:rPr>
          <w:rFonts w:eastAsia="Calibri"/>
          <w:b/>
        </w:rPr>
      </w:pPr>
    </w:p>
    <w:p w:rsidR="00B15802" w:rsidRPr="00287FFE" w:rsidRDefault="00B15802" w:rsidP="00B15802">
      <w:pPr>
        <w:jc w:val="both"/>
        <w:rPr>
          <w:rFonts w:eastAsia="Calibri"/>
          <w:b/>
          <w:i/>
        </w:rPr>
      </w:pPr>
      <w:r>
        <w:rPr>
          <w:b/>
          <w:i/>
        </w:rPr>
        <w:t>Acórdão de 10 de julho de 2014, Ivansson e o., Processo C</w:t>
      </w:r>
      <w:r>
        <w:rPr>
          <w:rFonts w:ascii="MS Gothic" w:hAnsi="MS Gothic"/>
          <w:b/>
          <w:i/>
        </w:rPr>
        <w:t>-</w:t>
      </w:r>
      <w:r>
        <w:rPr>
          <w:b/>
          <w:i/>
        </w:rPr>
        <w:t>307/13, EU:C:2014:2058, n.</w:t>
      </w:r>
      <w:r>
        <w:rPr>
          <w:b/>
          <w:i/>
          <w:vertAlign w:val="superscript"/>
        </w:rPr>
        <w:t>os</w:t>
      </w:r>
      <w:r>
        <w:rPr>
          <w:b/>
          <w:i/>
        </w:rPr>
        <w:t> 30 e 31, 46 a 50</w:t>
      </w:r>
    </w:p>
    <w:p w:rsidR="00B15802" w:rsidRPr="00287FFE" w:rsidRDefault="00B15802" w:rsidP="00B15802">
      <w:pPr>
        <w:jc w:val="both"/>
        <w:rPr>
          <w:rFonts w:eastAsia="Calibri"/>
        </w:rPr>
      </w:pPr>
    </w:p>
    <w:p w:rsidR="00B15802" w:rsidRPr="00287FFE" w:rsidRDefault="00356040" w:rsidP="00287FFE">
      <w:pPr>
        <w:ind w:left="142" w:hanging="142"/>
        <w:jc w:val="both"/>
      </w:pPr>
      <w:r>
        <w:t xml:space="preserve">- A data fixada em último lugar pelas autoridades nacionais para a entrada em vigor de uma medida nacional está sujeita à obrigação de comunicação à Comissão, conforme prevista no artigo 8.º, n.º 1, terceiro parágrafo, da Diretiva 98/34, na medida em que ocorreu uma alteração do calendário de aplicação da referida medida nacional e que a mesma revista um caráter significativo, o que incumbe ao tribunal nacional verificar. </w:t>
      </w:r>
    </w:p>
    <w:p w:rsidR="00B15802" w:rsidRPr="00287FFE" w:rsidRDefault="00287FFE" w:rsidP="00287FFE">
      <w:pPr>
        <w:ind w:left="142" w:hanging="142"/>
        <w:jc w:val="both"/>
        <w:rPr>
          <w:rFonts w:eastAsia="Calibri"/>
        </w:rPr>
      </w:pPr>
      <w:r>
        <w:t>- Uma redução «significativa» do calendário inicialmente fixado pelas autoridades nacionais para a entrada em vigor e a aplicação de uma regra técnica está sujeita à obrigação de comunicação à Comissão, conforme prevista no artigo 8.º, n.º 1, terceiro parágrafo, da Diretiva 98/34. A omissão de proceder a essa notificação acarreta a inaplicabilidade da referida medida nacional, de modo que esta não possa ser invocada contra particulares.</w:t>
      </w:r>
    </w:p>
    <w:p w:rsidR="00B15802" w:rsidRPr="00287FFE" w:rsidRDefault="00B15802" w:rsidP="00B15802">
      <w:pPr>
        <w:jc w:val="both"/>
        <w:rPr>
          <w:rFonts w:eastAsia="Calibri"/>
        </w:rPr>
      </w:pPr>
    </w:p>
    <w:p w:rsidR="00295CA4" w:rsidRPr="00287FFE" w:rsidRDefault="00295CA4" w:rsidP="00295CA4">
      <w:pPr>
        <w:jc w:val="both"/>
        <w:rPr>
          <w:rFonts w:eastAsia="Calibri"/>
          <w:b/>
          <w:i/>
        </w:rPr>
      </w:pPr>
      <w:r>
        <w:rPr>
          <w:b/>
          <w:i/>
        </w:rPr>
        <w:t>Acórdão de 31 de janeiro de 2013, Belgische Petroleum Unie e o., Processo C-26/11, EU:C:2013:44, n.º 50</w:t>
      </w:r>
    </w:p>
    <w:p w:rsidR="00295CA4" w:rsidRPr="00287FFE" w:rsidRDefault="00295CA4" w:rsidP="00295CA4">
      <w:pPr>
        <w:jc w:val="both"/>
        <w:rPr>
          <w:rFonts w:eastAsia="Calibri"/>
        </w:rPr>
      </w:pPr>
    </w:p>
    <w:p w:rsidR="00295CA4" w:rsidRPr="00B010E1" w:rsidRDefault="00160B40" w:rsidP="00295CA4">
      <w:pPr>
        <w:jc w:val="both"/>
        <w:rPr>
          <w:rFonts w:eastAsia="Calibri"/>
        </w:rPr>
      </w:pPr>
      <w:r>
        <w:t>- O artigo 8.º da Diretiva 98/34, lido em conjugação com o seu artigo 10.º, n.º 1, deve ser interpretado no sentido de que não impõe a notificação de um projeto de legislação nacional quando, após ter sido notificado nos termos do referido artigo 8.º, n.º 1, primeiro parágrafo, esse projeto foi modificado a fim de tomar em consideração as observações da Comissão respeitantes a este último e o projeto assim modificado foi, em seguida, comunicado à Comissão.</w:t>
      </w:r>
    </w:p>
    <w:p w:rsidR="00600D1E" w:rsidRPr="00287FFE" w:rsidRDefault="00600D1E" w:rsidP="00600D1E">
      <w:pPr>
        <w:jc w:val="both"/>
        <w:rPr>
          <w:rFonts w:eastAsia="Calibri"/>
          <w:b/>
        </w:rPr>
      </w:pPr>
    </w:p>
    <w:p w:rsidR="00295CA4" w:rsidRPr="00287FFE" w:rsidRDefault="00295CA4" w:rsidP="00295CA4">
      <w:pPr>
        <w:jc w:val="both"/>
        <w:rPr>
          <w:rFonts w:eastAsia="Calibri"/>
          <w:b/>
          <w:i/>
        </w:rPr>
      </w:pPr>
      <w:r>
        <w:rPr>
          <w:b/>
          <w:i/>
        </w:rPr>
        <w:t>Acórdão de 15 de abril de 2010, Sandström, Processo C-433/05, EU:C:2010:184, n.º 47</w:t>
      </w:r>
    </w:p>
    <w:p w:rsidR="00295CA4" w:rsidRPr="00287FFE" w:rsidRDefault="00295CA4" w:rsidP="00295CA4">
      <w:pPr>
        <w:jc w:val="both"/>
        <w:rPr>
          <w:rFonts w:eastAsia="Calibri"/>
          <w:b/>
          <w:i/>
        </w:rPr>
      </w:pPr>
      <w:r>
        <w:rPr>
          <w:b/>
          <w:i/>
        </w:rPr>
        <w:t xml:space="preserve"> </w:t>
      </w:r>
    </w:p>
    <w:p w:rsidR="00EC0275" w:rsidRPr="00B010E1" w:rsidRDefault="00160B40" w:rsidP="004A435C">
      <w:pPr>
        <w:jc w:val="both"/>
      </w:pPr>
      <w:r>
        <w:t>- As alterações introduzidas num projeto de regra técnica já notificado à Comissão em conformidade com o disposto no artigo 8.º, n.º 1, primeiro parágrafo, da Diretiva 98/34, que apenas impliquem, em relação ao projeto notificado, uma flexibilização das condições de utilização do produto em causa e que, por isso, reduzam o eventual impacto da regra técnica nas trocas comerciais, não constituem uma alteração significativa do projeto para efeitos do artigo 8.º, n.º 1, terceiro parágrafo, dessa diretiva. Consequentemente, essas alterações não estão sujeitas à obrigação de notificação prévia. </w:t>
      </w:r>
    </w:p>
    <w:p w:rsidR="00CE6151" w:rsidRPr="00287FFE" w:rsidRDefault="00CE6151" w:rsidP="004A435C">
      <w:pPr>
        <w:jc w:val="both"/>
        <w:rPr>
          <w:highlight w:val="yellow"/>
        </w:rPr>
      </w:pPr>
    </w:p>
    <w:p w:rsidR="006255E9" w:rsidRDefault="006255E9" w:rsidP="003C09E5">
      <w:pPr>
        <w:pStyle w:val="Style1"/>
      </w:pPr>
      <w:r>
        <w:br w:type="page"/>
      </w:r>
    </w:p>
    <w:p w:rsidR="00EB4A26" w:rsidRPr="006E49C8" w:rsidRDefault="00E96E31" w:rsidP="003C09E5">
      <w:pPr>
        <w:pStyle w:val="Style1"/>
      </w:pPr>
      <w:r>
        <w:lastRenderedPageBreak/>
        <w:t xml:space="preserve">II. </w:t>
      </w:r>
      <w:bookmarkStart w:id="5" w:name="Second_heading"/>
      <w:r>
        <w:t xml:space="preserve">Casos de não notificação ou adoção antes do final do período de </w:t>
      </w:r>
      <w:r>
        <w:rPr>
          <w:i/>
        </w:rPr>
        <w:t>statu quo</w:t>
      </w:r>
      <w:bookmarkEnd w:id="5"/>
      <w:r>
        <w:t xml:space="preserve"> (Inaplicabilidade)</w:t>
      </w:r>
    </w:p>
    <w:p w:rsidR="00EB4A26" w:rsidRPr="00287FFE" w:rsidRDefault="00EB4A26" w:rsidP="00143415">
      <w:pPr>
        <w:jc w:val="center"/>
        <w:rPr>
          <w:rFonts w:eastAsia="Calibri"/>
          <w:b/>
          <w:u w:val="single"/>
        </w:rPr>
      </w:pPr>
    </w:p>
    <w:p w:rsidR="00143415" w:rsidRPr="00287FFE" w:rsidRDefault="00143415" w:rsidP="00E96E31">
      <w:pPr>
        <w:pStyle w:val="NormalWeb"/>
        <w:spacing w:before="0" w:beforeAutospacing="0" w:after="0" w:afterAutospacing="0"/>
        <w:jc w:val="both"/>
        <w:rPr>
          <w:rFonts w:eastAsia="Calibri"/>
          <w:b/>
          <w:i/>
        </w:rPr>
      </w:pPr>
      <w:r>
        <w:rPr>
          <w:b/>
          <w:i/>
        </w:rPr>
        <w:t>Acórdão de 30 de abril de 1996, CIA Security International SA, Processo C-194/94, EU:C:1996:172, n.</w:t>
      </w:r>
      <w:r>
        <w:rPr>
          <w:b/>
          <w:i/>
          <w:vertAlign w:val="superscript"/>
        </w:rPr>
        <w:t>os</w:t>
      </w:r>
      <w:r>
        <w:rPr>
          <w:b/>
          <w:i/>
        </w:rPr>
        <w:t> 54 e 55</w:t>
      </w:r>
    </w:p>
    <w:p w:rsidR="00143415" w:rsidRPr="00287FFE" w:rsidRDefault="00143415" w:rsidP="00143415">
      <w:pPr>
        <w:autoSpaceDE w:val="0"/>
        <w:autoSpaceDN w:val="0"/>
        <w:adjustRightInd w:val="0"/>
        <w:jc w:val="both"/>
      </w:pPr>
    </w:p>
    <w:p w:rsidR="00143415" w:rsidRPr="00287FFE" w:rsidRDefault="00160B40" w:rsidP="00143415">
      <w:pPr>
        <w:autoSpaceDE w:val="0"/>
        <w:autoSpaceDN w:val="0"/>
        <w:adjustRightInd w:val="0"/>
        <w:jc w:val="both"/>
      </w:pPr>
      <w:r>
        <w:t>- A Diretiva 83/189 deve ser interpretada no sentido de que a inobservância da obrigação de notificação acarreta a inaplicabilidade das regras técnicas em questão, de modo que não possam ser opostas aos particulares. Os particulares podem invocar os artigos 8.º e 9.º da Diretiva 83/189 perante o juiz nacional, ao qual compete recusar a aplicação de uma regra técnica nacional que não tenha sido notificada em conformidade com a diretiva.</w:t>
      </w:r>
    </w:p>
    <w:p w:rsidR="00143415" w:rsidRPr="00287FFE" w:rsidRDefault="00143415" w:rsidP="004A435C">
      <w:pPr>
        <w:jc w:val="both"/>
        <w:rPr>
          <w:rFonts w:eastAsia="Calibri"/>
          <w:b/>
          <w:i/>
        </w:rPr>
      </w:pPr>
    </w:p>
    <w:p w:rsidR="00E96E31" w:rsidRPr="00287FFE" w:rsidRDefault="00E96E31" w:rsidP="00E96E31">
      <w:pPr>
        <w:pStyle w:val="NormalWeb"/>
        <w:spacing w:before="0" w:beforeAutospacing="0" w:after="0" w:afterAutospacing="0"/>
        <w:jc w:val="both"/>
        <w:rPr>
          <w:rFonts w:eastAsia="Calibri"/>
          <w:b/>
          <w:i/>
        </w:rPr>
      </w:pPr>
      <w:r>
        <w:rPr>
          <w:b/>
          <w:i/>
        </w:rPr>
        <w:t>Acórdão de 16 de setembro de 1997, Comissão contra Itália, Processo C</w:t>
      </w:r>
      <w:r>
        <w:noBreakHyphen/>
      </w:r>
      <w:r>
        <w:rPr>
          <w:b/>
          <w:i/>
        </w:rPr>
        <w:t>279/94, EU:C:1997:396, n.</w:t>
      </w:r>
      <w:r>
        <w:rPr>
          <w:b/>
          <w:i/>
          <w:vertAlign w:val="superscript"/>
        </w:rPr>
        <w:t>os</w:t>
      </w:r>
      <w:r>
        <w:rPr>
          <w:b/>
          <w:i/>
        </w:rPr>
        <w:t> 40 e 41</w:t>
      </w:r>
    </w:p>
    <w:p w:rsidR="00E91B63" w:rsidRPr="00287FFE" w:rsidRDefault="00E91B63" w:rsidP="00E96E31">
      <w:pPr>
        <w:pStyle w:val="NormalWeb"/>
        <w:spacing w:before="0" w:beforeAutospacing="0" w:after="0" w:afterAutospacing="0"/>
        <w:jc w:val="both"/>
        <w:rPr>
          <w:rFonts w:eastAsia="Calibri"/>
          <w:b/>
          <w:i/>
        </w:rPr>
      </w:pPr>
    </w:p>
    <w:p w:rsidR="00E96E31" w:rsidRPr="00287FFE" w:rsidRDefault="00160B40" w:rsidP="00E96E31">
      <w:pPr>
        <w:jc w:val="both"/>
      </w:pPr>
      <w:r>
        <w:t>- Embora o artigo 8.º, n.º 1, da Diretiva 83/189 exija a comunicação integral à Comissão de um projeto de lei que contenha regras técnicas, a inaplicabilidade que resulta do incumprimento dessa obrigação não se estende a todas as disposições dessa lei, mas apenas às regras técnicas que nela figuram.</w:t>
      </w:r>
    </w:p>
    <w:p w:rsidR="00143415" w:rsidRPr="00287FFE" w:rsidRDefault="00143415" w:rsidP="00143415">
      <w:pPr>
        <w:jc w:val="both"/>
        <w:rPr>
          <w:rFonts w:eastAsia="Calibri"/>
          <w:b/>
          <w:i/>
        </w:rPr>
      </w:pPr>
    </w:p>
    <w:p w:rsidR="00E91B63" w:rsidRPr="00287FFE" w:rsidRDefault="00E91B63" w:rsidP="00E91B63">
      <w:pPr>
        <w:pStyle w:val="NormalWeb"/>
        <w:spacing w:before="0" w:beforeAutospacing="0" w:after="0" w:afterAutospacing="0"/>
        <w:rPr>
          <w:rFonts w:eastAsia="Calibri"/>
          <w:b/>
          <w:i/>
        </w:rPr>
      </w:pPr>
      <w:r>
        <w:rPr>
          <w:b/>
          <w:i/>
        </w:rPr>
        <w:t>Acórdão de 16 de junho de 1998, Lemmens, Processo C-226/97, EU:C:1998:296, n.</w:t>
      </w:r>
      <w:r>
        <w:rPr>
          <w:b/>
          <w:i/>
          <w:vertAlign w:val="superscript"/>
        </w:rPr>
        <w:t>os</w:t>
      </w:r>
      <w:r>
        <w:rPr>
          <w:b/>
          <w:i/>
        </w:rPr>
        <w:t> 34 a 37</w:t>
      </w:r>
    </w:p>
    <w:p w:rsidR="00E91B63" w:rsidRPr="00287FFE" w:rsidRDefault="00E91B63" w:rsidP="00E91B63">
      <w:pPr>
        <w:jc w:val="both"/>
      </w:pPr>
    </w:p>
    <w:p w:rsidR="00E91B63" w:rsidRPr="00287FFE" w:rsidRDefault="00160B40" w:rsidP="00E91B63">
      <w:pPr>
        <w:jc w:val="both"/>
      </w:pPr>
      <w:r>
        <w:t xml:space="preserve">- A Diretiva 83/189 do Conselho deve ser interpretada no sentido de que a inobservância da obrigação de notificar uma regra técnica relativa aos etilómetros, imposta pelo artigo 8.º da diretiva, não tem por efeito tornar inoponível a um particular acusado de conduzir em estado de embriaguez a prova obtida por meio de um etilómetro autorizado em conformidade com regras não notificadas. A utilização do produto pelas autoridades públicas não é suscetível de criar um obstáculo às trocas comerciais que pudesse ser evitado se o processo de notificação tivesse sido respeitado. </w:t>
      </w:r>
    </w:p>
    <w:p w:rsidR="00E91B63" w:rsidRPr="00287FFE" w:rsidRDefault="00E91B63" w:rsidP="00E96E31">
      <w:pPr>
        <w:rPr>
          <w:rFonts w:eastAsia="Calibri"/>
          <w:b/>
          <w:i/>
        </w:rPr>
      </w:pPr>
    </w:p>
    <w:p w:rsidR="00E96E31" w:rsidRPr="00287FFE" w:rsidRDefault="00E96E31" w:rsidP="00E96E31">
      <w:r>
        <w:rPr>
          <w:b/>
          <w:i/>
        </w:rPr>
        <w:t>Acórdão de 26 de setembro de 2000, Unilever, Processo C-443/98, EU:C:2000:496, n.</w:t>
      </w:r>
      <w:r>
        <w:rPr>
          <w:b/>
          <w:i/>
          <w:vertAlign w:val="superscript"/>
        </w:rPr>
        <w:t>os</w:t>
      </w:r>
      <w:r>
        <w:rPr>
          <w:b/>
          <w:i/>
        </w:rPr>
        <w:t xml:space="preserve"> 44 e 49 a 51 </w:t>
      </w:r>
    </w:p>
    <w:p w:rsidR="00E96E31" w:rsidRPr="00287FFE" w:rsidRDefault="00E96E31" w:rsidP="00E96E31">
      <w:pPr>
        <w:jc w:val="both"/>
        <w:rPr>
          <w:highlight w:val="yellow"/>
        </w:rPr>
      </w:pPr>
    </w:p>
    <w:p w:rsidR="00E96E31" w:rsidRPr="00287FFE" w:rsidRDefault="00160B40" w:rsidP="00E96E31">
      <w:pPr>
        <w:jc w:val="both"/>
      </w:pPr>
      <w:r>
        <w:t xml:space="preserve">- A inobservância das obrigações de adiamento da adoção, preconizadas no artigo 9.º da Diretiva 98/34, constitui um vício processual essencial suscetível de acarretar a inaplicabilidade das normas técnicas. Num processo cível entre particulares a propósito de direitos e obrigações de ordem contratual, a aplicação das normas técnicas adotadas com inobservância do artigo 9.º da diretiva pode ter por efeito a criação de entraves à utilização ou à comercialização de um produto não conforme com essas normas. </w:t>
      </w:r>
    </w:p>
    <w:p w:rsidR="00E96E31" w:rsidRPr="00287FFE" w:rsidRDefault="00E96E31" w:rsidP="00E96E31">
      <w:pPr>
        <w:pStyle w:val="NormalWeb"/>
        <w:spacing w:before="0" w:beforeAutospacing="0" w:after="0" w:afterAutospacing="0"/>
        <w:rPr>
          <w:rFonts w:eastAsia="Calibri"/>
          <w:b/>
          <w:i/>
        </w:rPr>
      </w:pPr>
    </w:p>
    <w:p w:rsidR="00E96E31" w:rsidRPr="00287FFE" w:rsidRDefault="00E96E31" w:rsidP="00E96E31">
      <w:pPr>
        <w:pStyle w:val="NormalWeb"/>
        <w:spacing w:before="0" w:beforeAutospacing="0" w:after="0" w:afterAutospacing="0"/>
        <w:jc w:val="both"/>
        <w:rPr>
          <w:rFonts w:eastAsia="Calibri"/>
          <w:b/>
          <w:i/>
        </w:rPr>
      </w:pPr>
      <w:r>
        <w:rPr>
          <w:b/>
          <w:i/>
        </w:rPr>
        <w:t>Acórdão de 6 de junho de 2002, Sapod Audic, Processo C-159/00, EU:C:2002:343, n.</w:t>
      </w:r>
      <w:r>
        <w:rPr>
          <w:b/>
          <w:i/>
          <w:vertAlign w:val="superscript"/>
        </w:rPr>
        <w:t>os</w:t>
      </w:r>
      <w:r>
        <w:rPr>
          <w:b/>
          <w:i/>
        </w:rPr>
        <w:t> 50 e 53</w:t>
      </w:r>
    </w:p>
    <w:p w:rsidR="00E96E31" w:rsidRPr="00287FFE" w:rsidRDefault="00E96E31" w:rsidP="00E96E31">
      <w:pPr>
        <w:jc w:val="both"/>
      </w:pPr>
    </w:p>
    <w:p w:rsidR="00E96E31" w:rsidRPr="00287FFE" w:rsidRDefault="00160B40" w:rsidP="00E96E31">
      <w:pPr>
        <w:jc w:val="both"/>
      </w:pPr>
      <w:r>
        <w:t xml:space="preserve">- A inaplicabilidade de uma regra técnica que não foi notificada à Comissão em conformidade com o artigo 8.º da Diretiva 98/34 pode ser invocada num litígio entre particulares a propósito, nomeadamente, de direitos e obrigações de ordem contratual. Incumbe então ao tribunal nacional recusar a aplicação dessa disposição, uma vez que a questão de saber quais as conclusões que devem ser tiradas da inaplicabilidade da referida disposição nacional quanto ao alcance da sanção prevista no direito nacional aplicável, como sejam a nulidade ou a inoponibilidade do contrato, é regulada pelo direito nacional. Esta conclusão está, todavia, dependente da condição de as normas de direito nacional aplicáveis não serem menos favoráveis do que as aplicáveis a reclamações </w:t>
      </w:r>
      <w:r>
        <w:lastRenderedPageBreak/>
        <w:t>internas de natureza idêntica e não serem adaptadas de modo que se torne na prática impossível o exercício dos direitos reconhecidos pela ordem jurídica da União.</w:t>
      </w:r>
    </w:p>
    <w:p w:rsidR="00E96E31" w:rsidRPr="00287FFE" w:rsidRDefault="00E96E31" w:rsidP="00E96E31">
      <w:pPr>
        <w:jc w:val="both"/>
      </w:pPr>
    </w:p>
    <w:p w:rsidR="00143415" w:rsidRPr="00287FFE" w:rsidRDefault="00143415" w:rsidP="00143415">
      <w:pPr>
        <w:jc w:val="both"/>
        <w:rPr>
          <w:rFonts w:eastAsia="Calibri"/>
          <w:b/>
          <w:i/>
        </w:rPr>
      </w:pPr>
      <w:r>
        <w:rPr>
          <w:b/>
          <w:i/>
        </w:rPr>
        <w:t>Acórdão de 31 de janeiro de 2013, Belgische Petroleum Unie e o., Processo C-26/11, EU:C:2013:44, n.º 50</w:t>
      </w:r>
    </w:p>
    <w:p w:rsidR="00143415" w:rsidRPr="00287FFE" w:rsidRDefault="00143415" w:rsidP="00143415">
      <w:pPr>
        <w:jc w:val="both"/>
      </w:pPr>
    </w:p>
    <w:p w:rsidR="00143415" w:rsidRPr="00160B40" w:rsidRDefault="00160B40" w:rsidP="00143415">
      <w:pPr>
        <w:jc w:val="both"/>
      </w:pPr>
      <w:r>
        <w:t>- A inobservância da obrigação de notificação constitui um vício processual essencial, suscetível de acarretar a inaplicabilidade das regras técnicas em causa, de modo que estas não possam ser opostas aos particulares.</w:t>
      </w:r>
    </w:p>
    <w:p w:rsidR="00143415" w:rsidRPr="00287FFE" w:rsidRDefault="00143415" w:rsidP="00143415">
      <w:pPr>
        <w:jc w:val="both"/>
        <w:rPr>
          <w:rFonts w:eastAsia="Calibri"/>
          <w:b/>
          <w:i/>
        </w:rPr>
      </w:pPr>
    </w:p>
    <w:p w:rsidR="00B15802" w:rsidRPr="00287FFE" w:rsidRDefault="00B15802" w:rsidP="00B15802">
      <w:pPr>
        <w:jc w:val="both"/>
        <w:rPr>
          <w:rFonts w:eastAsia="Calibri"/>
          <w:b/>
          <w:i/>
        </w:rPr>
      </w:pPr>
      <w:r>
        <w:rPr>
          <w:b/>
          <w:i/>
        </w:rPr>
        <w:t>Acórdão de 10 de julho de 2014, Ivansson e o., Processo C</w:t>
      </w:r>
      <w:r>
        <w:rPr>
          <w:rFonts w:ascii="MS Gothic" w:hAnsi="MS Gothic"/>
          <w:b/>
          <w:i/>
        </w:rPr>
        <w:t>-</w:t>
      </w:r>
      <w:r>
        <w:rPr>
          <w:b/>
          <w:i/>
        </w:rPr>
        <w:t>307/13, EU:C:2014:2058, n.</w:t>
      </w:r>
      <w:r>
        <w:rPr>
          <w:b/>
          <w:i/>
          <w:vertAlign w:val="superscript"/>
        </w:rPr>
        <w:t>os</w:t>
      </w:r>
      <w:r>
        <w:rPr>
          <w:b/>
          <w:i/>
        </w:rPr>
        <w:t> 47 a 50</w:t>
      </w:r>
    </w:p>
    <w:p w:rsidR="00B15802" w:rsidRPr="00287FFE" w:rsidRDefault="00B15802" w:rsidP="00B15802">
      <w:pPr>
        <w:jc w:val="both"/>
        <w:rPr>
          <w:rFonts w:eastAsia="Calibri"/>
        </w:rPr>
      </w:pPr>
    </w:p>
    <w:p w:rsidR="00B15802" w:rsidRPr="00287FFE" w:rsidRDefault="00160B40" w:rsidP="00B15802">
      <w:pPr>
        <w:jc w:val="both"/>
        <w:rPr>
          <w:rFonts w:eastAsia="Calibri"/>
        </w:rPr>
      </w:pPr>
      <w:r>
        <w:t>- Uma redução «significativa» do calendário inicialmente fixado pelas autoridades nacionais para a entrada em vigor e a aplicação de uma regra técnica está sujeita à obrigação de comunicação à Comissão, conforme prevista no artigo 8.º, n.º 1, terceiro parágrafo, da Diretiva 98/34. A omissão de proceder a essa notificação acarreta a inaplicabilidade da referida medida nacional, de modo que esta não possa ser invocada contra particulares.</w:t>
      </w:r>
    </w:p>
    <w:p w:rsidR="00B15802" w:rsidRPr="00287FFE" w:rsidRDefault="00B15802" w:rsidP="00B15802">
      <w:pPr>
        <w:ind w:left="142" w:hanging="142"/>
        <w:jc w:val="both"/>
        <w:rPr>
          <w:rFonts w:eastAsia="Calibri"/>
        </w:rPr>
      </w:pPr>
    </w:p>
    <w:p w:rsidR="00143415" w:rsidRPr="00287FFE" w:rsidRDefault="00143415" w:rsidP="00143415">
      <w:pPr>
        <w:jc w:val="both"/>
        <w:rPr>
          <w:rFonts w:eastAsia="Calibri"/>
          <w:b/>
          <w:i/>
        </w:rPr>
      </w:pPr>
      <w:r>
        <w:rPr>
          <w:b/>
          <w:i/>
        </w:rPr>
        <w:t>Acórdão de 11 de junho de 2015, Berlington Hungary e o., Processo C-98/14, EU:C:2015:386, n.</w:t>
      </w:r>
      <w:r>
        <w:rPr>
          <w:b/>
          <w:i/>
          <w:vertAlign w:val="superscript"/>
        </w:rPr>
        <w:t>os</w:t>
      </w:r>
      <w:r>
        <w:rPr>
          <w:b/>
          <w:i/>
        </w:rPr>
        <w:t> 107 a 110</w:t>
      </w:r>
    </w:p>
    <w:p w:rsidR="00143415" w:rsidRPr="00287FFE" w:rsidRDefault="00143415" w:rsidP="00143415">
      <w:pPr>
        <w:jc w:val="both"/>
      </w:pPr>
    </w:p>
    <w:p w:rsidR="00143415" w:rsidRPr="00287FFE" w:rsidRDefault="00160B40" w:rsidP="00143415">
      <w:pPr>
        <w:jc w:val="both"/>
      </w:pPr>
      <w:r>
        <w:t>- Os artigos 8.º e 9.º da Diretiva 98/34 não têm por objeto conferir direitos aos particulares, pelo que a sua violação por um Estado-Membro não implica o direito de os particulares obterem, da parte desse Estado-Membro, a reparação do prejuízo sofrido devido a essa violação com fundamento no direito da União.</w:t>
      </w:r>
    </w:p>
    <w:p w:rsidR="00143415" w:rsidRPr="00287FFE" w:rsidRDefault="00143415" w:rsidP="00143415">
      <w:pPr>
        <w:jc w:val="both"/>
        <w:rPr>
          <w:rFonts w:eastAsia="Calibri"/>
          <w:b/>
          <w:i/>
        </w:rPr>
      </w:pPr>
    </w:p>
    <w:p w:rsidR="00143415" w:rsidRPr="00287FFE" w:rsidRDefault="00143415" w:rsidP="00143415">
      <w:pPr>
        <w:jc w:val="both"/>
        <w:rPr>
          <w:rFonts w:eastAsia="Calibri"/>
          <w:b/>
          <w:i/>
        </w:rPr>
      </w:pPr>
      <w:r>
        <w:rPr>
          <w:b/>
          <w:i/>
        </w:rPr>
        <w:t xml:space="preserve">Acórdão de 16 de julho de 2015, UNIC e Uni.co.pel, Processo C-95/14, </w:t>
      </w:r>
      <w:r>
        <w:rPr>
          <w:rStyle w:val="outputecliaff"/>
          <w:b/>
          <w:i/>
        </w:rPr>
        <w:t>EU:C:2015:492,</w:t>
      </w:r>
      <w:r>
        <w:rPr>
          <w:rStyle w:val="outputecliaff"/>
          <w:i/>
        </w:rPr>
        <w:t xml:space="preserve"> </w:t>
      </w:r>
      <w:r>
        <w:rPr>
          <w:b/>
          <w:i/>
        </w:rPr>
        <w:t>n.</w:t>
      </w:r>
      <w:r>
        <w:rPr>
          <w:b/>
          <w:i/>
          <w:vertAlign w:val="superscript"/>
        </w:rPr>
        <w:t>os</w:t>
      </w:r>
      <w:r>
        <w:rPr>
          <w:b/>
          <w:i/>
        </w:rPr>
        <w:t> 29 a 30</w:t>
      </w:r>
    </w:p>
    <w:p w:rsidR="00143415" w:rsidRPr="00287FFE" w:rsidRDefault="00143415" w:rsidP="00143415">
      <w:pPr>
        <w:jc w:val="both"/>
        <w:rPr>
          <w:rFonts w:eastAsia="Calibri"/>
        </w:rPr>
      </w:pPr>
    </w:p>
    <w:p w:rsidR="00143415" w:rsidRPr="00287FFE" w:rsidRDefault="00160B40" w:rsidP="00143415">
      <w:pPr>
        <w:jc w:val="both"/>
        <w:rPr>
          <w:rFonts w:eastAsia="Calibri"/>
        </w:rPr>
      </w:pPr>
      <w:r>
        <w:t>- Uma regra técnica não pode ser aplicada quando não tenha sido notificada em conformidade com o artigo 8.º, n.º 1, da Diretiva 98/34 ou quando, apesar de notificada, tenha sido aprovada e executada antes do termo do período de suspensão de três meses previsto no artigo 9.º, n.º 1, da referida diretiva.</w:t>
      </w:r>
    </w:p>
    <w:p w:rsidR="00143415" w:rsidRPr="00287FFE" w:rsidRDefault="00160B40" w:rsidP="00143415">
      <w:pPr>
        <w:jc w:val="both"/>
        <w:rPr>
          <w:rFonts w:eastAsia="Calibri"/>
        </w:rPr>
      </w:pPr>
      <w:r>
        <w:t>- A inobservância deste período de suspensão constitui um vício processual essencial suscetível de acarretar a inaplicabilidade da regra técnica em causa e a sua inoponibilidade contra particulares.</w:t>
      </w:r>
    </w:p>
    <w:p w:rsidR="00EB4A26" w:rsidRPr="00287FFE" w:rsidRDefault="00EB4A26" w:rsidP="004A435C">
      <w:pPr>
        <w:jc w:val="both"/>
        <w:rPr>
          <w:rFonts w:ascii="Arial" w:hAnsi="Arial" w:cs="Arial"/>
        </w:rPr>
      </w:pPr>
    </w:p>
    <w:p w:rsidR="00EB4A26" w:rsidRPr="00287FFE" w:rsidRDefault="00EB4A26" w:rsidP="004A435C">
      <w:pPr>
        <w:jc w:val="both"/>
        <w:rPr>
          <w:rFonts w:eastAsia="Calibri"/>
          <w:b/>
          <w:i/>
        </w:rPr>
      </w:pPr>
      <w:r>
        <w:rPr>
          <w:b/>
          <w:i/>
        </w:rPr>
        <w:t>Acórdão de 2 de fevereiro de 2016, Ince, Processo C-336/14, EU:C:2016:72, n.</w:t>
      </w:r>
      <w:r>
        <w:rPr>
          <w:b/>
          <w:i/>
          <w:vertAlign w:val="superscript"/>
        </w:rPr>
        <w:t>os</w:t>
      </w:r>
      <w:r>
        <w:rPr>
          <w:b/>
          <w:i/>
        </w:rPr>
        <w:t> 67 e 68</w:t>
      </w:r>
    </w:p>
    <w:p w:rsidR="00B65378" w:rsidRPr="00287FFE" w:rsidRDefault="00B65378" w:rsidP="004A435C">
      <w:pPr>
        <w:jc w:val="both"/>
      </w:pPr>
    </w:p>
    <w:p w:rsidR="00EB4A26" w:rsidRPr="00287FFE" w:rsidRDefault="00160B40" w:rsidP="004A435C">
      <w:pPr>
        <w:jc w:val="both"/>
      </w:pPr>
      <w:r>
        <w:t>- O não cumprimento da obrigação de notificação prevista no artigo 8.º, n.º 1, da Diretiva 98/34 constitui um vício processual na adoção das regras técnicas em causa e dá origem à inaplicabilidade dessas regras técnicas, de modo que não possam ser invocadas contra um particular no âmbito de um processo penal.</w:t>
      </w:r>
    </w:p>
    <w:p w:rsidR="00EB4A26" w:rsidRPr="00287FFE" w:rsidRDefault="00160B40" w:rsidP="004A435C">
      <w:pPr>
        <w:jc w:val="both"/>
        <w:rPr>
          <w:rFonts w:eastAsia="Calibri"/>
        </w:rPr>
      </w:pPr>
      <w:r>
        <w:t>- Embora o artigo 8.º, n.º 1, da Diretiva 98/34 exija a comunicação integral à Comissão de um projeto de lei que contenha regras técnicas, a inaplicabilidade que resulta do incumprimento dessa obrigação não se estende a todas as disposições dessa lei, mas apenas às regras técnicas que nela figuram.</w:t>
      </w:r>
    </w:p>
    <w:p w:rsidR="00B65378" w:rsidRDefault="00B65378" w:rsidP="004A435C">
      <w:pPr>
        <w:jc w:val="both"/>
        <w:rPr>
          <w:rFonts w:eastAsia="Calibri"/>
          <w:b/>
          <w:i/>
        </w:rPr>
      </w:pPr>
    </w:p>
    <w:p w:rsidR="00143415" w:rsidRPr="00287FFE" w:rsidRDefault="00143415" w:rsidP="00143415">
      <w:pPr>
        <w:jc w:val="both"/>
        <w:rPr>
          <w:rFonts w:eastAsia="Calibri"/>
          <w:b/>
          <w:i/>
        </w:rPr>
      </w:pPr>
      <w:r>
        <w:rPr>
          <w:b/>
          <w:i/>
        </w:rPr>
        <w:lastRenderedPageBreak/>
        <w:t>Despacho de 21 de abril de 2016, Beca Engineering, Processo C-285/15, EU:C:2016:295, n.º 37</w:t>
      </w:r>
    </w:p>
    <w:p w:rsidR="00143415" w:rsidRPr="00287FFE" w:rsidRDefault="00143415" w:rsidP="00143415">
      <w:pPr>
        <w:jc w:val="both"/>
      </w:pPr>
    </w:p>
    <w:p w:rsidR="00143415" w:rsidRPr="00287FFE" w:rsidRDefault="00CC592B" w:rsidP="00143415">
      <w:pPr>
        <w:jc w:val="both"/>
      </w:pPr>
      <w:r>
        <w:t xml:space="preserve">- A inobservância da obrigação de notificação de regras técnicas prevista no artigo 8.º da Diretiva 98/34 dá origem à inaplicabilidade das regras técnicas em causa, de modo que não sejam oponíveis a particulares e que os particulares possam invocar o artigo 8.º da Diretiva 98/34 perante os tribunais nacionais. É exigido ao tribunal nacional que se recuse a aplicar uma regra técnica nacional que não tenha sido notificada em conformidade com a diretiva. </w:t>
      </w:r>
    </w:p>
    <w:p w:rsidR="00143415" w:rsidRPr="00287FFE" w:rsidRDefault="00143415" w:rsidP="00143415">
      <w:pPr>
        <w:jc w:val="both"/>
        <w:rPr>
          <w:rFonts w:eastAsia="Calibri"/>
          <w:b/>
          <w:i/>
        </w:rPr>
      </w:pPr>
    </w:p>
    <w:p w:rsidR="00143415" w:rsidRPr="00287FFE" w:rsidRDefault="00143415" w:rsidP="00143415">
      <w:pPr>
        <w:jc w:val="both"/>
        <w:rPr>
          <w:rFonts w:eastAsia="Calibri"/>
          <w:b/>
          <w:i/>
        </w:rPr>
      </w:pPr>
      <w:r>
        <w:rPr>
          <w:b/>
          <w:i/>
        </w:rPr>
        <w:t>Acórdão de 1 de fevereiro de 2017, Município de Palmela, Processo C-144/16, EU:C:2017:76, n.</w:t>
      </w:r>
      <w:r>
        <w:rPr>
          <w:b/>
          <w:i/>
          <w:vertAlign w:val="superscript"/>
        </w:rPr>
        <w:t>os</w:t>
      </w:r>
      <w:r>
        <w:rPr>
          <w:b/>
          <w:i/>
        </w:rPr>
        <w:t> 35 a 38</w:t>
      </w:r>
    </w:p>
    <w:p w:rsidR="00143415" w:rsidRPr="00287FFE" w:rsidRDefault="00143415" w:rsidP="00143415">
      <w:pPr>
        <w:jc w:val="both"/>
      </w:pPr>
    </w:p>
    <w:p w:rsidR="00143415" w:rsidRPr="00287FFE" w:rsidRDefault="00CC592B" w:rsidP="00143415">
      <w:pPr>
        <w:jc w:val="both"/>
      </w:pPr>
      <w:r>
        <w:t>- O artigo 8.º, n.º 1, da Diretiva 98/34 deve ser interpretado no sentido de que a sanção da inoponibilidade de uma regra técnica não notificada afeta unicamente a referida regra técnica e não toda a legislação em que esta se contém.</w:t>
      </w:r>
    </w:p>
    <w:p w:rsidR="00143415" w:rsidRPr="006255E9" w:rsidRDefault="00143415" w:rsidP="00143415">
      <w:pPr>
        <w:jc w:val="both"/>
        <w:rPr>
          <w:rFonts w:eastAsia="Calibri"/>
        </w:rPr>
      </w:pPr>
    </w:p>
    <w:p w:rsidR="006255E9" w:rsidRDefault="006255E9" w:rsidP="006255E9">
      <w:pPr>
        <w:pStyle w:val="Style1"/>
      </w:pPr>
      <w:r>
        <w:br w:type="page"/>
      </w:r>
    </w:p>
    <w:p w:rsidR="00B65378" w:rsidRPr="006E49C8" w:rsidRDefault="00E96E31" w:rsidP="006255E9">
      <w:pPr>
        <w:pStyle w:val="Style1"/>
      </w:pPr>
      <w:bookmarkStart w:id="6" w:name="Third_heading"/>
      <w:r>
        <w:lastRenderedPageBreak/>
        <w:t>III. Incumprimento das obrigações por parte de um Estado-Membro</w:t>
      </w:r>
    </w:p>
    <w:bookmarkEnd w:id="6"/>
    <w:p w:rsidR="00143415" w:rsidRPr="00287FFE" w:rsidRDefault="00143415" w:rsidP="004A435C">
      <w:pPr>
        <w:jc w:val="both"/>
        <w:rPr>
          <w:rFonts w:eastAsia="Calibri"/>
          <w:b/>
          <w:i/>
        </w:rPr>
      </w:pPr>
    </w:p>
    <w:p w:rsidR="00EB4A26" w:rsidRPr="00287FFE" w:rsidRDefault="00EB4A26" w:rsidP="004A435C">
      <w:pPr>
        <w:jc w:val="both"/>
        <w:rPr>
          <w:rFonts w:eastAsia="Calibri"/>
          <w:b/>
          <w:i/>
        </w:rPr>
      </w:pPr>
      <w:r>
        <w:rPr>
          <w:b/>
          <w:i/>
        </w:rPr>
        <w:t>Acórdão de 4 de junho de 2009, Comissão contra Grécia, Processo C-109/08, EU:C:2009:346</w:t>
      </w:r>
    </w:p>
    <w:p w:rsidR="00E91B63" w:rsidRPr="00287FFE" w:rsidRDefault="00E91B63" w:rsidP="004A435C">
      <w:pPr>
        <w:jc w:val="both"/>
      </w:pPr>
    </w:p>
    <w:p w:rsidR="00EB4A26" w:rsidRPr="00287FFE" w:rsidRDefault="00CC592B" w:rsidP="004A435C">
      <w:pPr>
        <w:jc w:val="both"/>
      </w:pPr>
      <w:r>
        <w:t>- Não tendo modificado os artigos 2.º, n.º 1, e 3.º da Lei n.º 3037/2002, que estabelece uma proibição, sob pena da aplicação das sanções penais ou administrativas previstas nos artigos 4.º e 5.º da mesma lei, de instalar e de explorar qualquer tipo de jogos elétricos, eletromecânicos e eletrónicos, incluindo todos os jogos para computadores, em todos os lugares públicos ou privados, com exceção dos casinos, em conformidade com os artigos 28.º CE, 43.º CE e 49.º CE e do artigo 8.º da Diretiva 98/34/CE, a República Helénica não adotou todas as medidas que comporta a execução do acórdão de 26 de outubro de 2006, Comissão/Grécia (processo C</w:t>
      </w:r>
      <w:r>
        <w:noBreakHyphen/>
        <w:t>65/05), e, por este motivo, não cumpriu as obrigações que lhe incumbem por força do artigo 228.º CE.</w:t>
      </w:r>
    </w:p>
    <w:p w:rsidR="00EB4A26" w:rsidRPr="00287FFE" w:rsidRDefault="00EB4A26" w:rsidP="004A435C">
      <w:pPr>
        <w:jc w:val="both"/>
      </w:pPr>
    </w:p>
    <w:p w:rsidR="00EB4A26" w:rsidRPr="00287FFE" w:rsidRDefault="00EB4A26" w:rsidP="004A435C">
      <w:pPr>
        <w:jc w:val="both"/>
        <w:rPr>
          <w:rFonts w:eastAsia="Calibri"/>
          <w:b/>
          <w:i/>
        </w:rPr>
      </w:pPr>
      <w:r>
        <w:rPr>
          <w:b/>
          <w:i/>
        </w:rPr>
        <w:t>Acórdão de 8 de setembro de 2005, Comissão contra Portugal, Processo C-500/03, EU:C:2005:515</w:t>
      </w:r>
    </w:p>
    <w:p w:rsidR="00E91B63" w:rsidRPr="00287FFE" w:rsidRDefault="00E91B63" w:rsidP="004A435C">
      <w:pPr>
        <w:jc w:val="both"/>
      </w:pPr>
    </w:p>
    <w:p w:rsidR="00EB4A26" w:rsidRPr="00287FFE" w:rsidRDefault="00CC592B" w:rsidP="004A435C">
      <w:pPr>
        <w:jc w:val="both"/>
      </w:pPr>
      <w:r>
        <w:t>- Ao adotar a Portaria n.º 783/98 sem a ter notificado na fase de projeto à Comissão, a República Portuguesa não cumpriu as obrigações que lhe incumbem por força do artigo 8.º da Diretiva 98/34/CE.</w:t>
      </w:r>
    </w:p>
    <w:p w:rsidR="00B65378" w:rsidRPr="00287FFE" w:rsidRDefault="00B65378" w:rsidP="004A435C">
      <w:pPr>
        <w:pStyle w:val="NormalWeb"/>
        <w:spacing w:before="0" w:beforeAutospacing="0" w:after="0" w:afterAutospacing="0"/>
        <w:rPr>
          <w:rFonts w:eastAsia="Calibri"/>
          <w:b/>
          <w:i/>
        </w:rPr>
      </w:pPr>
    </w:p>
    <w:p w:rsidR="00EB4A26" w:rsidRPr="00287FFE" w:rsidRDefault="00EB4A26" w:rsidP="004A435C">
      <w:pPr>
        <w:pStyle w:val="NormalWeb"/>
        <w:spacing w:before="0" w:beforeAutospacing="0" w:after="0" w:afterAutospacing="0"/>
        <w:jc w:val="both"/>
        <w:rPr>
          <w:rFonts w:eastAsia="Calibri"/>
          <w:b/>
          <w:i/>
        </w:rPr>
      </w:pPr>
      <w:r>
        <w:rPr>
          <w:b/>
          <w:i/>
        </w:rPr>
        <w:t>Acórdão de 14 de julho de 1994, Comissão contra Países Baixos, Processo C-52/93, EU:C:1994:301</w:t>
      </w:r>
    </w:p>
    <w:p w:rsidR="00E91B63" w:rsidRPr="00287FFE" w:rsidRDefault="00E91B63" w:rsidP="004A435C">
      <w:pPr>
        <w:jc w:val="both"/>
      </w:pPr>
    </w:p>
    <w:p w:rsidR="00EB4A26" w:rsidRPr="00287FFE" w:rsidRDefault="00CC592B" w:rsidP="004A435C">
      <w:pPr>
        <w:jc w:val="both"/>
      </w:pPr>
      <w:r>
        <w:t>- Ao adotar uma alteração ao regulamento PVS sobre as normas de qualidade dos bolbos de flores sem a ter comunicado à Comissão na fase de projeto, o Reino dos Países Baixos não cumpriu as obrigações que lhe incumbem por força do artigo 8.º da diretiva.</w:t>
      </w:r>
    </w:p>
    <w:p w:rsidR="00EB4A26" w:rsidRPr="00287FFE" w:rsidRDefault="00EB4A26" w:rsidP="004A435C">
      <w:pPr>
        <w:pStyle w:val="NormalWeb"/>
        <w:spacing w:before="0" w:beforeAutospacing="0" w:after="0" w:afterAutospacing="0"/>
        <w:jc w:val="both"/>
        <w:rPr>
          <w:rFonts w:eastAsia="Calibri"/>
          <w:b/>
          <w:i/>
        </w:rPr>
      </w:pPr>
    </w:p>
    <w:p w:rsidR="00EB4A26" w:rsidRPr="00287FFE" w:rsidRDefault="00EB4A26" w:rsidP="004A435C">
      <w:pPr>
        <w:pStyle w:val="NormalWeb"/>
        <w:spacing w:before="0" w:beforeAutospacing="0" w:after="0" w:afterAutospacing="0"/>
        <w:jc w:val="both"/>
        <w:rPr>
          <w:rFonts w:eastAsia="Calibri"/>
          <w:b/>
          <w:i/>
        </w:rPr>
      </w:pPr>
      <w:r>
        <w:rPr>
          <w:b/>
          <w:i/>
        </w:rPr>
        <w:t>Acórdão de 14 de julho de 1994, Comissão contra Países Baixos, Processo C-61/93, EU:C:1994:302</w:t>
      </w:r>
    </w:p>
    <w:p w:rsidR="00E91B63" w:rsidRPr="00287FFE" w:rsidRDefault="00E91B63" w:rsidP="004A435C">
      <w:pPr>
        <w:jc w:val="both"/>
      </w:pPr>
    </w:p>
    <w:p w:rsidR="00EB4A26" w:rsidRPr="00287FFE" w:rsidRDefault="00CC592B" w:rsidP="004A435C">
      <w:pPr>
        <w:jc w:val="both"/>
      </w:pPr>
      <w:r>
        <w:t>- Ao adotar decisões relativas aos contadores de eletricidade, às condições de solidez das garrafas para bebidas refrescantes e à composição, classificação, embalagem e rotulagem dos pesticidas, sem as ter comunicado à Comissão na fase de projeto, o Reino dos Países Baixos não cumpriu as obrigações que lhe incumbem por força do artigo 8.º da diretiva.</w:t>
      </w:r>
    </w:p>
    <w:p w:rsidR="00EB4A26" w:rsidRPr="00287FFE" w:rsidRDefault="00EB4A26" w:rsidP="004A435C">
      <w:pPr>
        <w:jc w:val="both"/>
      </w:pPr>
    </w:p>
    <w:p w:rsidR="00EB4A26" w:rsidRPr="00287FFE" w:rsidRDefault="00EB4A26" w:rsidP="004A435C">
      <w:pPr>
        <w:pStyle w:val="NormalWeb"/>
        <w:spacing w:before="0" w:beforeAutospacing="0" w:after="0" w:afterAutospacing="0"/>
        <w:jc w:val="both"/>
        <w:rPr>
          <w:rFonts w:eastAsia="Calibri"/>
          <w:b/>
          <w:i/>
        </w:rPr>
      </w:pPr>
      <w:r>
        <w:rPr>
          <w:b/>
          <w:i/>
        </w:rPr>
        <w:t>Acórdão de 2 de agosto de 1993, Comissão contra Itália, Processo C-139/92, EU:C:1993:346</w:t>
      </w:r>
    </w:p>
    <w:p w:rsidR="00E91B63" w:rsidRPr="00287FFE" w:rsidRDefault="00E91B63" w:rsidP="004A435C">
      <w:pPr>
        <w:jc w:val="both"/>
      </w:pPr>
    </w:p>
    <w:p w:rsidR="00EB4A26" w:rsidRPr="00287FFE" w:rsidRDefault="00CC592B" w:rsidP="004A435C">
      <w:pPr>
        <w:jc w:val="both"/>
      </w:pPr>
      <w:r>
        <w:t>- Ao não comunicar, na fase de projeto, o Decreto ministerial n.º 514/87 relativo à definição e verificação da potência máxima de funcionamento, à construção e à instalação dos motores de barcos de recreio, a República Italiana não cumpriu as obrigações que lhe incumbem por força da diretiva.</w:t>
      </w:r>
    </w:p>
    <w:p w:rsidR="00EB4A26" w:rsidRPr="00287FFE" w:rsidRDefault="00EB4A26" w:rsidP="004A435C">
      <w:pPr>
        <w:rPr>
          <w:rFonts w:eastAsia="Calibri"/>
          <w:b/>
          <w:i/>
        </w:rPr>
      </w:pPr>
    </w:p>
    <w:p w:rsidR="009F2ED7" w:rsidRPr="00287FFE" w:rsidRDefault="009F2ED7" w:rsidP="004A435C">
      <w:pPr>
        <w:autoSpaceDE w:val="0"/>
        <w:autoSpaceDN w:val="0"/>
        <w:adjustRightInd w:val="0"/>
        <w:jc w:val="both"/>
      </w:pPr>
      <w:bookmarkStart w:id="7" w:name="_GoBack"/>
      <w:bookmarkEnd w:id="7"/>
    </w:p>
    <w:sectPr w:rsidR="009F2ED7" w:rsidRPr="00287FFE" w:rsidSect="0072090F">
      <w:footerReference w:type="default" r:id="rId8"/>
      <w:pgSz w:w="11906" w:h="16838" w:code="9"/>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872" w:rsidRDefault="001A1872" w:rsidP="00EB4A26">
      <w:r>
        <w:separator/>
      </w:r>
    </w:p>
  </w:endnote>
  <w:endnote w:type="continuationSeparator" w:id="0">
    <w:p w:rsidR="001A1872" w:rsidRDefault="001A1872" w:rsidP="00EB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347490"/>
      <w:docPartObj>
        <w:docPartGallery w:val="Page Numbers (Bottom of Page)"/>
        <w:docPartUnique/>
      </w:docPartObj>
    </w:sdtPr>
    <w:sdtEndPr>
      <w:rPr>
        <w:noProof/>
      </w:rPr>
    </w:sdtEndPr>
    <w:sdtContent>
      <w:p w:rsidR="00EB4A26" w:rsidRDefault="00EB4A26">
        <w:pPr>
          <w:pStyle w:val="Footer"/>
          <w:jc w:val="center"/>
        </w:pPr>
        <w:r>
          <w:fldChar w:fldCharType="begin"/>
        </w:r>
        <w:r>
          <w:instrText xml:space="preserve"> PAGE   \* MERGEFORMAT </w:instrText>
        </w:r>
        <w:r>
          <w:fldChar w:fldCharType="separate"/>
        </w:r>
        <w:r w:rsidR="00BC18A3">
          <w:rPr>
            <w:noProof/>
          </w:rPr>
          <w:t>15</w:t>
        </w:r>
        <w:r>
          <w:rPr>
            <w:noProof/>
          </w:rPr>
          <w:fldChar w:fldCharType="end"/>
        </w:r>
      </w:p>
    </w:sdtContent>
  </w:sdt>
  <w:p w:rsidR="00EB4A26" w:rsidRDefault="00EB4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872" w:rsidRDefault="001A1872" w:rsidP="00EB4A26">
      <w:r>
        <w:separator/>
      </w:r>
    </w:p>
  </w:footnote>
  <w:footnote w:type="continuationSeparator" w:id="0">
    <w:p w:rsidR="001A1872" w:rsidRDefault="001A1872" w:rsidP="00EB4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93F"/>
    <w:multiLevelType w:val="multilevel"/>
    <w:tmpl w:val="879E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460DD"/>
    <w:multiLevelType w:val="multilevel"/>
    <w:tmpl w:val="8A50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8568C"/>
    <w:multiLevelType w:val="hybridMultilevel"/>
    <w:tmpl w:val="8A4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B71AA"/>
    <w:multiLevelType w:val="multilevel"/>
    <w:tmpl w:val="8D5A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93406"/>
    <w:multiLevelType w:val="multilevel"/>
    <w:tmpl w:val="EF9E2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790962"/>
    <w:multiLevelType w:val="hybridMultilevel"/>
    <w:tmpl w:val="16123990"/>
    <w:lvl w:ilvl="0" w:tplc="3956F816">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7A2308"/>
    <w:multiLevelType w:val="hybridMultilevel"/>
    <w:tmpl w:val="74DEF5CE"/>
    <w:lvl w:ilvl="0" w:tplc="7D4C6448">
      <w:start w:val="1"/>
      <w:numFmt w:val="upperRoman"/>
      <w:lvlText w:val="%1."/>
      <w:lvlJc w:val="left"/>
      <w:pPr>
        <w:ind w:left="720" w:hanging="360"/>
      </w:pPr>
      <w:rPr>
        <w:rFonts w:ascii="Times New Roman" w:eastAsia="Times New Roman" w:hAnsi="Times New Roman" w:cs="Times New Roman"/>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4747ADC"/>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F34B9B"/>
    <w:multiLevelType w:val="hybridMultilevel"/>
    <w:tmpl w:val="6B90E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80C8B"/>
    <w:multiLevelType w:val="multilevel"/>
    <w:tmpl w:val="E61E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B40561"/>
    <w:multiLevelType w:val="hybridMultilevel"/>
    <w:tmpl w:val="0A10497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21956"/>
    <w:multiLevelType w:val="multilevel"/>
    <w:tmpl w:val="418A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26B37"/>
    <w:multiLevelType w:val="hybridMultilevel"/>
    <w:tmpl w:val="D5B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93ABF"/>
    <w:multiLevelType w:val="hybridMultilevel"/>
    <w:tmpl w:val="79F8AA08"/>
    <w:lvl w:ilvl="0" w:tplc="0809000B">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15:restartNumberingAfterBreak="0">
    <w:nsid w:val="58CC43F0"/>
    <w:multiLevelType w:val="hybridMultilevel"/>
    <w:tmpl w:val="2B98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B2A5E"/>
    <w:multiLevelType w:val="hybridMultilevel"/>
    <w:tmpl w:val="3504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F033C"/>
    <w:multiLevelType w:val="hybridMultilevel"/>
    <w:tmpl w:val="1E94781E"/>
    <w:lvl w:ilvl="0" w:tplc="593CBF5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C952FDF"/>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160AE8"/>
    <w:multiLevelType w:val="hybridMultilevel"/>
    <w:tmpl w:val="5D9EE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13"/>
  </w:num>
  <w:num w:numId="5">
    <w:abstractNumId w:val="18"/>
  </w:num>
  <w:num w:numId="6">
    <w:abstractNumId w:val="8"/>
  </w:num>
  <w:num w:numId="7">
    <w:abstractNumId w:val="8"/>
  </w:num>
  <w:num w:numId="8">
    <w:abstractNumId w:val="2"/>
  </w:num>
  <w:num w:numId="9">
    <w:abstractNumId w:val="12"/>
  </w:num>
  <w:num w:numId="10">
    <w:abstractNumId w:val="0"/>
  </w:num>
  <w:num w:numId="11">
    <w:abstractNumId w:val="4"/>
  </w:num>
  <w:num w:numId="12">
    <w:abstractNumId w:val="9"/>
  </w:num>
  <w:num w:numId="13">
    <w:abstractNumId w:val="11"/>
  </w:num>
  <w:num w:numId="14">
    <w:abstractNumId w:val="3"/>
  </w:num>
  <w:num w:numId="15">
    <w:abstractNumId w:val="1"/>
  </w:num>
  <w:num w:numId="16">
    <w:abstractNumId w:val="7"/>
  </w:num>
  <w:num w:numId="17">
    <w:abstractNumId w:val="17"/>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6317E"/>
    <w:rsid w:val="00001061"/>
    <w:rsid w:val="0000216A"/>
    <w:rsid w:val="00003D64"/>
    <w:rsid w:val="00004CBF"/>
    <w:rsid w:val="00005A4F"/>
    <w:rsid w:val="00005BB0"/>
    <w:rsid w:val="00006071"/>
    <w:rsid w:val="00006D1E"/>
    <w:rsid w:val="0001013A"/>
    <w:rsid w:val="0001341A"/>
    <w:rsid w:val="00013EF6"/>
    <w:rsid w:val="00020238"/>
    <w:rsid w:val="000203DE"/>
    <w:rsid w:val="0002124C"/>
    <w:rsid w:val="00021D87"/>
    <w:rsid w:val="0002216A"/>
    <w:rsid w:val="00022315"/>
    <w:rsid w:val="000254ED"/>
    <w:rsid w:val="0002571B"/>
    <w:rsid w:val="000323D8"/>
    <w:rsid w:val="00034C93"/>
    <w:rsid w:val="0003529A"/>
    <w:rsid w:val="000353E4"/>
    <w:rsid w:val="000365DF"/>
    <w:rsid w:val="000378E6"/>
    <w:rsid w:val="00037AB6"/>
    <w:rsid w:val="0004115C"/>
    <w:rsid w:val="0004262B"/>
    <w:rsid w:val="000473BF"/>
    <w:rsid w:val="0005334E"/>
    <w:rsid w:val="00053732"/>
    <w:rsid w:val="00057F41"/>
    <w:rsid w:val="0006337B"/>
    <w:rsid w:val="00064F37"/>
    <w:rsid w:val="000668BF"/>
    <w:rsid w:val="000672C4"/>
    <w:rsid w:val="000704B8"/>
    <w:rsid w:val="00071449"/>
    <w:rsid w:val="0007249B"/>
    <w:rsid w:val="000724B6"/>
    <w:rsid w:val="00073810"/>
    <w:rsid w:val="00074E3E"/>
    <w:rsid w:val="000764DC"/>
    <w:rsid w:val="00076580"/>
    <w:rsid w:val="00076D17"/>
    <w:rsid w:val="000821C3"/>
    <w:rsid w:val="00082CBC"/>
    <w:rsid w:val="00086C84"/>
    <w:rsid w:val="00093F34"/>
    <w:rsid w:val="00095A93"/>
    <w:rsid w:val="00097C79"/>
    <w:rsid w:val="000A0CF1"/>
    <w:rsid w:val="000A232B"/>
    <w:rsid w:val="000A55AB"/>
    <w:rsid w:val="000A6AA1"/>
    <w:rsid w:val="000B13F3"/>
    <w:rsid w:val="000B2BFD"/>
    <w:rsid w:val="000B40A2"/>
    <w:rsid w:val="000B4ED0"/>
    <w:rsid w:val="000B5F51"/>
    <w:rsid w:val="000B5F9C"/>
    <w:rsid w:val="000B7625"/>
    <w:rsid w:val="000C0603"/>
    <w:rsid w:val="000C09B4"/>
    <w:rsid w:val="000C1143"/>
    <w:rsid w:val="000C1AE6"/>
    <w:rsid w:val="000C1DC0"/>
    <w:rsid w:val="000C37B5"/>
    <w:rsid w:val="000C3D16"/>
    <w:rsid w:val="000C42F2"/>
    <w:rsid w:val="000C458E"/>
    <w:rsid w:val="000C4E5B"/>
    <w:rsid w:val="000C5600"/>
    <w:rsid w:val="000C5D52"/>
    <w:rsid w:val="000C5F10"/>
    <w:rsid w:val="000C75B8"/>
    <w:rsid w:val="000D1D81"/>
    <w:rsid w:val="000D2988"/>
    <w:rsid w:val="000D2ACC"/>
    <w:rsid w:val="000D2D6F"/>
    <w:rsid w:val="000D4950"/>
    <w:rsid w:val="000D4C4B"/>
    <w:rsid w:val="000D5A08"/>
    <w:rsid w:val="000D62DE"/>
    <w:rsid w:val="000D63FB"/>
    <w:rsid w:val="000D666A"/>
    <w:rsid w:val="000D6BA1"/>
    <w:rsid w:val="000E1FA4"/>
    <w:rsid w:val="000E33BE"/>
    <w:rsid w:val="000E3F76"/>
    <w:rsid w:val="000E4352"/>
    <w:rsid w:val="000E58C2"/>
    <w:rsid w:val="000E6B02"/>
    <w:rsid w:val="000E6C67"/>
    <w:rsid w:val="000F219C"/>
    <w:rsid w:val="000F2D7D"/>
    <w:rsid w:val="000F36BC"/>
    <w:rsid w:val="000F3C4E"/>
    <w:rsid w:val="000F51E4"/>
    <w:rsid w:val="000F5838"/>
    <w:rsid w:val="000F5E7B"/>
    <w:rsid w:val="000F71AC"/>
    <w:rsid w:val="000F7BB8"/>
    <w:rsid w:val="001008BF"/>
    <w:rsid w:val="001021B8"/>
    <w:rsid w:val="00104734"/>
    <w:rsid w:val="00106168"/>
    <w:rsid w:val="00107541"/>
    <w:rsid w:val="00107B6B"/>
    <w:rsid w:val="00110992"/>
    <w:rsid w:val="00110C62"/>
    <w:rsid w:val="0011175D"/>
    <w:rsid w:val="00111F84"/>
    <w:rsid w:val="0011486F"/>
    <w:rsid w:val="00115D8C"/>
    <w:rsid w:val="00116D48"/>
    <w:rsid w:val="0011737C"/>
    <w:rsid w:val="001175C7"/>
    <w:rsid w:val="0012113A"/>
    <w:rsid w:val="001229FB"/>
    <w:rsid w:val="00123A77"/>
    <w:rsid w:val="00124F51"/>
    <w:rsid w:val="001331F2"/>
    <w:rsid w:val="00133633"/>
    <w:rsid w:val="00133CB2"/>
    <w:rsid w:val="00133F82"/>
    <w:rsid w:val="001342C2"/>
    <w:rsid w:val="00135E01"/>
    <w:rsid w:val="00136F7B"/>
    <w:rsid w:val="00137279"/>
    <w:rsid w:val="00137F6C"/>
    <w:rsid w:val="00140D56"/>
    <w:rsid w:val="001413D9"/>
    <w:rsid w:val="00141AA6"/>
    <w:rsid w:val="00142A40"/>
    <w:rsid w:val="00143150"/>
    <w:rsid w:val="00143415"/>
    <w:rsid w:val="00143FEF"/>
    <w:rsid w:val="00144F98"/>
    <w:rsid w:val="00145C8F"/>
    <w:rsid w:val="00146AB1"/>
    <w:rsid w:val="00146E2D"/>
    <w:rsid w:val="0014798F"/>
    <w:rsid w:val="00152A31"/>
    <w:rsid w:val="00153A8A"/>
    <w:rsid w:val="00154C80"/>
    <w:rsid w:val="0015667B"/>
    <w:rsid w:val="00156926"/>
    <w:rsid w:val="00156AD6"/>
    <w:rsid w:val="00157E85"/>
    <w:rsid w:val="001605E5"/>
    <w:rsid w:val="00160B40"/>
    <w:rsid w:val="00160D67"/>
    <w:rsid w:val="00161163"/>
    <w:rsid w:val="0016213A"/>
    <w:rsid w:val="0016590E"/>
    <w:rsid w:val="00166070"/>
    <w:rsid w:val="0017190A"/>
    <w:rsid w:val="00173CE7"/>
    <w:rsid w:val="0017578C"/>
    <w:rsid w:val="00176402"/>
    <w:rsid w:val="00176428"/>
    <w:rsid w:val="0017652C"/>
    <w:rsid w:val="00176A87"/>
    <w:rsid w:val="00180E01"/>
    <w:rsid w:val="00183350"/>
    <w:rsid w:val="001839D4"/>
    <w:rsid w:val="001843E8"/>
    <w:rsid w:val="0018474D"/>
    <w:rsid w:val="00184E21"/>
    <w:rsid w:val="001866CB"/>
    <w:rsid w:val="00191A63"/>
    <w:rsid w:val="00193164"/>
    <w:rsid w:val="00194B5A"/>
    <w:rsid w:val="00195914"/>
    <w:rsid w:val="0019732F"/>
    <w:rsid w:val="00197642"/>
    <w:rsid w:val="00197D75"/>
    <w:rsid w:val="001A17CD"/>
    <w:rsid w:val="001A1872"/>
    <w:rsid w:val="001A4FCD"/>
    <w:rsid w:val="001A7CD7"/>
    <w:rsid w:val="001B3A56"/>
    <w:rsid w:val="001B4F04"/>
    <w:rsid w:val="001B5B20"/>
    <w:rsid w:val="001B6B9E"/>
    <w:rsid w:val="001B773B"/>
    <w:rsid w:val="001C2C5B"/>
    <w:rsid w:val="001C38B1"/>
    <w:rsid w:val="001C5560"/>
    <w:rsid w:val="001C7A85"/>
    <w:rsid w:val="001D04F5"/>
    <w:rsid w:val="001D14AC"/>
    <w:rsid w:val="001D2682"/>
    <w:rsid w:val="001D2F43"/>
    <w:rsid w:val="001D3BAB"/>
    <w:rsid w:val="001D3C61"/>
    <w:rsid w:val="001D51D4"/>
    <w:rsid w:val="001D5A82"/>
    <w:rsid w:val="001D729D"/>
    <w:rsid w:val="001E11D2"/>
    <w:rsid w:val="001E1750"/>
    <w:rsid w:val="001E17D6"/>
    <w:rsid w:val="001E18AA"/>
    <w:rsid w:val="001E3F53"/>
    <w:rsid w:val="001E7E25"/>
    <w:rsid w:val="001F0045"/>
    <w:rsid w:val="001F03CF"/>
    <w:rsid w:val="001F350F"/>
    <w:rsid w:val="001F3951"/>
    <w:rsid w:val="001F687F"/>
    <w:rsid w:val="001F6F39"/>
    <w:rsid w:val="002008BD"/>
    <w:rsid w:val="002024C0"/>
    <w:rsid w:val="0020273B"/>
    <w:rsid w:val="00206B71"/>
    <w:rsid w:val="00207A21"/>
    <w:rsid w:val="00207B86"/>
    <w:rsid w:val="0021100D"/>
    <w:rsid w:val="00211385"/>
    <w:rsid w:val="00211B90"/>
    <w:rsid w:val="0021222B"/>
    <w:rsid w:val="0021229D"/>
    <w:rsid w:val="00213582"/>
    <w:rsid w:val="002147B3"/>
    <w:rsid w:val="00216446"/>
    <w:rsid w:val="002174C4"/>
    <w:rsid w:val="002218B5"/>
    <w:rsid w:val="002224DB"/>
    <w:rsid w:val="00223AE7"/>
    <w:rsid w:val="00226F38"/>
    <w:rsid w:val="00227575"/>
    <w:rsid w:val="00227DF8"/>
    <w:rsid w:val="00230969"/>
    <w:rsid w:val="00231878"/>
    <w:rsid w:val="00231D43"/>
    <w:rsid w:val="00231E06"/>
    <w:rsid w:val="0023278D"/>
    <w:rsid w:val="00232843"/>
    <w:rsid w:val="00233277"/>
    <w:rsid w:val="00234445"/>
    <w:rsid w:val="0023493A"/>
    <w:rsid w:val="0023679B"/>
    <w:rsid w:val="00236977"/>
    <w:rsid w:val="0023717D"/>
    <w:rsid w:val="00237C22"/>
    <w:rsid w:val="0024001B"/>
    <w:rsid w:val="0024113A"/>
    <w:rsid w:val="00244505"/>
    <w:rsid w:val="00244845"/>
    <w:rsid w:val="002452F2"/>
    <w:rsid w:val="0024654F"/>
    <w:rsid w:val="00246CF9"/>
    <w:rsid w:val="00247A83"/>
    <w:rsid w:val="00253640"/>
    <w:rsid w:val="00254744"/>
    <w:rsid w:val="00255495"/>
    <w:rsid w:val="00256004"/>
    <w:rsid w:val="00256CF0"/>
    <w:rsid w:val="002570DE"/>
    <w:rsid w:val="002600B9"/>
    <w:rsid w:val="00260567"/>
    <w:rsid w:val="00263335"/>
    <w:rsid w:val="002634CF"/>
    <w:rsid w:val="00263DA5"/>
    <w:rsid w:val="00267140"/>
    <w:rsid w:val="00271415"/>
    <w:rsid w:val="00271BE6"/>
    <w:rsid w:val="002762DC"/>
    <w:rsid w:val="0027667C"/>
    <w:rsid w:val="00276BE7"/>
    <w:rsid w:val="00276EEA"/>
    <w:rsid w:val="00280B80"/>
    <w:rsid w:val="00280EBD"/>
    <w:rsid w:val="00282406"/>
    <w:rsid w:val="00283E1E"/>
    <w:rsid w:val="00284AF4"/>
    <w:rsid w:val="002865DA"/>
    <w:rsid w:val="00286BE9"/>
    <w:rsid w:val="00287043"/>
    <w:rsid w:val="00287835"/>
    <w:rsid w:val="00287FFE"/>
    <w:rsid w:val="00290D5C"/>
    <w:rsid w:val="0029157A"/>
    <w:rsid w:val="00294082"/>
    <w:rsid w:val="00294C5A"/>
    <w:rsid w:val="00295CA4"/>
    <w:rsid w:val="00296DD0"/>
    <w:rsid w:val="002A0523"/>
    <w:rsid w:val="002A0EAA"/>
    <w:rsid w:val="002A21FE"/>
    <w:rsid w:val="002A27F7"/>
    <w:rsid w:val="002A2BB6"/>
    <w:rsid w:val="002A3392"/>
    <w:rsid w:val="002A490A"/>
    <w:rsid w:val="002A5379"/>
    <w:rsid w:val="002A6092"/>
    <w:rsid w:val="002A638D"/>
    <w:rsid w:val="002B549C"/>
    <w:rsid w:val="002B56F5"/>
    <w:rsid w:val="002B5718"/>
    <w:rsid w:val="002B5C7A"/>
    <w:rsid w:val="002C230D"/>
    <w:rsid w:val="002D12B6"/>
    <w:rsid w:val="002D2E78"/>
    <w:rsid w:val="002D3122"/>
    <w:rsid w:val="002D3172"/>
    <w:rsid w:val="002D6018"/>
    <w:rsid w:val="002D67C0"/>
    <w:rsid w:val="002D6AE9"/>
    <w:rsid w:val="002D71DE"/>
    <w:rsid w:val="002E056C"/>
    <w:rsid w:val="002E0DA4"/>
    <w:rsid w:val="002E5F51"/>
    <w:rsid w:val="002E5FE0"/>
    <w:rsid w:val="002E66B1"/>
    <w:rsid w:val="002E6982"/>
    <w:rsid w:val="002F4579"/>
    <w:rsid w:val="002F7866"/>
    <w:rsid w:val="002F7A42"/>
    <w:rsid w:val="003013D1"/>
    <w:rsid w:val="00301535"/>
    <w:rsid w:val="00301FBE"/>
    <w:rsid w:val="00303A90"/>
    <w:rsid w:val="003045E2"/>
    <w:rsid w:val="003054FB"/>
    <w:rsid w:val="00306282"/>
    <w:rsid w:val="00306D42"/>
    <w:rsid w:val="00306EB6"/>
    <w:rsid w:val="00312F6D"/>
    <w:rsid w:val="00314C66"/>
    <w:rsid w:val="00314F6A"/>
    <w:rsid w:val="003164EF"/>
    <w:rsid w:val="00320765"/>
    <w:rsid w:val="00320A3B"/>
    <w:rsid w:val="003228C0"/>
    <w:rsid w:val="00323069"/>
    <w:rsid w:val="00323247"/>
    <w:rsid w:val="003245D5"/>
    <w:rsid w:val="00326F24"/>
    <w:rsid w:val="003305D3"/>
    <w:rsid w:val="0033121D"/>
    <w:rsid w:val="0033162E"/>
    <w:rsid w:val="00332E75"/>
    <w:rsid w:val="0034018C"/>
    <w:rsid w:val="003402C6"/>
    <w:rsid w:val="003430E9"/>
    <w:rsid w:val="00352D3E"/>
    <w:rsid w:val="00356040"/>
    <w:rsid w:val="00357620"/>
    <w:rsid w:val="00362B98"/>
    <w:rsid w:val="0036489D"/>
    <w:rsid w:val="00364E82"/>
    <w:rsid w:val="0036542B"/>
    <w:rsid w:val="00365F4E"/>
    <w:rsid w:val="00366AF5"/>
    <w:rsid w:val="00370196"/>
    <w:rsid w:val="00370572"/>
    <w:rsid w:val="003709DE"/>
    <w:rsid w:val="00371799"/>
    <w:rsid w:val="003722CF"/>
    <w:rsid w:val="00372321"/>
    <w:rsid w:val="0037265C"/>
    <w:rsid w:val="003728AD"/>
    <w:rsid w:val="00373A04"/>
    <w:rsid w:val="003743ED"/>
    <w:rsid w:val="00376020"/>
    <w:rsid w:val="00376314"/>
    <w:rsid w:val="00381B7E"/>
    <w:rsid w:val="003821E0"/>
    <w:rsid w:val="003838C0"/>
    <w:rsid w:val="003849D5"/>
    <w:rsid w:val="00392E48"/>
    <w:rsid w:val="00393425"/>
    <w:rsid w:val="003936BC"/>
    <w:rsid w:val="00393808"/>
    <w:rsid w:val="00394349"/>
    <w:rsid w:val="00394E50"/>
    <w:rsid w:val="00395B51"/>
    <w:rsid w:val="003971D7"/>
    <w:rsid w:val="00397977"/>
    <w:rsid w:val="00397E01"/>
    <w:rsid w:val="003A02C6"/>
    <w:rsid w:val="003A1F0F"/>
    <w:rsid w:val="003A1F7F"/>
    <w:rsid w:val="003A270A"/>
    <w:rsid w:val="003A273A"/>
    <w:rsid w:val="003A2E23"/>
    <w:rsid w:val="003A37DA"/>
    <w:rsid w:val="003A3C8D"/>
    <w:rsid w:val="003A44BE"/>
    <w:rsid w:val="003A4890"/>
    <w:rsid w:val="003A4E06"/>
    <w:rsid w:val="003A58CB"/>
    <w:rsid w:val="003A6F21"/>
    <w:rsid w:val="003A7576"/>
    <w:rsid w:val="003B081D"/>
    <w:rsid w:val="003B14C5"/>
    <w:rsid w:val="003B2D01"/>
    <w:rsid w:val="003B5436"/>
    <w:rsid w:val="003B5F65"/>
    <w:rsid w:val="003C0147"/>
    <w:rsid w:val="003C09E5"/>
    <w:rsid w:val="003C0AAE"/>
    <w:rsid w:val="003C19D8"/>
    <w:rsid w:val="003C2497"/>
    <w:rsid w:val="003C2F10"/>
    <w:rsid w:val="003C4EE3"/>
    <w:rsid w:val="003C5440"/>
    <w:rsid w:val="003C5ABC"/>
    <w:rsid w:val="003C61F7"/>
    <w:rsid w:val="003C7306"/>
    <w:rsid w:val="003C7B4C"/>
    <w:rsid w:val="003D08D3"/>
    <w:rsid w:val="003D2020"/>
    <w:rsid w:val="003D5A9A"/>
    <w:rsid w:val="003D609D"/>
    <w:rsid w:val="003D721F"/>
    <w:rsid w:val="003E03A6"/>
    <w:rsid w:val="003E087E"/>
    <w:rsid w:val="003E0C86"/>
    <w:rsid w:val="003E33AE"/>
    <w:rsid w:val="003E346A"/>
    <w:rsid w:val="003E6887"/>
    <w:rsid w:val="003E79AB"/>
    <w:rsid w:val="003F2E57"/>
    <w:rsid w:val="003F4A78"/>
    <w:rsid w:val="003F555E"/>
    <w:rsid w:val="003F58FA"/>
    <w:rsid w:val="003F79EB"/>
    <w:rsid w:val="00401E95"/>
    <w:rsid w:val="0040215C"/>
    <w:rsid w:val="00403A6E"/>
    <w:rsid w:val="00403FB9"/>
    <w:rsid w:val="0040461C"/>
    <w:rsid w:val="00405A98"/>
    <w:rsid w:val="004106D9"/>
    <w:rsid w:val="00410814"/>
    <w:rsid w:val="004158D1"/>
    <w:rsid w:val="00415E7C"/>
    <w:rsid w:val="00415FB6"/>
    <w:rsid w:val="0041718A"/>
    <w:rsid w:val="00417B6F"/>
    <w:rsid w:val="004225A1"/>
    <w:rsid w:val="004227D8"/>
    <w:rsid w:val="0042430E"/>
    <w:rsid w:val="00425C6E"/>
    <w:rsid w:val="00426A94"/>
    <w:rsid w:val="00426C08"/>
    <w:rsid w:val="00427946"/>
    <w:rsid w:val="00430EF2"/>
    <w:rsid w:val="0043133A"/>
    <w:rsid w:val="004330D3"/>
    <w:rsid w:val="00434E70"/>
    <w:rsid w:val="004355C5"/>
    <w:rsid w:val="00435DA0"/>
    <w:rsid w:val="00437E10"/>
    <w:rsid w:val="004412EC"/>
    <w:rsid w:val="00443091"/>
    <w:rsid w:val="00444B7F"/>
    <w:rsid w:val="00444D63"/>
    <w:rsid w:val="00446982"/>
    <w:rsid w:val="00446D6D"/>
    <w:rsid w:val="00450DBE"/>
    <w:rsid w:val="00450E17"/>
    <w:rsid w:val="00451A6E"/>
    <w:rsid w:val="00451A7A"/>
    <w:rsid w:val="00453162"/>
    <w:rsid w:val="00454B97"/>
    <w:rsid w:val="00455AC5"/>
    <w:rsid w:val="00457266"/>
    <w:rsid w:val="004633F3"/>
    <w:rsid w:val="0046487C"/>
    <w:rsid w:val="0046552E"/>
    <w:rsid w:val="00465834"/>
    <w:rsid w:val="00465919"/>
    <w:rsid w:val="004669D5"/>
    <w:rsid w:val="00466BB6"/>
    <w:rsid w:val="0047095B"/>
    <w:rsid w:val="00470EEE"/>
    <w:rsid w:val="00471200"/>
    <w:rsid w:val="00471443"/>
    <w:rsid w:val="00471D7B"/>
    <w:rsid w:val="00471E16"/>
    <w:rsid w:val="0047230C"/>
    <w:rsid w:val="004727D4"/>
    <w:rsid w:val="00472E25"/>
    <w:rsid w:val="00473F1E"/>
    <w:rsid w:val="0047526A"/>
    <w:rsid w:val="00475F1D"/>
    <w:rsid w:val="0047643C"/>
    <w:rsid w:val="00480FEE"/>
    <w:rsid w:val="0048236C"/>
    <w:rsid w:val="004840BC"/>
    <w:rsid w:val="00485B1B"/>
    <w:rsid w:val="00487340"/>
    <w:rsid w:val="00487F81"/>
    <w:rsid w:val="00490333"/>
    <w:rsid w:val="00490ACE"/>
    <w:rsid w:val="00491BDD"/>
    <w:rsid w:val="00492729"/>
    <w:rsid w:val="00493229"/>
    <w:rsid w:val="0049328D"/>
    <w:rsid w:val="00495EB8"/>
    <w:rsid w:val="004A09DC"/>
    <w:rsid w:val="004A1482"/>
    <w:rsid w:val="004A206E"/>
    <w:rsid w:val="004A3184"/>
    <w:rsid w:val="004A40CD"/>
    <w:rsid w:val="004A435C"/>
    <w:rsid w:val="004A4392"/>
    <w:rsid w:val="004A50B1"/>
    <w:rsid w:val="004A5874"/>
    <w:rsid w:val="004A6075"/>
    <w:rsid w:val="004A62D1"/>
    <w:rsid w:val="004B2FEE"/>
    <w:rsid w:val="004B3EEB"/>
    <w:rsid w:val="004B43A4"/>
    <w:rsid w:val="004B57ED"/>
    <w:rsid w:val="004B5A6F"/>
    <w:rsid w:val="004B7D22"/>
    <w:rsid w:val="004C0566"/>
    <w:rsid w:val="004C10C7"/>
    <w:rsid w:val="004C2FB3"/>
    <w:rsid w:val="004C3388"/>
    <w:rsid w:val="004C39F9"/>
    <w:rsid w:val="004C5577"/>
    <w:rsid w:val="004C6267"/>
    <w:rsid w:val="004C66CC"/>
    <w:rsid w:val="004C723C"/>
    <w:rsid w:val="004D0763"/>
    <w:rsid w:val="004D0E51"/>
    <w:rsid w:val="004D0F9D"/>
    <w:rsid w:val="004D11A7"/>
    <w:rsid w:val="004D185E"/>
    <w:rsid w:val="004D1BC8"/>
    <w:rsid w:val="004D3E0E"/>
    <w:rsid w:val="004D61A4"/>
    <w:rsid w:val="004D74F8"/>
    <w:rsid w:val="004D7516"/>
    <w:rsid w:val="004E0886"/>
    <w:rsid w:val="004E0A02"/>
    <w:rsid w:val="004E0D1F"/>
    <w:rsid w:val="004E1620"/>
    <w:rsid w:val="004E3048"/>
    <w:rsid w:val="004E349D"/>
    <w:rsid w:val="004E3A95"/>
    <w:rsid w:val="004E4145"/>
    <w:rsid w:val="004E499B"/>
    <w:rsid w:val="004E4D99"/>
    <w:rsid w:val="004E560E"/>
    <w:rsid w:val="004E7A6E"/>
    <w:rsid w:val="004F3046"/>
    <w:rsid w:val="004F3DA9"/>
    <w:rsid w:val="004F7446"/>
    <w:rsid w:val="005004CE"/>
    <w:rsid w:val="005008FD"/>
    <w:rsid w:val="00500911"/>
    <w:rsid w:val="00500EFD"/>
    <w:rsid w:val="005012C4"/>
    <w:rsid w:val="00501385"/>
    <w:rsid w:val="00501CCC"/>
    <w:rsid w:val="005023E8"/>
    <w:rsid w:val="00505AA5"/>
    <w:rsid w:val="0050600B"/>
    <w:rsid w:val="00506858"/>
    <w:rsid w:val="00511EB8"/>
    <w:rsid w:val="00513078"/>
    <w:rsid w:val="0051458B"/>
    <w:rsid w:val="0051797C"/>
    <w:rsid w:val="005179CD"/>
    <w:rsid w:val="00520E1A"/>
    <w:rsid w:val="0052217E"/>
    <w:rsid w:val="00522226"/>
    <w:rsid w:val="005229EF"/>
    <w:rsid w:val="00522CDF"/>
    <w:rsid w:val="0052407E"/>
    <w:rsid w:val="00525D1B"/>
    <w:rsid w:val="005262A5"/>
    <w:rsid w:val="00526ED3"/>
    <w:rsid w:val="005275C4"/>
    <w:rsid w:val="00531380"/>
    <w:rsid w:val="00531602"/>
    <w:rsid w:val="00535E88"/>
    <w:rsid w:val="0053686D"/>
    <w:rsid w:val="00536962"/>
    <w:rsid w:val="005370E6"/>
    <w:rsid w:val="00537550"/>
    <w:rsid w:val="00540CB1"/>
    <w:rsid w:val="005419BF"/>
    <w:rsid w:val="00543B20"/>
    <w:rsid w:val="00543EE0"/>
    <w:rsid w:val="0054723C"/>
    <w:rsid w:val="005472E2"/>
    <w:rsid w:val="005504BE"/>
    <w:rsid w:val="00550EF5"/>
    <w:rsid w:val="005522CC"/>
    <w:rsid w:val="005526D3"/>
    <w:rsid w:val="00553BDF"/>
    <w:rsid w:val="00554EC4"/>
    <w:rsid w:val="005556D4"/>
    <w:rsid w:val="005604E4"/>
    <w:rsid w:val="00561589"/>
    <w:rsid w:val="005617A2"/>
    <w:rsid w:val="00561D57"/>
    <w:rsid w:val="00562A09"/>
    <w:rsid w:val="00567D3C"/>
    <w:rsid w:val="0057023F"/>
    <w:rsid w:val="00570BD2"/>
    <w:rsid w:val="00571003"/>
    <w:rsid w:val="00572EB4"/>
    <w:rsid w:val="00573284"/>
    <w:rsid w:val="00577351"/>
    <w:rsid w:val="00582703"/>
    <w:rsid w:val="00582728"/>
    <w:rsid w:val="005839D8"/>
    <w:rsid w:val="0058687B"/>
    <w:rsid w:val="00586E2A"/>
    <w:rsid w:val="005917E1"/>
    <w:rsid w:val="0059440D"/>
    <w:rsid w:val="0059468A"/>
    <w:rsid w:val="00595550"/>
    <w:rsid w:val="00595C10"/>
    <w:rsid w:val="00596AA2"/>
    <w:rsid w:val="0059721A"/>
    <w:rsid w:val="005972BF"/>
    <w:rsid w:val="00597998"/>
    <w:rsid w:val="005A1988"/>
    <w:rsid w:val="005A24D0"/>
    <w:rsid w:val="005A6E3A"/>
    <w:rsid w:val="005A7912"/>
    <w:rsid w:val="005B146F"/>
    <w:rsid w:val="005B1B0C"/>
    <w:rsid w:val="005B1FB0"/>
    <w:rsid w:val="005B21F8"/>
    <w:rsid w:val="005B2377"/>
    <w:rsid w:val="005B2B24"/>
    <w:rsid w:val="005B3A95"/>
    <w:rsid w:val="005B50FC"/>
    <w:rsid w:val="005B6DED"/>
    <w:rsid w:val="005B7967"/>
    <w:rsid w:val="005B7990"/>
    <w:rsid w:val="005C03D5"/>
    <w:rsid w:val="005C0F87"/>
    <w:rsid w:val="005C23B3"/>
    <w:rsid w:val="005C32A5"/>
    <w:rsid w:val="005C46E3"/>
    <w:rsid w:val="005C485A"/>
    <w:rsid w:val="005C532D"/>
    <w:rsid w:val="005C54BF"/>
    <w:rsid w:val="005C58E9"/>
    <w:rsid w:val="005C7C57"/>
    <w:rsid w:val="005D115A"/>
    <w:rsid w:val="005D1439"/>
    <w:rsid w:val="005D1A70"/>
    <w:rsid w:val="005D2E0B"/>
    <w:rsid w:val="005D4123"/>
    <w:rsid w:val="005D4D8C"/>
    <w:rsid w:val="005D5206"/>
    <w:rsid w:val="005D6A5B"/>
    <w:rsid w:val="005D7E48"/>
    <w:rsid w:val="005E0F3A"/>
    <w:rsid w:val="005E1282"/>
    <w:rsid w:val="005E17EB"/>
    <w:rsid w:val="005E23DC"/>
    <w:rsid w:val="005E2E19"/>
    <w:rsid w:val="005E3F2F"/>
    <w:rsid w:val="005E4DF8"/>
    <w:rsid w:val="005E5803"/>
    <w:rsid w:val="005E58C1"/>
    <w:rsid w:val="005E7A72"/>
    <w:rsid w:val="005F0E89"/>
    <w:rsid w:val="005F17DA"/>
    <w:rsid w:val="005F1AE9"/>
    <w:rsid w:val="005F34FC"/>
    <w:rsid w:val="005F556D"/>
    <w:rsid w:val="005F6278"/>
    <w:rsid w:val="005F66DE"/>
    <w:rsid w:val="005F6730"/>
    <w:rsid w:val="005F68B8"/>
    <w:rsid w:val="00600D1E"/>
    <w:rsid w:val="00601E97"/>
    <w:rsid w:val="00602381"/>
    <w:rsid w:val="00604081"/>
    <w:rsid w:val="00605D08"/>
    <w:rsid w:val="00606435"/>
    <w:rsid w:val="006067BB"/>
    <w:rsid w:val="006104B1"/>
    <w:rsid w:val="00610CAC"/>
    <w:rsid w:val="006112EA"/>
    <w:rsid w:val="006122FD"/>
    <w:rsid w:val="006200AE"/>
    <w:rsid w:val="006201D8"/>
    <w:rsid w:val="00620C0F"/>
    <w:rsid w:val="00620C97"/>
    <w:rsid w:val="00622276"/>
    <w:rsid w:val="00622361"/>
    <w:rsid w:val="006226C5"/>
    <w:rsid w:val="00622C2B"/>
    <w:rsid w:val="00623D15"/>
    <w:rsid w:val="00625559"/>
    <w:rsid w:val="006255E9"/>
    <w:rsid w:val="006305B3"/>
    <w:rsid w:val="00631279"/>
    <w:rsid w:val="00631908"/>
    <w:rsid w:val="00631994"/>
    <w:rsid w:val="00632A05"/>
    <w:rsid w:val="00632D39"/>
    <w:rsid w:val="00633FEF"/>
    <w:rsid w:val="00635730"/>
    <w:rsid w:val="006359EE"/>
    <w:rsid w:val="006402FA"/>
    <w:rsid w:val="00641E12"/>
    <w:rsid w:val="006434AC"/>
    <w:rsid w:val="00643957"/>
    <w:rsid w:val="006439E5"/>
    <w:rsid w:val="006439EC"/>
    <w:rsid w:val="00643D8D"/>
    <w:rsid w:val="00645A43"/>
    <w:rsid w:val="00645FDE"/>
    <w:rsid w:val="006466FA"/>
    <w:rsid w:val="00646D0E"/>
    <w:rsid w:val="00647049"/>
    <w:rsid w:val="006514E0"/>
    <w:rsid w:val="0065347B"/>
    <w:rsid w:val="00654D5F"/>
    <w:rsid w:val="00655E94"/>
    <w:rsid w:val="00656126"/>
    <w:rsid w:val="00656B6A"/>
    <w:rsid w:val="00660A41"/>
    <w:rsid w:val="0066233D"/>
    <w:rsid w:val="00662E1F"/>
    <w:rsid w:val="006637D3"/>
    <w:rsid w:val="00663A27"/>
    <w:rsid w:val="006655CD"/>
    <w:rsid w:val="00665682"/>
    <w:rsid w:val="006658E1"/>
    <w:rsid w:val="00666876"/>
    <w:rsid w:val="00666F42"/>
    <w:rsid w:val="00667838"/>
    <w:rsid w:val="00671D2B"/>
    <w:rsid w:val="006745C8"/>
    <w:rsid w:val="0067744D"/>
    <w:rsid w:val="006801F8"/>
    <w:rsid w:val="00680564"/>
    <w:rsid w:val="00680C87"/>
    <w:rsid w:val="00680FE5"/>
    <w:rsid w:val="00683119"/>
    <w:rsid w:val="00683BDF"/>
    <w:rsid w:val="006869BB"/>
    <w:rsid w:val="00686CD2"/>
    <w:rsid w:val="00690045"/>
    <w:rsid w:val="00691C91"/>
    <w:rsid w:val="00693DDF"/>
    <w:rsid w:val="00694A17"/>
    <w:rsid w:val="006A01FD"/>
    <w:rsid w:val="006A05AC"/>
    <w:rsid w:val="006A0C16"/>
    <w:rsid w:val="006A2DE2"/>
    <w:rsid w:val="006A40A7"/>
    <w:rsid w:val="006A4C68"/>
    <w:rsid w:val="006A5493"/>
    <w:rsid w:val="006A5956"/>
    <w:rsid w:val="006A709A"/>
    <w:rsid w:val="006B09F3"/>
    <w:rsid w:val="006B1073"/>
    <w:rsid w:val="006B2070"/>
    <w:rsid w:val="006B2DC7"/>
    <w:rsid w:val="006B5007"/>
    <w:rsid w:val="006B5CF4"/>
    <w:rsid w:val="006B71F3"/>
    <w:rsid w:val="006C0145"/>
    <w:rsid w:val="006C08BB"/>
    <w:rsid w:val="006C5EED"/>
    <w:rsid w:val="006C6713"/>
    <w:rsid w:val="006C6E0B"/>
    <w:rsid w:val="006C7E33"/>
    <w:rsid w:val="006D0520"/>
    <w:rsid w:val="006D0C78"/>
    <w:rsid w:val="006D0EBA"/>
    <w:rsid w:val="006D1764"/>
    <w:rsid w:val="006D34AE"/>
    <w:rsid w:val="006D44A0"/>
    <w:rsid w:val="006D565E"/>
    <w:rsid w:val="006D6908"/>
    <w:rsid w:val="006E44E0"/>
    <w:rsid w:val="006E49C8"/>
    <w:rsid w:val="006E598A"/>
    <w:rsid w:val="006E59B9"/>
    <w:rsid w:val="006E6305"/>
    <w:rsid w:val="006E6F8F"/>
    <w:rsid w:val="006F057E"/>
    <w:rsid w:val="006F120D"/>
    <w:rsid w:val="006F2BA9"/>
    <w:rsid w:val="006F2F1B"/>
    <w:rsid w:val="006F3426"/>
    <w:rsid w:val="006F48F1"/>
    <w:rsid w:val="006F6D75"/>
    <w:rsid w:val="006F6E0B"/>
    <w:rsid w:val="006F6F66"/>
    <w:rsid w:val="006F77B9"/>
    <w:rsid w:val="006F798D"/>
    <w:rsid w:val="007020A1"/>
    <w:rsid w:val="0070388D"/>
    <w:rsid w:val="00704722"/>
    <w:rsid w:val="00704941"/>
    <w:rsid w:val="00705BB6"/>
    <w:rsid w:val="00706848"/>
    <w:rsid w:val="00706B6A"/>
    <w:rsid w:val="00707BB3"/>
    <w:rsid w:val="0071077A"/>
    <w:rsid w:val="00710CDF"/>
    <w:rsid w:val="00710D51"/>
    <w:rsid w:val="00712EB6"/>
    <w:rsid w:val="00715353"/>
    <w:rsid w:val="0072090F"/>
    <w:rsid w:val="0072211D"/>
    <w:rsid w:val="007230F4"/>
    <w:rsid w:val="00724200"/>
    <w:rsid w:val="0072557D"/>
    <w:rsid w:val="00725B28"/>
    <w:rsid w:val="007263E8"/>
    <w:rsid w:val="00726AB0"/>
    <w:rsid w:val="007315F6"/>
    <w:rsid w:val="00731760"/>
    <w:rsid w:val="00731806"/>
    <w:rsid w:val="007341C9"/>
    <w:rsid w:val="007369F2"/>
    <w:rsid w:val="0073703B"/>
    <w:rsid w:val="00741B55"/>
    <w:rsid w:val="00742520"/>
    <w:rsid w:val="00742782"/>
    <w:rsid w:val="00742E99"/>
    <w:rsid w:val="00742F67"/>
    <w:rsid w:val="00744905"/>
    <w:rsid w:val="007449EC"/>
    <w:rsid w:val="00745DE3"/>
    <w:rsid w:val="00746672"/>
    <w:rsid w:val="00746860"/>
    <w:rsid w:val="00747172"/>
    <w:rsid w:val="00751736"/>
    <w:rsid w:val="007539A6"/>
    <w:rsid w:val="007548AA"/>
    <w:rsid w:val="00756AF1"/>
    <w:rsid w:val="00757331"/>
    <w:rsid w:val="007605AD"/>
    <w:rsid w:val="00760DA9"/>
    <w:rsid w:val="00761AC6"/>
    <w:rsid w:val="007620C1"/>
    <w:rsid w:val="00763BF2"/>
    <w:rsid w:val="007657CB"/>
    <w:rsid w:val="00766A84"/>
    <w:rsid w:val="00766EE3"/>
    <w:rsid w:val="007704EB"/>
    <w:rsid w:val="007714EE"/>
    <w:rsid w:val="00771D3C"/>
    <w:rsid w:val="00772D10"/>
    <w:rsid w:val="007734A1"/>
    <w:rsid w:val="00775685"/>
    <w:rsid w:val="007842D7"/>
    <w:rsid w:val="00784782"/>
    <w:rsid w:val="0078583E"/>
    <w:rsid w:val="0078653E"/>
    <w:rsid w:val="007878D2"/>
    <w:rsid w:val="0079114F"/>
    <w:rsid w:val="00794472"/>
    <w:rsid w:val="00794EDF"/>
    <w:rsid w:val="00796A9F"/>
    <w:rsid w:val="00797008"/>
    <w:rsid w:val="00797707"/>
    <w:rsid w:val="007A1B19"/>
    <w:rsid w:val="007A2C4F"/>
    <w:rsid w:val="007A408F"/>
    <w:rsid w:val="007A5B00"/>
    <w:rsid w:val="007A5B63"/>
    <w:rsid w:val="007A6C24"/>
    <w:rsid w:val="007A70A3"/>
    <w:rsid w:val="007B0F6D"/>
    <w:rsid w:val="007B189A"/>
    <w:rsid w:val="007B3817"/>
    <w:rsid w:val="007B4371"/>
    <w:rsid w:val="007B56F1"/>
    <w:rsid w:val="007C234C"/>
    <w:rsid w:val="007C2478"/>
    <w:rsid w:val="007C40F8"/>
    <w:rsid w:val="007C4FE1"/>
    <w:rsid w:val="007C51E5"/>
    <w:rsid w:val="007C570D"/>
    <w:rsid w:val="007C5B3E"/>
    <w:rsid w:val="007C6A07"/>
    <w:rsid w:val="007D0D2F"/>
    <w:rsid w:val="007D1273"/>
    <w:rsid w:val="007D3CDE"/>
    <w:rsid w:val="007D4B1C"/>
    <w:rsid w:val="007E134E"/>
    <w:rsid w:val="007E4149"/>
    <w:rsid w:val="007E7F56"/>
    <w:rsid w:val="007F0F9C"/>
    <w:rsid w:val="007F2494"/>
    <w:rsid w:val="007F571A"/>
    <w:rsid w:val="007F5C7F"/>
    <w:rsid w:val="00800763"/>
    <w:rsid w:val="008038DE"/>
    <w:rsid w:val="00803E6D"/>
    <w:rsid w:val="00804D1A"/>
    <w:rsid w:val="00804FE1"/>
    <w:rsid w:val="00806F5F"/>
    <w:rsid w:val="0081123B"/>
    <w:rsid w:val="00811540"/>
    <w:rsid w:val="00811CE7"/>
    <w:rsid w:val="00811D79"/>
    <w:rsid w:val="0081260C"/>
    <w:rsid w:val="00813BFA"/>
    <w:rsid w:val="008173F0"/>
    <w:rsid w:val="00817892"/>
    <w:rsid w:val="0082458D"/>
    <w:rsid w:val="00830235"/>
    <w:rsid w:val="00830D21"/>
    <w:rsid w:val="00831618"/>
    <w:rsid w:val="008317EA"/>
    <w:rsid w:val="0083346F"/>
    <w:rsid w:val="008339AE"/>
    <w:rsid w:val="00833B80"/>
    <w:rsid w:val="00837836"/>
    <w:rsid w:val="00840603"/>
    <w:rsid w:val="00840ECC"/>
    <w:rsid w:val="008410C2"/>
    <w:rsid w:val="008412D3"/>
    <w:rsid w:val="008421AB"/>
    <w:rsid w:val="008446F8"/>
    <w:rsid w:val="00844B29"/>
    <w:rsid w:val="00845DCE"/>
    <w:rsid w:val="00846C76"/>
    <w:rsid w:val="00851450"/>
    <w:rsid w:val="00851842"/>
    <w:rsid w:val="00851CAB"/>
    <w:rsid w:val="00856222"/>
    <w:rsid w:val="008564FB"/>
    <w:rsid w:val="00857F3C"/>
    <w:rsid w:val="00860D5B"/>
    <w:rsid w:val="008643E7"/>
    <w:rsid w:val="00864AD3"/>
    <w:rsid w:val="00864CF4"/>
    <w:rsid w:val="00864D68"/>
    <w:rsid w:val="0086578A"/>
    <w:rsid w:val="00867209"/>
    <w:rsid w:val="00867788"/>
    <w:rsid w:val="00871AE5"/>
    <w:rsid w:val="00872563"/>
    <w:rsid w:val="00872D99"/>
    <w:rsid w:val="00873AAC"/>
    <w:rsid w:val="00874910"/>
    <w:rsid w:val="0087534E"/>
    <w:rsid w:val="00875B38"/>
    <w:rsid w:val="00876B15"/>
    <w:rsid w:val="008800F2"/>
    <w:rsid w:val="008808CA"/>
    <w:rsid w:val="00882903"/>
    <w:rsid w:val="008829A7"/>
    <w:rsid w:val="008844C1"/>
    <w:rsid w:val="00887074"/>
    <w:rsid w:val="008901A8"/>
    <w:rsid w:val="008910ED"/>
    <w:rsid w:val="0089170C"/>
    <w:rsid w:val="00893549"/>
    <w:rsid w:val="00894202"/>
    <w:rsid w:val="008949DE"/>
    <w:rsid w:val="008958F9"/>
    <w:rsid w:val="00895BF1"/>
    <w:rsid w:val="008961B1"/>
    <w:rsid w:val="008A03A5"/>
    <w:rsid w:val="008A7520"/>
    <w:rsid w:val="008B1D23"/>
    <w:rsid w:val="008B1FEF"/>
    <w:rsid w:val="008B21D7"/>
    <w:rsid w:val="008B263A"/>
    <w:rsid w:val="008B3307"/>
    <w:rsid w:val="008B331F"/>
    <w:rsid w:val="008B3B3E"/>
    <w:rsid w:val="008B5C0D"/>
    <w:rsid w:val="008B6A07"/>
    <w:rsid w:val="008B7306"/>
    <w:rsid w:val="008B7737"/>
    <w:rsid w:val="008C1807"/>
    <w:rsid w:val="008C2FCE"/>
    <w:rsid w:val="008C6F31"/>
    <w:rsid w:val="008C7C3C"/>
    <w:rsid w:val="008D1553"/>
    <w:rsid w:val="008D18FF"/>
    <w:rsid w:val="008D1F8A"/>
    <w:rsid w:val="008D3DFA"/>
    <w:rsid w:val="008D54B2"/>
    <w:rsid w:val="008D7827"/>
    <w:rsid w:val="008E0382"/>
    <w:rsid w:val="008E141F"/>
    <w:rsid w:val="008E2C52"/>
    <w:rsid w:val="008E3398"/>
    <w:rsid w:val="008E4A20"/>
    <w:rsid w:val="008E6CF1"/>
    <w:rsid w:val="008E783A"/>
    <w:rsid w:val="008F01F8"/>
    <w:rsid w:val="008F04B7"/>
    <w:rsid w:val="008F3C5E"/>
    <w:rsid w:val="008F4153"/>
    <w:rsid w:val="008F4525"/>
    <w:rsid w:val="008F4EB3"/>
    <w:rsid w:val="0090063F"/>
    <w:rsid w:val="00900BA3"/>
    <w:rsid w:val="00901E46"/>
    <w:rsid w:val="00903842"/>
    <w:rsid w:val="00904766"/>
    <w:rsid w:val="009066A1"/>
    <w:rsid w:val="00915041"/>
    <w:rsid w:val="00915920"/>
    <w:rsid w:val="00915E34"/>
    <w:rsid w:val="0091613B"/>
    <w:rsid w:val="0091686C"/>
    <w:rsid w:val="00917126"/>
    <w:rsid w:val="00917D39"/>
    <w:rsid w:val="00917FA0"/>
    <w:rsid w:val="009204FA"/>
    <w:rsid w:val="00922D4B"/>
    <w:rsid w:val="009232CC"/>
    <w:rsid w:val="00923300"/>
    <w:rsid w:val="00923A1D"/>
    <w:rsid w:val="00924161"/>
    <w:rsid w:val="00924672"/>
    <w:rsid w:val="009246AD"/>
    <w:rsid w:val="0092694C"/>
    <w:rsid w:val="009278C5"/>
    <w:rsid w:val="00927E04"/>
    <w:rsid w:val="00930952"/>
    <w:rsid w:val="0093133F"/>
    <w:rsid w:val="009328D1"/>
    <w:rsid w:val="00933A8E"/>
    <w:rsid w:val="009342D4"/>
    <w:rsid w:val="0093785F"/>
    <w:rsid w:val="00944978"/>
    <w:rsid w:val="00945867"/>
    <w:rsid w:val="00945B0F"/>
    <w:rsid w:val="009460C6"/>
    <w:rsid w:val="009475CB"/>
    <w:rsid w:val="009526E1"/>
    <w:rsid w:val="00952DA9"/>
    <w:rsid w:val="00952F8E"/>
    <w:rsid w:val="0095320F"/>
    <w:rsid w:val="009568D5"/>
    <w:rsid w:val="009605CD"/>
    <w:rsid w:val="009613F1"/>
    <w:rsid w:val="00971398"/>
    <w:rsid w:val="00971E63"/>
    <w:rsid w:val="00971FAA"/>
    <w:rsid w:val="00980391"/>
    <w:rsid w:val="00981FE6"/>
    <w:rsid w:val="00982E17"/>
    <w:rsid w:val="0098350F"/>
    <w:rsid w:val="00985A82"/>
    <w:rsid w:val="009871A5"/>
    <w:rsid w:val="00990C79"/>
    <w:rsid w:val="009924E9"/>
    <w:rsid w:val="009933B0"/>
    <w:rsid w:val="00997F4A"/>
    <w:rsid w:val="009A33A0"/>
    <w:rsid w:val="009A534B"/>
    <w:rsid w:val="009A5588"/>
    <w:rsid w:val="009B0C0C"/>
    <w:rsid w:val="009B0DE8"/>
    <w:rsid w:val="009B2F9E"/>
    <w:rsid w:val="009B3685"/>
    <w:rsid w:val="009B38A3"/>
    <w:rsid w:val="009B4649"/>
    <w:rsid w:val="009B5141"/>
    <w:rsid w:val="009B6E1D"/>
    <w:rsid w:val="009B6ED4"/>
    <w:rsid w:val="009C0186"/>
    <w:rsid w:val="009C07A5"/>
    <w:rsid w:val="009C0E5C"/>
    <w:rsid w:val="009C1116"/>
    <w:rsid w:val="009C1143"/>
    <w:rsid w:val="009C1E19"/>
    <w:rsid w:val="009C235F"/>
    <w:rsid w:val="009C4574"/>
    <w:rsid w:val="009C5A6C"/>
    <w:rsid w:val="009C6451"/>
    <w:rsid w:val="009C7A3E"/>
    <w:rsid w:val="009D146B"/>
    <w:rsid w:val="009D158C"/>
    <w:rsid w:val="009D4D1E"/>
    <w:rsid w:val="009D78F3"/>
    <w:rsid w:val="009E03F2"/>
    <w:rsid w:val="009E0C55"/>
    <w:rsid w:val="009E11CB"/>
    <w:rsid w:val="009E1DBB"/>
    <w:rsid w:val="009E2792"/>
    <w:rsid w:val="009E27E4"/>
    <w:rsid w:val="009E4C7D"/>
    <w:rsid w:val="009E5008"/>
    <w:rsid w:val="009E553E"/>
    <w:rsid w:val="009E7B43"/>
    <w:rsid w:val="009F0325"/>
    <w:rsid w:val="009F0A47"/>
    <w:rsid w:val="009F103F"/>
    <w:rsid w:val="009F25AD"/>
    <w:rsid w:val="009F2ED7"/>
    <w:rsid w:val="009F372A"/>
    <w:rsid w:val="009F4502"/>
    <w:rsid w:val="009F46BE"/>
    <w:rsid w:val="009F4B70"/>
    <w:rsid w:val="009F55F2"/>
    <w:rsid w:val="009F64FF"/>
    <w:rsid w:val="00A030BB"/>
    <w:rsid w:val="00A04853"/>
    <w:rsid w:val="00A0599B"/>
    <w:rsid w:val="00A104A4"/>
    <w:rsid w:val="00A109F5"/>
    <w:rsid w:val="00A11E35"/>
    <w:rsid w:val="00A12667"/>
    <w:rsid w:val="00A136B3"/>
    <w:rsid w:val="00A13F10"/>
    <w:rsid w:val="00A1537D"/>
    <w:rsid w:val="00A16A10"/>
    <w:rsid w:val="00A16A52"/>
    <w:rsid w:val="00A1792F"/>
    <w:rsid w:val="00A23B6A"/>
    <w:rsid w:val="00A241D1"/>
    <w:rsid w:val="00A2494E"/>
    <w:rsid w:val="00A30FFA"/>
    <w:rsid w:val="00A33C52"/>
    <w:rsid w:val="00A3563D"/>
    <w:rsid w:val="00A367FB"/>
    <w:rsid w:val="00A4039E"/>
    <w:rsid w:val="00A43DCA"/>
    <w:rsid w:val="00A46659"/>
    <w:rsid w:val="00A47BF9"/>
    <w:rsid w:val="00A505BE"/>
    <w:rsid w:val="00A50A35"/>
    <w:rsid w:val="00A50FE0"/>
    <w:rsid w:val="00A5102A"/>
    <w:rsid w:val="00A51759"/>
    <w:rsid w:val="00A5260C"/>
    <w:rsid w:val="00A56242"/>
    <w:rsid w:val="00A567DB"/>
    <w:rsid w:val="00A60BFA"/>
    <w:rsid w:val="00A63D17"/>
    <w:rsid w:val="00A64022"/>
    <w:rsid w:val="00A6459F"/>
    <w:rsid w:val="00A64FC5"/>
    <w:rsid w:val="00A65BCC"/>
    <w:rsid w:val="00A65D77"/>
    <w:rsid w:val="00A66951"/>
    <w:rsid w:val="00A66D04"/>
    <w:rsid w:val="00A67E4D"/>
    <w:rsid w:val="00A71E45"/>
    <w:rsid w:val="00A7372B"/>
    <w:rsid w:val="00A73782"/>
    <w:rsid w:val="00A740CC"/>
    <w:rsid w:val="00A754B3"/>
    <w:rsid w:val="00A76B88"/>
    <w:rsid w:val="00A77879"/>
    <w:rsid w:val="00A80904"/>
    <w:rsid w:val="00A80FE0"/>
    <w:rsid w:val="00A813E6"/>
    <w:rsid w:val="00A81918"/>
    <w:rsid w:val="00A81E54"/>
    <w:rsid w:val="00A83589"/>
    <w:rsid w:val="00A84D8C"/>
    <w:rsid w:val="00A850A5"/>
    <w:rsid w:val="00A85625"/>
    <w:rsid w:val="00A87CD4"/>
    <w:rsid w:val="00A9035F"/>
    <w:rsid w:val="00A92536"/>
    <w:rsid w:val="00A92988"/>
    <w:rsid w:val="00A92B22"/>
    <w:rsid w:val="00A92BC3"/>
    <w:rsid w:val="00A92DDC"/>
    <w:rsid w:val="00A932ED"/>
    <w:rsid w:val="00AA249E"/>
    <w:rsid w:val="00AA4106"/>
    <w:rsid w:val="00AA41E9"/>
    <w:rsid w:val="00AB301C"/>
    <w:rsid w:val="00AB4DA5"/>
    <w:rsid w:val="00AB67C2"/>
    <w:rsid w:val="00AB72F1"/>
    <w:rsid w:val="00AB7359"/>
    <w:rsid w:val="00AC0C3D"/>
    <w:rsid w:val="00AC18DB"/>
    <w:rsid w:val="00AC27FA"/>
    <w:rsid w:val="00AC3242"/>
    <w:rsid w:val="00AC39E7"/>
    <w:rsid w:val="00AC3CF4"/>
    <w:rsid w:val="00AC44B8"/>
    <w:rsid w:val="00AC5974"/>
    <w:rsid w:val="00AD065B"/>
    <w:rsid w:val="00AD174D"/>
    <w:rsid w:val="00AD178F"/>
    <w:rsid w:val="00AD223C"/>
    <w:rsid w:val="00AD2C99"/>
    <w:rsid w:val="00AD5DCA"/>
    <w:rsid w:val="00AD60C0"/>
    <w:rsid w:val="00AD60FD"/>
    <w:rsid w:val="00AD738D"/>
    <w:rsid w:val="00AD787E"/>
    <w:rsid w:val="00AE07A7"/>
    <w:rsid w:val="00AE1404"/>
    <w:rsid w:val="00AE2B3A"/>
    <w:rsid w:val="00AE2C23"/>
    <w:rsid w:val="00AE51A7"/>
    <w:rsid w:val="00AE64FB"/>
    <w:rsid w:val="00AE6B0F"/>
    <w:rsid w:val="00AE6E0E"/>
    <w:rsid w:val="00AE75E1"/>
    <w:rsid w:val="00AE7CE2"/>
    <w:rsid w:val="00AE7FAB"/>
    <w:rsid w:val="00AF0A28"/>
    <w:rsid w:val="00AF286B"/>
    <w:rsid w:val="00AF4B7F"/>
    <w:rsid w:val="00AF699C"/>
    <w:rsid w:val="00AF702E"/>
    <w:rsid w:val="00AF7AF6"/>
    <w:rsid w:val="00AF7C3D"/>
    <w:rsid w:val="00B010E1"/>
    <w:rsid w:val="00B02B7F"/>
    <w:rsid w:val="00B037EB"/>
    <w:rsid w:val="00B03F6A"/>
    <w:rsid w:val="00B051F7"/>
    <w:rsid w:val="00B06A7C"/>
    <w:rsid w:val="00B0795C"/>
    <w:rsid w:val="00B0798D"/>
    <w:rsid w:val="00B07DA9"/>
    <w:rsid w:val="00B11C54"/>
    <w:rsid w:val="00B11EAC"/>
    <w:rsid w:val="00B12554"/>
    <w:rsid w:val="00B1533D"/>
    <w:rsid w:val="00B15802"/>
    <w:rsid w:val="00B208A2"/>
    <w:rsid w:val="00B23BFC"/>
    <w:rsid w:val="00B247CD"/>
    <w:rsid w:val="00B3089A"/>
    <w:rsid w:val="00B31D27"/>
    <w:rsid w:val="00B33114"/>
    <w:rsid w:val="00B33AB6"/>
    <w:rsid w:val="00B34BFC"/>
    <w:rsid w:val="00B34DF8"/>
    <w:rsid w:val="00B36027"/>
    <w:rsid w:val="00B36DA7"/>
    <w:rsid w:val="00B37422"/>
    <w:rsid w:val="00B46841"/>
    <w:rsid w:val="00B47212"/>
    <w:rsid w:val="00B47CA4"/>
    <w:rsid w:val="00B47D36"/>
    <w:rsid w:val="00B505B1"/>
    <w:rsid w:val="00B54F3F"/>
    <w:rsid w:val="00B55056"/>
    <w:rsid w:val="00B55573"/>
    <w:rsid w:val="00B55934"/>
    <w:rsid w:val="00B56FC0"/>
    <w:rsid w:val="00B57980"/>
    <w:rsid w:val="00B60800"/>
    <w:rsid w:val="00B60833"/>
    <w:rsid w:val="00B62944"/>
    <w:rsid w:val="00B62FDC"/>
    <w:rsid w:val="00B63C94"/>
    <w:rsid w:val="00B644D5"/>
    <w:rsid w:val="00B64F45"/>
    <w:rsid w:val="00B65378"/>
    <w:rsid w:val="00B65F3F"/>
    <w:rsid w:val="00B6635B"/>
    <w:rsid w:val="00B667CA"/>
    <w:rsid w:val="00B66F20"/>
    <w:rsid w:val="00B7069D"/>
    <w:rsid w:val="00B7186F"/>
    <w:rsid w:val="00B73821"/>
    <w:rsid w:val="00B73E82"/>
    <w:rsid w:val="00B764FA"/>
    <w:rsid w:val="00B8139F"/>
    <w:rsid w:val="00B813BC"/>
    <w:rsid w:val="00B816D7"/>
    <w:rsid w:val="00B83CD6"/>
    <w:rsid w:val="00B840A0"/>
    <w:rsid w:val="00B847D7"/>
    <w:rsid w:val="00B91F1B"/>
    <w:rsid w:val="00B9289B"/>
    <w:rsid w:val="00B93DDF"/>
    <w:rsid w:val="00B94D8C"/>
    <w:rsid w:val="00BA19CC"/>
    <w:rsid w:val="00BA31B2"/>
    <w:rsid w:val="00BA334D"/>
    <w:rsid w:val="00BA3897"/>
    <w:rsid w:val="00BA5272"/>
    <w:rsid w:val="00BA528F"/>
    <w:rsid w:val="00BA5363"/>
    <w:rsid w:val="00BA55BC"/>
    <w:rsid w:val="00BB23D5"/>
    <w:rsid w:val="00BB2964"/>
    <w:rsid w:val="00BB2FE7"/>
    <w:rsid w:val="00BB6E20"/>
    <w:rsid w:val="00BC10B7"/>
    <w:rsid w:val="00BC18A3"/>
    <w:rsid w:val="00BC3A92"/>
    <w:rsid w:val="00BC424E"/>
    <w:rsid w:val="00BC454E"/>
    <w:rsid w:val="00BC49F2"/>
    <w:rsid w:val="00BC50DE"/>
    <w:rsid w:val="00BC61B2"/>
    <w:rsid w:val="00BC68CF"/>
    <w:rsid w:val="00BC77F0"/>
    <w:rsid w:val="00BC7D5B"/>
    <w:rsid w:val="00BD0E5F"/>
    <w:rsid w:val="00BD18D8"/>
    <w:rsid w:val="00BD1FF4"/>
    <w:rsid w:val="00BD36DD"/>
    <w:rsid w:val="00BD392A"/>
    <w:rsid w:val="00BD5BC4"/>
    <w:rsid w:val="00BD677E"/>
    <w:rsid w:val="00BD6BDE"/>
    <w:rsid w:val="00BE0CA1"/>
    <w:rsid w:val="00BE3A2A"/>
    <w:rsid w:val="00BE3BAB"/>
    <w:rsid w:val="00BE4C1F"/>
    <w:rsid w:val="00BE4F23"/>
    <w:rsid w:val="00BE757E"/>
    <w:rsid w:val="00BF0422"/>
    <w:rsid w:val="00BF2058"/>
    <w:rsid w:val="00BF23FE"/>
    <w:rsid w:val="00BF26E5"/>
    <w:rsid w:val="00BF4B2A"/>
    <w:rsid w:val="00BF4B58"/>
    <w:rsid w:val="00BF5E9E"/>
    <w:rsid w:val="00BF62D1"/>
    <w:rsid w:val="00BF6C53"/>
    <w:rsid w:val="00BF7F5C"/>
    <w:rsid w:val="00C01F3E"/>
    <w:rsid w:val="00C055DC"/>
    <w:rsid w:val="00C06169"/>
    <w:rsid w:val="00C1251B"/>
    <w:rsid w:val="00C12906"/>
    <w:rsid w:val="00C14D88"/>
    <w:rsid w:val="00C14F49"/>
    <w:rsid w:val="00C15ADD"/>
    <w:rsid w:val="00C1699C"/>
    <w:rsid w:val="00C16FD5"/>
    <w:rsid w:val="00C20DD4"/>
    <w:rsid w:val="00C214D6"/>
    <w:rsid w:val="00C216C8"/>
    <w:rsid w:val="00C235B7"/>
    <w:rsid w:val="00C24442"/>
    <w:rsid w:val="00C2464D"/>
    <w:rsid w:val="00C26313"/>
    <w:rsid w:val="00C273AB"/>
    <w:rsid w:val="00C318B3"/>
    <w:rsid w:val="00C332AB"/>
    <w:rsid w:val="00C334E7"/>
    <w:rsid w:val="00C3435F"/>
    <w:rsid w:val="00C3486F"/>
    <w:rsid w:val="00C41157"/>
    <w:rsid w:val="00C420C1"/>
    <w:rsid w:val="00C4356A"/>
    <w:rsid w:val="00C45B80"/>
    <w:rsid w:val="00C4698D"/>
    <w:rsid w:val="00C46ADC"/>
    <w:rsid w:val="00C46D6E"/>
    <w:rsid w:val="00C47088"/>
    <w:rsid w:val="00C474A0"/>
    <w:rsid w:val="00C47F0B"/>
    <w:rsid w:val="00C52850"/>
    <w:rsid w:val="00C52A46"/>
    <w:rsid w:val="00C5395A"/>
    <w:rsid w:val="00C549E7"/>
    <w:rsid w:val="00C5501A"/>
    <w:rsid w:val="00C55672"/>
    <w:rsid w:val="00C558A6"/>
    <w:rsid w:val="00C5620E"/>
    <w:rsid w:val="00C578E5"/>
    <w:rsid w:val="00C579A0"/>
    <w:rsid w:val="00C60A11"/>
    <w:rsid w:val="00C63A80"/>
    <w:rsid w:val="00C66466"/>
    <w:rsid w:val="00C67961"/>
    <w:rsid w:val="00C703FA"/>
    <w:rsid w:val="00C708BE"/>
    <w:rsid w:val="00C70904"/>
    <w:rsid w:val="00C76655"/>
    <w:rsid w:val="00C76DA9"/>
    <w:rsid w:val="00C77A0B"/>
    <w:rsid w:val="00C77BD2"/>
    <w:rsid w:val="00C80FD3"/>
    <w:rsid w:val="00C82766"/>
    <w:rsid w:val="00C85391"/>
    <w:rsid w:val="00C8567C"/>
    <w:rsid w:val="00C86B8A"/>
    <w:rsid w:val="00C91328"/>
    <w:rsid w:val="00C9451D"/>
    <w:rsid w:val="00C94C25"/>
    <w:rsid w:val="00C94E96"/>
    <w:rsid w:val="00C952EE"/>
    <w:rsid w:val="00C97665"/>
    <w:rsid w:val="00C97714"/>
    <w:rsid w:val="00CA279D"/>
    <w:rsid w:val="00CA2879"/>
    <w:rsid w:val="00CA34D8"/>
    <w:rsid w:val="00CA4AC3"/>
    <w:rsid w:val="00CA5451"/>
    <w:rsid w:val="00CA5980"/>
    <w:rsid w:val="00CA5A30"/>
    <w:rsid w:val="00CB01B2"/>
    <w:rsid w:val="00CB1711"/>
    <w:rsid w:val="00CB476D"/>
    <w:rsid w:val="00CB67BC"/>
    <w:rsid w:val="00CC0405"/>
    <w:rsid w:val="00CC592B"/>
    <w:rsid w:val="00CC7657"/>
    <w:rsid w:val="00CD5EDC"/>
    <w:rsid w:val="00CD68A8"/>
    <w:rsid w:val="00CD6929"/>
    <w:rsid w:val="00CD6E6A"/>
    <w:rsid w:val="00CE11FC"/>
    <w:rsid w:val="00CE286E"/>
    <w:rsid w:val="00CE361D"/>
    <w:rsid w:val="00CE3C8E"/>
    <w:rsid w:val="00CE50F5"/>
    <w:rsid w:val="00CE56D8"/>
    <w:rsid w:val="00CE6151"/>
    <w:rsid w:val="00CF11AE"/>
    <w:rsid w:val="00CF1A59"/>
    <w:rsid w:val="00CF1BFB"/>
    <w:rsid w:val="00CF231C"/>
    <w:rsid w:val="00CF4641"/>
    <w:rsid w:val="00CF6FE9"/>
    <w:rsid w:val="00D020A3"/>
    <w:rsid w:val="00D0296E"/>
    <w:rsid w:val="00D06113"/>
    <w:rsid w:val="00D0706C"/>
    <w:rsid w:val="00D07D25"/>
    <w:rsid w:val="00D107E5"/>
    <w:rsid w:val="00D12C92"/>
    <w:rsid w:val="00D21F80"/>
    <w:rsid w:val="00D23660"/>
    <w:rsid w:val="00D257E1"/>
    <w:rsid w:val="00D26045"/>
    <w:rsid w:val="00D26264"/>
    <w:rsid w:val="00D2735A"/>
    <w:rsid w:val="00D33A7B"/>
    <w:rsid w:val="00D3451E"/>
    <w:rsid w:val="00D346DE"/>
    <w:rsid w:val="00D34ED4"/>
    <w:rsid w:val="00D35420"/>
    <w:rsid w:val="00D3603F"/>
    <w:rsid w:val="00D41A32"/>
    <w:rsid w:val="00D41C30"/>
    <w:rsid w:val="00D4421F"/>
    <w:rsid w:val="00D45C87"/>
    <w:rsid w:val="00D45D4B"/>
    <w:rsid w:val="00D45EFE"/>
    <w:rsid w:val="00D468C7"/>
    <w:rsid w:val="00D46BB5"/>
    <w:rsid w:val="00D47944"/>
    <w:rsid w:val="00D50430"/>
    <w:rsid w:val="00D50D6D"/>
    <w:rsid w:val="00D50ED5"/>
    <w:rsid w:val="00D512A5"/>
    <w:rsid w:val="00D51499"/>
    <w:rsid w:val="00D562CC"/>
    <w:rsid w:val="00D602FF"/>
    <w:rsid w:val="00D607A5"/>
    <w:rsid w:val="00D61CD0"/>
    <w:rsid w:val="00D624FC"/>
    <w:rsid w:val="00D62A41"/>
    <w:rsid w:val="00D6317E"/>
    <w:rsid w:val="00D63AEE"/>
    <w:rsid w:val="00D63B5D"/>
    <w:rsid w:val="00D648F0"/>
    <w:rsid w:val="00D7110D"/>
    <w:rsid w:val="00D7213E"/>
    <w:rsid w:val="00D74C0A"/>
    <w:rsid w:val="00D80344"/>
    <w:rsid w:val="00D80392"/>
    <w:rsid w:val="00D813EF"/>
    <w:rsid w:val="00D84FD8"/>
    <w:rsid w:val="00D8598E"/>
    <w:rsid w:val="00D87DDA"/>
    <w:rsid w:val="00D924D6"/>
    <w:rsid w:val="00D936D2"/>
    <w:rsid w:val="00D94264"/>
    <w:rsid w:val="00D95B53"/>
    <w:rsid w:val="00D966A4"/>
    <w:rsid w:val="00D9776C"/>
    <w:rsid w:val="00DA03EC"/>
    <w:rsid w:val="00DA18DC"/>
    <w:rsid w:val="00DA32CA"/>
    <w:rsid w:val="00DA57CB"/>
    <w:rsid w:val="00DB04B3"/>
    <w:rsid w:val="00DB2E8D"/>
    <w:rsid w:val="00DB315A"/>
    <w:rsid w:val="00DB3F76"/>
    <w:rsid w:val="00DB779E"/>
    <w:rsid w:val="00DC1E7E"/>
    <w:rsid w:val="00DC23AC"/>
    <w:rsid w:val="00DC41F0"/>
    <w:rsid w:val="00DC51F5"/>
    <w:rsid w:val="00DC5DED"/>
    <w:rsid w:val="00DD3CB4"/>
    <w:rsid w:val="00DD4366"/>
    <w:rsid w:val="00DD5D09"/>
    <w:rsid w:val="00DD6488"/>
    <w:rsid w:val="00DD6C5D"/>
    <w:rsid w:val="00DD7040"/>
    <w:rsid w:val="00DD7514"/>
    <w:rsid w:val="00DD77D0"/>
    <w:rsid w:val="00DE08A9"/>
    <w:rsid w:val="00DE08F8"/>
    <w:rsid w:val="00DE0B3F"/>
    <w:rsid w:val="00DE13D4"/>
    <w:rsid w:val="00DE16D7"/>
    <w:rsid w:val="00DE349E"/>
    <w:rsid w:val="00DE3627"/>
    <w:rsid w:val="00DE57AC"/>
    <w:rsid w:val="00DE6496"/>
    <w:rsid w:val="00DE7404"/>
    <w:rsid w:val="00DE7ECA"/>
    <w:rsid w:val="00DF05AD"/>
    <w:rsid w:val="00DF18DA"/>
    <w:rsid w:val="00DF36D4"/>
    <w:rsid w:val="00DF4FDA"/>
    <w:rsid w:val="00DF5CC9"/>
    <w:rsid w:val="00DF5E52"/>
    <w:rsid w:val="00DF652B"/>
    <w:rsid w:val="00DF6B0A"/>
    <w:rsid w:val="00DF7FAC"/>
    <w:rsid w:val="00E02280"/>
    <w:rsid w:val="00E02F1B"/>
    <w:rsid w:val="00E0503F"/>
    <w:rsid w:val="00E051FF"/>
    <w:rsid w:val="00E058C1"/>
    <w:rsid w:val="00E05DB5"/>
    <w:rsid w:val="00E06EBC"/>
    <w:rsid w:val="00E07731"/>
    <w:rsid w:val="00E07B80"/>
    <w:rsid w:val="00E12485"/>
    <w:rsid w:val="00E12E34"/>
    <w:rsid w:val="00E1399F"/>
    <w:rsid w:val="00E204D0"/>
    <w:rsid w:val="00E20DD5"/>
    <w:rsid w:val="00E21EDF"/>
    <w:rsid w:val="00E22012"/>
    <w:rsid w:val="00E23550"/>
    <w:rsid w:val="00E2496E"/>
    <w:rsid w:val="00E262DF"/>
    <w:rsid w:val="00E26618"/>
    <w:rsid w:val="00E2793F"/>
    <w:rsid w:val="00E3044B"/>
    <w:rsid w:val="00E317E1"/>
    <w:rsid w:val="00E319F0"/>
    <w:rsid w:val="00E328FC"/>
    <w:rsid w:val="00E33D84"/>
    <w:rsid w:val="00E34F70"/>
    <w:rsid w:val="00E35077"/>
    <w:rsid w:val="00E3585B"/>
    <w:rsid w:val="00E44E3B"/>
    <w:rsid w:val="00E45E61"/>
    <w:rsid w:val="00E46144"/>
    <w:rsid w:val="00E475C4"/>
    <w:rsid w:val="00E47E25"/>
    <w:rsid w:val="00E50B81"/>
    <w:rsid w:val="00E50DA6"/>
    <w:rsid w:val="00E51665"/>
    <w:rsid w:val="00E53627"/>
    <w:rsid w:val="00E53687"/>
    <w:rsid w:val="00E5370C"/>
    <w:rsid w:val="00E54CE8"/>
    <w:rsid w:val="00E55483"/>
    <w:rsid w:val="00E55C35"/>
    <w:rsid w:val="00E60F92"/>
    <w:rsid w:val="00E62E77"/>
    <w:rsid w:val="00E6461B"/>
    <w:rsid w:val="00E65C76"/>
    <w:rsid w:val="00E66332"/>
    <w:rsid w:val="00E713C2"/>
    <w:rsid w:val="00E72BF4"/>
    <w:rsid w:val="00E72C6D"/>
    <w:rsid w:val="00E72DC9"/>
    <w:rsid w:val="00E732E0"/>
    <w:rsid w:val="00E754EF"/>
    <w:rsid w:val="00E75A29"/>
    <w:rsid w:val="00E7712F"/>
    <w:rsid w:val="00E8069E"/>
    <w:rsid w:val="00E81369"/>
    <w:rsid w:val="00E8272B"/>
    <w:rsid w:val="00E82A4A"/>
    <w:rsid w:val="00E82D51"/>
    <w:rsid w:val="00E8447B"/>
    <w:rsid w:val="00E84893"/>
    <w:rsid w:val="00E84EEA"/>
    <w:rsid w:val="00E85F01"/>
    <w:rsid w:val="00E8673E"/>
    <w:rsid w:val="00E86FEE"/>
    <w:rsid w:val="00E91B63"/>
    <w:rsid w:val="00E92018"/>
    <w:rsid w:val="00E93F19"/>
    <w:rsid w:val="00E96E31"/>
    <w:rsid w:val="00EA040C"/>
    <w:rsid w:val="00EA0478"/>
    <w:rsid w:val="00EA0C2D"/>
    <w:rsid w:val="00EA0E7E"/>
    <w:rsid w:val="00EA22FF"/>
    <w:rsid w:val="00EA2821"/>
    <w:rsid w:val="00EA3CE7"/>
    <w:rsid w:val="00EA5703"/>
    <w:rsid w:val="00EB1583"/>
    <w:rsid w:val="00EB2C6F"/>
    <w:rsid w:val="00EB3499"/>
    <w:rsid w:val="00EB3B7E"/>
    <w:rsid w:val="00EB4A26"/>
    <w:rsid w:val="00EB6251"/>
    <w:rsid w:val="00EB626E"/>
    <w:rsid w:val="00EB69D2"/>
    <w:rsid w:val="00EC0275"/>
    <w:rsid w:val="00EC4D13"/>
    <w:rsid w:val="00EC6A05"/>
    <w:rsid w:val="00EC6EEA"/>
    <w:rsid w:val="00ED0670"/>
    <w:rsid w:val="00ED189E"/>
    <w:rsid w:val="00ED1E80"/>
    <w:rsid w:val="00ED2081"/>
    <w:rsid w:val="00ED2B69"/>
    <w:rsid w:val="00ED3EF5"/>
    <w:rsid w:val="00ED42EE"/>
    <w:rsid w:val="00ED627A"/>
    <w:rsid w:val="00EE27DA"/>
    <w:rsid w:val="00EE3496"/>
    <w:rsid w:val="00EE4242"/>
    <w:rsid w:val="00EE4262"/>
    <w:rsid w:val="00EE55EE"/>
    <w:rsid w:val="00EE5C7D"/>
    <w:rsid w:val="00EE6120"/>
    <w:rsid w:val="00EF01F5"/>
    <w:rsid w:val="00EF1C92"/>
    <w:rsid w:val="00EF366A"/>
    <w:rsid w:val="00EF558E"/>
    <w:rsid w:val="00EF57AE"/>
    <w:rsid w:val="00EF6C95"/>
    <w:rsid w:val="00EF722F"/>
    <w:rsid w:val="00EF735D"/>
    <w:rsid w:val="00F00A1D"/>
    <w:rsid w:val="00F00FDF"/>
    <w:rsid w:val="00F04740"/>
    <w:rsid w:val="00F06004"/>
    <w:rsid w:val="00F061F6"/>
    <w:rsid w:val="00F0621B"/>
    <w:rsid w:val="00F073F3"/>
    <w:rsid w:val="00F103B9"/>
    <w:rsid w:val="00F12A0D"/>
    <w:rsid w:val="00F13094"/>
    <w:rsid w:val="00F13E90"/>
    <w:rsid w:val="00F16AA3"/>
    <w:rsid w:val="00F2117F"/>
    <w:rsid w:val="00F22496"/>
    <w:rsid w:val="00F23024"/>
    <w:rsid w:val="00F23430"/>
    <w:rsid w:val="00F234A7"/>
    <w:rsid w:val="00F242B8"/>
    <w:rsid w:val="00F24C22"/>
    <w:rsid w:val="00F274E8"/>
    <w:rsid w:val="00F2772C"/>
    <w:rsid w:val="00F310C0"/>
    <w:rsid w:val="00F31104"/>
    <w:rsid w:val="00F31401"/>
    <w:rsid w:val="00F32354"/>
    <w:rsid w:val="00F3252F"/>
    <w:rsid w:val="00F33507"/>
    <w:rsid w:val="00F337E7"/>
    <w:rsid w:val="00F3563E"/>
    <w:rsid w:val="00F35870"/>
    <w:rsid w:val="00F37C5F"/>
    <w:rsid w:val="00F401C6"/>
    <w:rsid w:val="00F4144F"/>
    <w:rsid w:val="00F42FFA"/>
    <w:rsid w:val="00F43664"/>
    <w:rsid w:val="00F43F63"/>
    <w:rsid w:val="00F440EE"/>
    <w:rsid w:val="00F4613A"/>
    <w:rsid w:val="00F4724C"/>
    <w:rsid w:val="00F47543"/>
    <w:rsid w:val="00F54E74"/>
    <w:rsid w:val="00F55383"/>
    <w:rsid w:val="00F55BB8"/>
    <w:rsid w:val="00F55FFC"/>
    <w:rsid w:val="00F5656D"/>
    <w:rsid w:val="00F60754"/>
    <w:rsid w:val="00F62F01"/>
    <w:rsid w:val="00F65FED"/>
    <w:rsid w:val="00F7524F"/>
    <w:rsid w:val="00F767C1"/>
    <w:rsid w:val="00F76F5D"/>
    <w:rsid w:val="00F80570"/>
    <w:rsid w:val="00F80BD3"/>
    <w:rsid w:val="00F8117D"/>
    <w:rsid w:val="00F8169A"/>
    <w:rsid w:val="00F83DAC"/>
    <w:rsid w:val="00F85BE1"/>
    <w:rsid w:val="00F87AE8"/>
    <w:rsid w:val="00F90311"/>
    <w:rsid w:val="00F91749"/>
    <w:rsid w:val="00F93303"/>
    <w:rsid w:val="00F93A3F"/>
    <w:rsid w:val="00F9481F"/>
    <w:rsid w:val="00F9626C"/>
    <w:rsid w:val="00F96F69"/>
    <w:rsid w:val="00FA16B3"/>
    <w:rsid w:val="00FA1FFE"/>
    <w:rsid w:val="00FA2DAD"/>
    <w:rsid w:val="00FA41CE"/>
    <w:rsid w:val="00FA48D9"/>
    <w:rsid w:val="00FA5080"/>
    <w:rsid w:val="00FA5E26"/>
    <w:rsid w:val="00FA70B5"/>
    <w:rsid w:val="00FA7E7E"/>
    <w:rsid w:val="00FA7FD6"/>
    <w:rsid w:val="00FB4397"/>
    <w:rsid w:val="00FB6724"/>
    <w:rsid w:val="00FC053D"/>
    <w:rsid w:val="00FC18FB"/>
    <w:rsid w:val="00FC3A77"/>
    <w:rsid w:val="00FC4058"/>
    <w:rsid w:val="00FC4264"/>
    <w:rsid w:val="00FC55EF"/>
    <w:rsid w:val="00FC6A26"/>
    <w:rsid w:val="00FD0716"/>
    <w:rsid w:val="00FD225F"/>
    <w:rsid w:val="00FD3D15"/>
    <w:rsid w:val="00FD4D43"/>
    <w:rsid w:val="00FD4E30"/>
    <w:rsid w:val="00FE2190"/>
    <w:rsid w:val="00FE2DD3"/>
    <w:rsid w:val="00FE3C43"/>
    <w:rsid w:val="00FE3E42"/>
    <w:rsid w:val="00FE4026"/>
    <w:rsid w:val="00FE48DD"/>
    <w:rsid w:val="00FE6D8E"/>
    <w:rsid w:val="00FE7FC0"/>
    <w:rsid w:val="00FF3E68"/>
    <w:rsid w:val="00FF7241"/>
    <w:rsid w:val="00FF7258"/>
    <w:rsid w:val="00FF77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83C8BF-63C4-4041-9391-4C3F9B83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pt-PT"/>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E51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242B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61D57"/>
    <w:rPr>
      <w:b/>
      <w:bCs/>
    </w:rPr>
  </w:style>
  <w:style w:type="paragraph" w:styleId="NormalWeb">
    <w:name w:val="Normal (Web)"/>
    <w:basedOn w:val="Normal"/>
    <w:uiPriority w:val="99"/>
    <w:rsid w:val="00FC18FB"/>
    <w:pPr>
      <w:spacing w:before="100" w:beforeAutospacing="1" w:after="100" w:afterAutospacing="1"/>
    </w:pPr>
  </w:style>
  <w:style w:type="paragraph" w:styleId="BalloonText">
    <w:name w:val="Balloon Text"/>
    <w:basedOn w:val="Normal"/>
    <w:link w:val="BalloonTextChar"/>
    <w:rsid w:val="00263335"/>
    <w:rPr>
      <w:rFonts w:ascii="Tahoma" w:hAnsi="Tahoma" w:cs="Tahoma"/>
      <w:sz w:val="16"/>
      <w:szCs w:val="16"/>
    </w:rPr>
  </w:style>
  <w:style w:type="character" w:customStyle="1" w:styleId="BalloonTextChar">
    <w:name w:val="Balloon Text Char"/>
    <w:link w:val="BalloonText"/>
    <w:rsid w:val="00263335"/>
    <w:rPr>
      <w:rFonts w:ascii="Tahoma" w:hAnsi="Tahoma" w:cs="Tahoma"/>
      <w:sz w:val="16"/>
      <w:szCs w:val="16"/>
    </w:rPr>
  </w:style>
  <w:style w:type="character" w:styleId="CommentReference">
    <w:name w:val="annotation reference"/>
    <w:rsid w:val="00FE3C43"/>
    <w:rPr>
      <w:sz w:val="16"/>
      <w:szCs w:val="16"/>
    </w:rPr>
  </w:style>
  <w:style w:type="paragraph" w:styleId="CommentText">
    <w:name w:val="annotation text"/>
    <w:basedOn w:val="Normal"/>
    <w:link w:val="CommentTextChar"/>
    <w:rsid w:val="00FE3C43"/>
    <w:rPr>
      <w:sz w:val="20"/>
      <w:szCs w:val="20"/>
    </w:rPr>
  </w:style>
  <w:style w:type="character" w:customStyle="1" w:styleId="CommentTextChar">
    <w:name w:val="Comment Text Char"/>
    <w:basedOn w:val="DefaultParagraphFont"/>
    <w:link w:val="CommentText"/>
    <w:rsid w:val="00FE3C43"/>
  </w:style>
  <w:style w:type="paragraph" w:styleId="CommentSubject">
    <w:name w:val="annotation subject"/>
    <w:basedOn w:val="CommentText"/>
    <w:next w:val="CommentText"/>
    <w:link w:val="CommentSubjectChar"/>
    <w:rsid w:val="00FE3C43"/>
    <w:rPr>
      <w:b/>
      <w:bCs/>
    </w:rPr>
  </w:style>
  <w:style w:type="character" w:customStyle="1" w:styleId="CommentSubjectChar">
    <w:name w:val="Comment Subject Char"/>
    <w:link w:val="CommentSubject"/>
    <w:rsid w:val="00FE3C43"/>
    <w:rPr>
      <w:b/>
      <w:bCs/>
    </w:rPr>
  </w:style>
  <w:style w:type="paragraph" w:customStyle="1" w:styleId="c01pointnumerotealtn">
    <w:name w:val="c01pointnumerotealtn"/>
    <w:basedOn w:val="Normal"/>
    <w:rsid w:val="00E55C35"/>
    <w:pPr>
      <w:spacing w:before="100" w:beforeAutospacing="1" w:after="240"/>
      <w:ind w:left="567" w:hanging="539"/>
      <w:jc w:val="both"/>
    </w:pPr>
  </w:style>
  <w:style w:type="character" w:customStyle="1" w:styleId="outputecliaff">
    <w:name w:val="outputecliaff"/>
    <w:rsid w:val="00EA5703"/>
  </w:style>
  <w:style w:type="paragraph" w:customStyle="1" w:styleId="c02alineaalta">
    <w:name w:val="c02alineaalta"/>
    <w:basedOn w:val="Normal"/>
    <w:rsid w:val="00DE6496"/>
    <w:pPr>
      <w:spacing w:after="240"/>
      <w:ind w:left="567"/>
      <w:jc w:val="both"/>
    </w:pPr>
  </w:style>
  <w:style w:type="paragraph" w:customStyle="1" w:styleId="c09marge0avecretrait">
    <w:name w:val="c09marge0avecretrait"/>
    <w:basedOn w:val="Normal"/>
    <w:rsid w:val="00DE6496"/>
    <w:pPr>
      <w:spacing w:after="240"/>
      <w:ind w:left="1134" w:hanging="567"/>
      <w:jc w:val="both"/>
    </w:pPr>
  </w:style>
  <w:style w:type="paragraph" w:customStyle="1" w:styleId="c11marge1avecretrait">
    <w:name w:val="c11marge1avecretrait"/>
    <w:basedOn w:val="Normal"/>
    <w:rsid w:val="00DE6496"/>
    <w:pPr>
      <w:spacing w:after="240"/>
      <w:ind w:left="1701" w:hanging="567"/>
      <w:jc w:val="both"/>
    </w:pPr>
  </w:style>
  <w:style w:type="paragraph" w:customStyle="1" w:styleId="c04titre1">
    <w:name w:val="c04titre1"/>
    <w:basedOn w:val="Normal"/>
    <w:rsid w:val="008808CA"/>
    <w:pPr>
      <w:spacing w:before="480" w:after="240"/>
      <w:ind w:left="567"/>
      <w:jc w:val="both"/>
    </w:pPr>
    <w:rPr>
      <w:b/>
      <w:bCs/>
    </w:rPr>
  </w:style>
  <w:style w:type="paragraph" w:customStyle="1" w:styleId="c41dispositifintroduction">
    <w:name w:val="c41dispositifintroduction"/>
    <w:basedOn w:val="Normal"/>
    <w:rsid w:val="008808CA"/>
    <w:pPr>
      <w:spacing w:before="100" w:beforeAutospacing="1" w:after="100" w:afterAutospacing="1"/>
    </w:pPr>
  </w:style>
  <w:style w:type="paragraph" w:customStyle="1" w:styleId="c30dispositifalinea">
    <w:name w:val="c30dispositifalinea"/>
    <w:basedOn w:val="Normal"/>
    <w:rsid w:val="008808CA"/>
    <w:pPr>
      <w:spacing w:before="100" w:beforeAutospacing="1" w:after="100" w:afterAutospacing="1"/>
    </w:pPr>
  </w:style>
  <w:style w:type="paragraph" w:customStyle="1" w:styleId="c05titre2">
    <w:name w:val="c05titre2"/>
    <w:basedOn w:val="Normal"/>
    <w:rsid w:val="00C14D88"/>
    <w:pPr>
      <w:spacing w:after="240"/>
      <w:ind w:left="567"/>
      <w:jc w:val="both"/>
    </w:pPr>
    <w:rPr>
      <w:i/>
      <w:iCs/>
    </w:rPr>
  </w:style>
  <w:style w:type="paragraph" w:customStyle="1" w:styleId="c06titre3">
    <w:name w:val="c06titre3"/>
    <w:basedOn w:val="Normal"/>
    <w:rsid w:val="00C14D88"/>
    <w:pPr>
      <w:spacing w:after="240"/>
      <w:ind w:left="567"/>
      <w:jc w:val="both"/>
    </w:pPr>
  </w:style>
  <w:style w:type="paragraph" w:customStyle="1" w:styleId="c08dispositif">
    <w:name w:val="c08dispositif"/>
    <w:basedOn w:val="Normal"/>
    <w:rsid w:val="00C14D88"/>
    <w:pPr>
      <w:spacing w:before="100" w:beforeAutospacing="1" w:after="240"/>
      <w:ind w:left="1134" w:hanging="567"/>
      <w:jc w:val="both"/>
    </w:pPr>
    <w:rPr>
      <w:b/>
      <w:bCs/>
    </w:rPr>
  </w:style>
  <w:style w:type="paragraph" w:customStyle="1" w:styleId="c03tiretlong">
    <w:name w:val="c03tiretlong"/>
    <w:basedOn w:val="Normal"/>
    <w:rsid w:val="00E2496E"/>
    <w:pPr>
      <w:spacing w:before="100" w:beforeAutospacing="1" w:after="240"/>
      <w:ind w:left="1134" w:hanging="567"/>
      <w:jc w:val="both"/>
    </w:pPr>
  </w:style>
  <w:style w:type="paragraph" w:customStyle="1" w:styleId="c45dispositifmarge1avectiretlong">
    <w:name w:val="c45dispositifmarge1avectiretlong"/>
    <w:basedOn w:val="Normal"/>
    <w:rsid w:val="00E2496E"/>
    <w:pPr>
      <w:spacing w:before="100" w:beforeAutospacing="1" w:after="240"/>
      <w:ind w:left="1701" w:hanging="567"/>
      <w:jc w:val="both"/>
    </w:pPr>
    <w:rPr>
      <w:b/>
      <w:bCs/>
    </w:rPr>
  </w:style>
  <w:style w:type="character" w:customStyle="1" w:styleId="Heading3Char">
    <w:name w:val="Heading 3 Char"/>
    <w:link w:val="Heading3"/>
    <w:uiPriority w:val="9"/>
    <w:rsid w:val="00F242B8"/>
    <w:rPr>
      <w:b/>
      <w:bCs/>
      <w:sz w:val="27"/>
      <w:szCs w:val="27"/>
    </w:rPr>
  </w:style>
  <w:style w:type="character" w:styleId="Hyperlink">
    <w:name w:val="Hyperlink"/>
    <w:uiPriority w:val="99"/>
    <w:unhideWhenUsed/>
    <w:rsid w:val="006255E9"/>
    <w:rPr>
      <w:strike w:val="0"/>
      <w:dstrike w:val="0"/>
      <w:color w:val="auto"/>
      <w:u w:val="none"/>
      <w:effect w:val="none"/>
    </w:rPr>
  </w:style>
  <w:style w:type="character" w:styleId="FollowedHyperlink">
    <w:name w:val="FollowedHyperlink"/>
    <w:rsid w:val="004A09DC"/>
    <w:rPr>
      <w:color w:val="800080"/>
      <w:u w:val="single"/>
    </w:rPr>
  </w:style>
  <w:style w:type="character" w:customStyle="1" w:styleId="affairetitle">
    <w:name w:val="affaire_title"/>
    <w:rsid w:val="00E44E3B"/>
  </w:style>
  <w:style w:type="paragraph" w:styleId="Header">
    <w:name w:val="header"/>
    <w:basedOn w:val="Normal"/>
    <w:link w:val="HeaderChar"/>
    <w:rsid w:val="00EB4A26"/>
    <w:pPr>
      <w:tabs>
        <w:tab w:val="center" w:pos="4536"/>
        <w:tab w:val="right" w:pos="9072"/>
      </w:tabs>
    </w:pPr>
  </w:style>
  <w:style w:type="character" w:customStyle="1" w:styleId="HeaderChar">
    <w:name w:val="Header Char"/>
    <w:basedOn w:val="DefaultParagraphFont"/>
    <w:link w:val="Header"/>
    <w:rsid w:val="00EB4A26"/>
    <w:rPr>
      <w:sz w:val="24"/>
      <w:szCs w:val="24"/>
      <w:lang w:val="pt-PT" w:eastAsia="pt-PT"/>
    </w:rPr>
  </w:style>
  <w:style w:type="paragraph" w:styleId="Footer">
    <w:name w:val="footer"/>
    <w:basedOn w:val="Normal"/>
    <w:link w:val="FooterChar"/>
    <w:uiPriority w:val="99"/>
    <w:rsid w:val="00EB4A26"/>
    <w:pPr>
      <w:tabs>
        <w:tab w:val="center" w:pos="4536"/>
        <w:tab w:val="right" w:pos="9072"/>
      </w:tabs>
    </w:pPr>
  </w:style>
  <w:style w:type="character" w:customStyle="1" w:styleId="FooterChar">
    <w:name w:val="Footer Char"/>
    <w:basedOn w:val="DefaultParagraphFont"/>
    <w:link w:val="Footer"/>
    <w:uiPriority w:val="99"/>
    <w:rsid w:val="00EB4A26"/>
    <w:rPr>
      <w:sz w:val="24"/>
      <w:szCs w:val="24"/>
      <w:lang w:val="pt-PT" w:eastAsia="pt-PT"/>
    </w:rPr>
  </w:style>
  <w:style w:type="paragraph" w:styleId="Revision">
    <w:name w:val="Revision"/>
    <w:hidden/>
    <w:uiPriority w:val="99"/>
    <w:semiHidden/>
    <w:rsid w:val="00600D1E"/>
    <w:rPr>
      <w:sz w:val="24"/>
      <w:szCs w:val="24"/>
    </w:rPr>
  </w:style>
  <w:style w:type="paragraph" w:styleId="ListParagraph">
    <w:name w:val="List Paragraph"/>
    <w:basedOn w:val="Normal"/>
    <w:uiPriority w:val="34"/>
    <w:qFormat/>
    <w:rsid w:val="008F01F8"/>
    <w:pPr>
      <w:ind w:left="720"/>
      <w:contextualSpacing/>
    </w:pPr>
  </w:style>
  <w:style w:type="paragraph" w:customStyle="1" w:styleId="Style1">
    <w:name w:val="Style1"/>
    <w:basedOn w:val="Heading1"/>
    <w:link w:val="Style1Char"/>
    <w:autoRedefine/>
    <w:qFormat/>
    <w:rsid w:val="00AE51A7"/>
    <w:pPr>
      <w:pBdr>
        <w:top w:val="single" w:sz="4" w:space="1" w:color="auto"/>
        <w:left w:val="single" w:sz="4" w:space="4" w:color="auto"/>
        <w:bottom w:val="single" w:sz="4" w:space="1" w:color="auto"/>
        <w:right w:val="single" w:sz="4" w:space="4" w:color="auto"/>
      </w:pBdr>
      <w:jc w:val="center"/>
    </w:pPr>
    <w:rPr>
      <w:rFonts w:ascii="Times New Roman" w:eastAsia="Calibri" w:hAnsi="Times New Roman"/>
      <w:b/>
      <w:smallCaps/>
      <w:color w:val="auto"/>
      <w:sz w:val="24"/>
    </w:rPr>
  </w:style>
  <w:style w:type="character" w:customStyle="1" w:styleId="Heading1Char">
    <w:name w:val="Heading 1 Char"/>
    <w:basedOn w:val="DefaultParagraphFont"/>
    <w:link w:val="Heading1"/>
    <w:rsid w:val="00AE51A7"/>
    <w:rPr>
      <w:rFonts w:asciiTheme="majorHAnsi" w:eastAsiaTheme="majorEastAsia" w:hAnsiTheme="majorHAnsi" w:cstheme="majorBidi"/>
      <w:color w:val="365F91" w:themeColor="accent1" w:themeShade="BF"/>
      <w:sz w:val="32"/>
      <w:szCs w:val="32"/>
      <w:lang w:val="pt-PT" w:eastAsia="pt-PT"/>
    </w:rPr>
  </w:style>
  <w:style w:type="character" w:customStyle="1" w:styleId="Style1Char">
    <w:name w:val="Style1 Char"/>
    <w:basedOn w:val="Heading1Char"/>
    <w:link w:val="Style1"/>
    <w:rsid w:val="00AE51A7"/>
    <w:rPr>
      <w:rFonts w:asciiTheme="majorHAnsi" w:eastAsia="Calibri" w:hAnsiTheme="majorHAnsi" w:cstheme="majorBidi"/>
      <w:b/>
      <w:smallCaps/>
      <w:color w:val="365F91" w:themeColor="accent1" w:themeShade="BF"/>
      <w:sz w:val="24"/>
      <w:szCs w:val="32"/>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08">
      <w:bodyDiv w:val="1"/>
      <w:marLeft w:val="0"/>
      <w:marRight w:val="0"/>
      <w:marTop w:val="0"/>
      <w:marBottom w:val="0"/>
      <w:divBdr>
        <w:top w:val="none" w:sz="0" w:space="0" w:color="auto"/>
        <w:left w:val="none" w:sz="0" w:space="0" w:color="auto"/>
        <w:bottom w:val="none" w:sz="0" w:space="0" w:color="auto"/>
        <w:right w:val="none" w:sz="0" w:space="0" w:color="auto"/>
      </w:divBdr>
      <w:divsChild>
        <w:div w:id="774128795">
          <w:marLeft w:val="0"/>
          <w:marRight w:val="0"/>
          <w:marTop w:val="0"/>
          <w:marBottom w:val="0"/>
          <w:divBdr>
            <w:top w:val="none" w:sz="0" w:space="0" w:color="auto"/>
            <w:left w:val="none" w:sz="0" w:space="0" w:color="auto"/>
            <w:bottom w:val="none" w:sz="0" w:space="0" w:color="auto"/>
            <w:right w:val="none" w:sz="0" w:space="0" w:color="auto"/>
          </w:divBdr>
          <w:divsChild>
            <w:div w:id="2037003272">
              <w:marLeft w:val="0"/>
              <w:marRight w:val="0"/>
              <w:marTop w:val="0"/>
              <w:marBottom w:val="0"/>
              <w:divBdr>
                <w:top w:val="none" w:sz="0" w:space="0" w:color="auto"/>
                <w:left w:val="none" w:sz="0" w:space="0" w:color="auto"/>
                <w:bottom w:val="none" w:sz="0" w:space="0" w:color="auto"/>
                <w:right w:val="none" w:sz="0" w:space="0" w:color="auto"/>
              </w:divBdr>
              <w:divsChild>
                <w:div w:id="693382504">
                  <w:marLeft w:val="0"/>
                  <w:marRight w:val="0"/>
                  <w:marTop w:val="0"/>
                  <w:marBottom w:val="0"/>
                  <w:divBdr>
                    <w:top w:val="none" w:sz="0" w:space="0" w:color="auto"/>
                    <w:left w:val="none" w:sz="0" w:space="0" w:color="auto"/>
                    <w:bottom w:val="none" w:sz="0" w:space="0" w:color="auto"/>
                    <w:right w:val="none" w:sz="0" w:space="0" w:color="auto"/>
                  </w:divBdr>
                  <w:divsChild>
                    <w:div w:id="12847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967">
      <w:bodyDiv w:val="1"/>
      <w:marLeft w:val="0"/>
      <w:marRight w:val="0"/>
      <w:marTop w:val="0"/>
      <w:marBottom w:val="0"/>
      <w:divBdr>
        <w:top w:val="none" w:sz="0" w:space="0" w:color="auto"/>
        <w:left w:val="none" w:sz="0" w:space="0" w:color="auto"/>
        <w:bottom w:val="none" w:sz="0" w:space="0" w:color="auto"/>
        <w:right w:val="none" w:sz="0" w:space="0" w:color="auto"/>
      </w:divBdr>
      <w:divsChild>
        <w:div w:id="1254195152">
          <w:marLeft w:val="0"/>
          <w:marRight w:val="0"/>
          <w:marTop w:val="0"/>
          <w:marBottom w:val="0"/>
          <w:divBdr>
            <w:top w:val="none" w:sz="0" w:space="0" w:color="auto"/>
            <w:left w:val="none" w:sz="0" w:space="0" w:color="auto"/>
            <w:bottom w:val="none" w:sz="0" w:space="0" w:color="auto"/>
            <w:right w:val="none" w:sz="0" w:space="0" w:color="auto"/>
          </w:divBdr>
          <w:divsChild>
            <w:div w:id="1657758599">
              <w:marLeft w:val="0"/>
              <w:marRight w:val="0"/>
              <w:marTop w:val="0"/>
              <w:marBottom w:val="0"/>
              <w:divBdr>
                <w:top w:val="none" w:sz="0" w:space="0" w:color="auto"/>
                <w:left w:val="none" w:sz="0" w:space="0" w:color="auto"/>
                <w:bottom w:val="none" w:sz="0" w:space="0" w:color="auto"/>
                <w:right w:val="none" w:sz="0" w:space="0" w:color="auto"/>
              </w:divBdr>
              <w:divsChild>
                <w:div w:id="801309141">
                  <w:marLeft w:val="0"/>
                  <w:marRight w:val="0"/>
                  <w:marTop w:val="0"/>
                  <w:marBottom w:val="0"/>
                  <w:divBdr>
                    <w:top w:val="none" w:sz="0" w:space="0" w:color="auto"/>
                    <w:left w:val="none" w:sz="0" w:space="0" w:color="auto"/>
                    <w:bottom w:val="none" w:sz="0" w:space="0" w:color="auto"/>
                    <w:right w:val="none" w:sz="0" w:space="0" w:color="auto"/>
                  </w:divBdr>
                  <w:divsChild>
                    <w:div w:id="4184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3842">
      <w:bodyDiv w:val="1"/>
      <w:marLeft w:val="0"/>
      <w:marRight w:val="0"/>
      <w:marTop w:val="0"/>
      <w:marBottom w:val="0"/>
      <w:divBdr>
        <w:top w:val="none" w:sz="0" w:space="0" w:color="auto"/>
        <w:left w:val="none" w:sz="0" w:space="0" w:color="auto"/>
        <w:bottom w:val="none" w:sz="0" w:space="0" w:color="auto"/>
        <w:right w:val="none" w:sz="0" w:space="0" w:color="auto"/>
      </w:divBdr>
      <w:divsChild>
        <w:div w:id="1118720413">
          <w:marLeft w:val="0"/>
          <w:marRight w:val="0"/>
          <w:marTop w:val="0"/>
          <w:marBottom w:val="0"/>
          <w:divBdr>
            <w:top w:val="none" w:sz="0" w:space="0" w:color="auto"/>
            <w:left w:val="none" w:sz="0" w:space="0" w:color="auto"/>
            <w:bottom w:val="none" w:sz="0" w:space="0" w:color="auto"/>
            <w:right w:val="none" w:sz="0" w:space="0" w:color="auto"/>
          </w:divBdr>
          <w:divsChild>
            <w:div w:id="2005358593">
              <w:marLeft w:val="0"/>
              <w:marRight w:val="0"/>
              <w:marTop w:val="0"/>
              <w:marBottom w:val="0"/>
              <w:divBdr>
                <w:top w:val="none" w:sz="0" w:space="0" w:color="auto"/>
                <w:left w:val="none" w:sz="0" w:space="0" w:color="auto"/>
                <w:bottom w:val="none" w:sz="0" w:space="0" w:color="auto"/>
                <w:right w:val="none" w:sz="0" w:space="0" w:color="auto"/>
              </w:divBdr>
              <w:divsChild>
                <w:div w:id="1454137040">
                  <w:marLeft w:val="0"/>
                  <w:marRight w:val="0"/>
                  <w:marTop w:val="0"/>
                  <w:marBottom w:val="0"/>
                  <w:divBdr>
                    <w:top w:val="none" w:sz="0" w:space="0" w:color="auto"/>
                    <w:left w:val="none" w:sz="0" w:space="0" w:color="auto"/>
                    <w:bottom w:val="none" w:sz="0" w:space="0" w:color="auto"/>
                    <w:right w:val="none" w:sz="0" w:space="0" w:color="auto"/>
                  </w:divBdr>
                  <w:divsChild>
                    <w:div w:id="892086217">
                      <w:marLeft w:val="0"/>
                      <w:marRight w:val="0"/>
                      <w:marTop w:val="0"/>
                      <w:marBottom w:val="0"/>
                      <w:divBdr>
                        <w:top w:val="none" w:sz="0" w:space="0" w:color="auto"/>
                        <w:left w:val="none" w:sz="0" w:space="0" w:color="auto"/>
                        <w:bottom w:val="none" w:sz="0" w:space="0" w:color="auto"/>
                        <w:right w:val="none" w:sz="0" w:space="0" w:color="auto"/>
                      </w:divBdr>
                      <w:divsChild>
                        <w:div w:id="1951011105">
                          <w:marLeft w:val="0"/>
                          <w:marRight w:val="0"/>
                          <w:marTop w:val="0"/>
                          <w:marBottom w:val="0"/>
                          <w:divBdr>
                            <w:top w:val="none" w:sz="0" w:space="0" w:color="auto"/>
                            <w:left w:val="none" w:sz="0" w:space="0" w:color="auto"/>
                            <w:bottom w:val="none" w:sz="0" w:space="0" w:color="auto"/>
                            <w:right w:val="none" w:sz="0" w:space="0" w:color="auto"/>
                          </w:divBdr>
                          <w:divsChild>
                            <w:div w:id="1463646566">
                              <w:marLeft w:val="0"/>
                              <w:marRight w:val="0"/>
                              <w:marTop w:val="0"/>
                              <w:marBottom w:val="0"/>
                              <w:divBdr>
                                <w:top w:val="none" w:sz="0" w:space="0" w:color="auto"/>
                                <w:left w:val="none" w:sz="0" w:space="0" w:color="auto"/>
                                <w:bottom w:val="none" w:sz="0" w:space="0" w:color="auto"/>
                                <w:right w:val="none" w:sz="0" w:space="0" w:color="auto"/>
                              </w:divBdr>
                              <w:divsChild>
                                <w:div w:id="1169757521">
                                  <w:marLeft w:val="0"/>
                                  <w:marRight w:val="0"/>
                                  <w:marTop w:val="0"/>
                                  <w:marBottom w:val="0"/>
                                  <w:divBdr>
                                    <w:top w:val="none" w:sz="0" w:space="0" w:color="auto"/>
                                    <w:left w:val="none" w:sz="0" w:space="0" w:color="auto"/>
                                    <w:bottom w:val="none" w:sz="0" w:space="0" w:color="auto"/>
                                    <w:right w:val="none" w:sz="0" w:space="0" w:color="auto"/>
                                  </w:divBdr>
                                  <w:divsChild>
                                    <w:div w:id="673846695">
                                      <w:marLeft w:val="0"/>
                                      <w:marRight w:val="0"/>
                                      <w:marTop w:val="0"/>
                                      <w:marBottom w:val="0"/>
                                      <w:divBdr>
                                        <w:top w:val="none" w:sz="0" w:space="0" w:color="auto"/>
                                        <w:left w:val="none" w:sz="0" w:space="0" w:color="auto"/>
                                        <w:bottom w:val="none" w:sz="0" w:space="0" w:color="auto"/>
                                        <w:right w:val="none" w:sz="0" w:space="0" w:color="auto"/>
                                      </w:divBdr>
                                      <w:divsChild>
                                        <w:div w:id="285240172">
                                          <w:marLeft w:val="0"/>
                                          <w:marRight w:val="0"/>
                                          <w:marTop w:val="0"/>
                                          <w:marBottom w:val="0"/>
                                          <w:divBdr>
                                            <w:top w:val="none" w:sz="0" w:space="0" w:color="auto"/>
                                            <w:left w:val="none" w:sz="0" w:space="0" w:color="auto"/>
                                            <w:bottom w:val="none" w:sz="0" w:space="0" w:color="auto"/>
                                            <w:right w:val="none" w:sz="0" w:space="0" w:color="auto"/>
                                          </w:divBdr>
                                          <w:divsChild>
                                            <w:div w:id="364867218">
                                              <w:marLeft w:val="0"/>
                                              <w:marRight w:val="0"/>
                                              <w:marTop w:val="0"/>
                                              <w:marBottom w:val="0"/>
                                              <w:divBdr>
                                                <w:top w:val="none" w:sz="0" w:space="0" w:color="auto"/>
                                                <w:left w:val="none" w:sz="0" w:space="0" w:color="auto"/>
                                                <w:bottom w:val="none" w:sz="0" w:space="0" w:color="auto"/>
                                                <w:right w:val="none" w:sz="0" w:space="0" w:color="auto"/>
                                              </w:divBdr>
                                              <w:divsChild>
                                                <w:div w:id="1081104110">
                                                  <w:marLeft w:val="0"/>
                                                  <w:marRight w:val="0"/>
                                                  <w:marTop w:val="225"/>
                                                  <w:marBottom w:val="300"/>
                                                  <w:divBdr>
                                                    <w:top w:val="none" w:sz="0" w:space="0" w:color="auto"/>
                                                    <w:left w:val="none" w:sz="0" w:space="0" w:color="auto"/>
                                                    <w:bottom w:val="none" w:sz="0" w:space="0" w:color="auto"/>
                                                    <w:right w:val="none" w:sz="0" w:space="0" w:color="auto"/>
                                                  </w:divBdr>
                                                  <w:divsChild>
                                                    <w:div w:id="394280799">
                                                      <w:marLeft w:val="0"/>
                                                      <w:marRight w:val="0"/>
                                                      <w:marTop w:val="0"/>
                                                      <w:marBottom w:val="30"/>
                                                      <w:divBdr>
                                                        <w:top w:val="single" w:sz="6" w:space="0" w:color="E5E5E5"/>
                                                        <w:left w:val="single" w:sz="6" w:space="0" w:color="E5E5E5"/>
                                                        <w:bottom w:val="single" w:sz="6" w:space="0" w:color="E5E5E5"/>
                                                        <w:right w:val="single" w:sz="6" w:space="0" w:color="E5E5E5"/>
                                                      </w:divBdr>
                                                      <w:divsChild>
                                                        <w:div w:id="493110811">
                                                          <w:marLeft w:val="0"/>
                                                          <w:marRight w:val="0"/>
                                                          <w:marTop w:val="0"/>
                                                          <w:marBottom w:val="0"/>
                                                          <w:divBdr>
                                                            <w:top w:val="none" w:sz="0" w:space="0" w:color="auto"/>
                                                            <w:left w:val="none" w:sz="0" w:space="0" w:color="auto"/>
                                                            <w:bottom w:val="none" w:sz="0" w:space="0" w:color="auto"/>
                                                            <w:right w:val="none" w:sz="0" w:space="0" w:color="auto"/>
                                                          </w:divBdr>
                                                        </w:div>
                                                        <w:div w:id="1170801004">
                                                          <w:marLeft w:val="0"/>
                                                          <w:marRight w:val="0"/>
                                                          <w:marTop w:val="0"/>
                                                          <w:marBottom w:val="0"/>
                                                          <w:divBdr>
                                                            <w:top w:val="none" w:sz="0" w:space="0" w:color="auto"/>
                                                            <w:left w:val="none" w:sz="0" w:space="0" w:color="auto"/>
                                                            <w:bottom w:val="none" w:sz="0" w:space="0" w:color="auto"/>
                                                            <w:right w:val="none" w:sz="0" w:space="0" w:color="auto"/>
                                                          </w:divBdr>
                                                          <w:divsChild>
                                                            <w:div w:id="172125029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866855">
      <w:bodyDiv w:val="1"/>
      <w:marLeft w:val="0"/>
      <w:marRight w:val="0"/>
      <w:marTop w:val="0"/>
      <w:marBottom w:val="0"/>
      <w:divBdr>
        <w:top w:val="none" w:sz="0" w:space="0" w:color="auto"/>
        <w:left w:val="none" w:sz="0" w:space="0" w:color="auto"/>
        <w:bottom w:val="none" w:sz="0" w:space="0" w:color="auto"/>
        <w:right w:val="none" w:sz="0" w:space="0" w:color="auto"/>
      </w:divBdr>
      <w:divsChild>
        <w:div w:id="662515068">
          <w:marLeft w:val="0"/>
          <w:marRight w:val="0"/>
          <w:marTop w:val="0"/>
          <w:marBottom w:val="0"/>
          <w:divBdr>
            <w:top w:val="none" w:sz="0" w:space="0" w:color="auto"/>
            <w:left w:val="none" w:sz="0" w:space="0" w:color="auto"/>
            <w:bottom w:val="none" w:sz="0" w:space="0" w:color="auto"/>
            <w:right w:val="none" w:sz="0" w:space="0" w:color="auto"/>
          </w:divBdr>
          <w:divsChild>
            <w:div w:id="1154298631">
              <w:marLeft w:val="0"/>
              <w:marRight w:val="0"/>
              <w:marTop w:val="0"/>
              <w:marBottom w:val="0"/>
              <w:divBdr>
                <w:top w:val="none" w:sz="0" w:space="0" w:color="auto"/>
                <w:left w:val="none" w:sz="0" w:space="0" w:color="auto"/>
                <w:bottom w:val="none" w:sz="0" w:space="0" w:color="auto"/>
                <w:right w:val="none" w:sz="0" w:space="0" w:color="auto"/>
              </w:divBdr>
              <w:divsChild>
                <w:div w:id="2088842809">
                  <w:marLeft w:val="0"/>
                  <w:marRight w:val="0"/>
                  <w:marTop w:val="0"/>
                  <w:marBottom w:val="0"/>
                  <w:divBdr>
                    <w:top w:val="none" w:sz="0" w:space="0" w:color="auto"/>
                    <w:left w:val="none" w:sz="0" w:space="0" w:color="auto"/>
                    <w:bottom w:val="none" w:sz="0" w:space="0" w:color="auto"/>
                    <w:right w:val="none" w:sz="0" w:space="0" w:color="auto"/>
                  </w:divBdr>
                  <w:divsChild>
                    <w:div w:id="1761675748">
                      <w:marLeft w:val="0"/>
                      <w:marRight w:val="0"/>
                      <w:marTop w:val="0"/>
                      <w:marBottom w:val="0"/>
                      <w:divBdr>
                        <w:top w:val="none" w:sz="0" w:space="0" w:color="auto"/>
                        <w:left w:val="none" w:sz="0" w:space="0" w:color="auto"/>
                        <w:bottom w:val="none" w:sz="0" w:space="0" w:color="auto"/>
                        <w:right w:val="none" w:sz="0" w:space="0" w:color="auto"/>
                      </w:divBdr>
                      <w:divsChild>
                        <w:div w:id="685908890">
                          <w:marLeft w:val="0"/>
                          <w:marRight w:val="0"/>
                          <w:marTop w:val="0"/>
                          <w:marBottom w:val="0"/>
                          <w:divBdr>
                            <w:top w:val="none" w:sz="0" w:space="0" w:color="auto"/>
                            <w:left w:val="none" w:sz="0" w:space="0" w:color="auto"/>
                            <w:bottom w:val="none" w:sz="0" w:space="0" w:color="auto"/>
                            <w:right w:val="none" w:sz="0" w:space="0" w:color="auto"/>
                          </w:divBdr>
                          <w:divsChild>
                            <w:div w:id="944653348">
                              <w:marLeft w:val="0"/>
                              <w:marRight w:val="0"/>
                              <w:marTop w:val="0"/>
                              <w:marBottom w:val="0"/>
                              <w:divBdr>
                                <w:top w:val="none" w:sz="0" w:space="0" w:color="auto"/>
                                <w:left w:val="none" w:sz="0" w:space="0" w:color="auto"/>
                                <w:bottom w:val="none" w:sz="0" w:space="0" w:color="auto"/>
                                <w:right w:val="none" w:sz="0" w:space="0" w:color="auto"/>
                              </w:divBdr>
                              <w:divsChild>
                                <w:div w:id="1068384459">
                                  <w:marLeft w:val="0"/>
                                  <w:marRight w:val="0"/>
                                  <w:marTop w:val="0"/>
                                  <w:marBottom w:val="0"/>
                                  <w:divBdr>
                                    <w:top w:val="none" w:sz="0" w:space="0" w:color="auto"/>
                                    <w:left w:val="none" w:sz="0" w:space="0" w:color="auto"/>
                                    <w:bottom w:val="none" w:sz="0" w:space="0" w:color="auto"/>
                                    <w:right w:val="none" w:sz="0" w:space="0" w:color="auto"/>
                                  </w:divBdr>
                                  <w:divsChild>
                                    <w:div w:id="439767694">
                                      <w:marLeft w:val="0"/>
                                      <w:marRight w:val="0"/>
                                      <w:marTop w:val="0"/>
                                      <w:marBottom w:val="0"/>
                                      <w:divBdr>
                                        <w:top w:val="none" w:sz="0" w:space="0" w:color="auto"/>
                                        <w:left w:val="none" w:sz="0" w:space="0" w:color="auto"/>
                                        <w:bottom w:val="none" w:sz="0" w:space="0" w:color="auto"/>
                                        <w:right w:val="none" w:sz="0" w:space="0" w:color="auto"/>
                                      </w:divBdr>
                                      <w:divsChild>
                                        <w:div w:id="1631740689">
                                          <w:marLeft w:val="0"/>
                                          <w:marRight w:val="0"/>
                                          <w:marTop w:val="0"/>
                                          <w:marBottom w:val="0"/>
                                          <w:divBdr>
                                            <w:top w:val="none" w:sz="0" w:space="0" w:color="auto"/>
                                            <w:left w:val="none" w:sz="0" w:space="0" w:color="auto"/>
                                            <w:bottom w:val="none" w:sz="0" w:space="0" w:color="auto"/>
                                            <w:right w:val="none" w:sz="0" w:space="0" w:color="auto"/>
                                          </w:divBdr>
                                          <w:divsChild>
                                            <w:div w:id="1752237165">
                                              <w:marLeft w:val="0"/>
                                              <w:marRight w:val="0"/>
                                              <w:marTop w:val="0"/>
                                              <w:marBottom w:val="0"/>
                                              <w:divBdr>
                                                <w:top w:val="none" w:sz="0" w:space="0" w:color="auto"/>
                                                <w:left w:val="none" w:sz="0" w:space="0" w:color="auto"/>
                                                <w:bottom w:val="none" w:sz="0" w:space="0" w:color="auto"/>
                                                <w:right w:val="none" w:sz="0" w:space="0" w:color="auto"/>
                                              </w:divBdr>
                                              <w:divsChild>
                                                <w:div w:id="725639628">
                                                  <w:marLeft w:val="0"/>
                                                  <w:marRight w:val="0"/>
                                                  <w:marTop w:val="225"/>
                                                  <w:marBottom w:val="300"/>
                                                  <w:divBdr>
                                                    <w:top w:val="none" w:sz="0" w:space="0" w:color="auto"/>
                                                    <w:left w:val="none" w:sz="0" w:space="0" w:color="auto"/>
                                                    <w:bottom w:val="none" w:sz="0" w:space="0" w:color="auto"/>
                                                    <w:right w:val="none" w:sz="0" w:space="0" w:color="auto"/>
                                                  </w:divBdr>
                                                  <w:divsChild>
                                                    <w:div w:id="93863865">
                                                      <w:marLeft w:val="0"/>
                                                      <w:marRight w:val="0"/>
                                                      <w:marTop w:val="0"/>
                                                      <w:marBottom w:val="30"/>
                                                      <w:divBdr>
                                                        <w:top w:val="single" w:sz="6" w:space="0" w:color="E5E5E5"/>
                                                        <w:left w:val="single" w:sz="6" w:space="0" w:color="E5E5E5"/>
                                                        <w:bottom w:val="single" w:sz="6" w:space="0" w:color="E5E5E5"/>
                                                        <w:right w:val="single" w:sz="6" w:space="0" w:color="E5E5E5"/>
                                                      </w:divBdr>
                                                      <w:divsChild>
                                                        <w:div w:id="1265070739">
                                                          <w:marLeft w:val="0"/>
                                                          <w:marRight w:val="0"/>
                                                          <w:marTop w:val="0"/>
                                                          <w:marBottom w:val="0"/>
                                                          <w:divBdr>
                                                            <w:top w:val="none" w:sz="0" w:space="0" w:color="auto"/>
                                                            <w:left w:val="none" w:sz="0" w:space="0" w:color="auto"/>
                                                            <w:bottom w:val="none" w:sz="0" w:space="0" w:color="auto"/>
                                                            <w:right w:val="none" w:sz="0" w:space="0" w:color="auto"/>
                                                          </w:divBdr>
                                                        </w:div>
                                                        <w:div w:id="1612475383">
                                                          <w:marLeft w:val="0"/>
                                                          <w:marRight w:val="0"/>
                                                          <w:marTop w:val="0"/>
                                                          <w:marBottom w:val="0"/>
                                                          <w:divBdr>
                                                            <w:top w:val="none" w:sz="0" w:space="0" w:color="auto"/>
                                                            <w:left w:val="none" w:sz="0" w:space="0" w:color="auto"/>
                                                            <w:bottom w:val="none" w:sz="0" w:space="0" w:color="auto"/>
                                                            <w:right w:val="none" w:sz="0" w:space="0" w:color="auto"/>
                                                          </w:divBdr>
                                                          <w:divsChild>
                                                            <w:div w:id="26924027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29740">
      <w:bodyDiv w:val="1"/>
      <w:marLeft w:val="0"/>
      <w:marRight w:val="0"/>
      <w:marTop w:val="0"/>
      <w:marBottom w:val="0"/>
      <w:divBdr>
        <w:top w:val="none" w:sz="0" w:space="0" w:color="auto"/>
        <w:left w:val="none" w:sz="0" w:space="0" w:color="auto"/>
        <w:bottom w:val="none" w:sz="0" w:space="0" w:color="auto"/>
        <w:right w:val="none" w:sz="0" w:space="0" w:color="auto"/>
      </w:divBdr>
      <w:divsChild>
        <w:div w:id="2114207979">
          <w:marLeft w:val="0"/>
          <w:marRight w:val="0"/>
          <w:marTop w:val="0"/>
          <w:marBottom w:val="0"/>
          <w:divBdr>
            <w:top w:val="none" w:sz="0" w:space="0" w:color="auto"/>
            <w:left w:val="none" w:sz="0" w:space="0" w:color="auto"/>
            <w:bottom w:val="none" w:sz="0" w:space="0" w:color="auto"/>
            <w:right w:val="none" w:sz="0" w:space="0" w:color="auto"/>
          </w:divBdr>
          <w:divsChild>
            <w:div w:id="1906648106">
              <w:marLeft w:val="0"/>
              <w:marRight w:val="0"/>
              <w:marTop w:val="0"/>
              <w:marBottom w:val="0"/>
              <w:divBdr>
                <w:top w:val="none" w:sz="0" w:space="0" w:color="auto"/>
                <w:left w:val="none" w:sz="0" w:space="0" w:color="auto"/>
                <w:bottom w:val="none" w:sz="0" w:space="0" w:color="auto"/>
                <w:right w:val="none" w:sz="0" w:space="0" w:color="auto"/>
              </w:divBdr>
              <w:divsChild>
                <w:div w:id="406418450">
                  <w:marLeft w:val="0"/>
                  <w:marRight w:val="0"/>
                  <w:marTop w:val="0"/>
                  <w:marBottom w:val="0"/>
                  <w:divBdr>
                    <w:top w:val="none" w:sz="0" w:space="0" w:color="auto"/>
                    <w:left w:val="none" w:sz="0" w:space="0" w:color="auto"/>
                    <w:bottom w:val="none" w:sz="0" w:space="0" w:color="auto"/>
                    <w:right w:val="none" w:sz="0" w:space="0" w:color="auto"/>
                  </w:divBdr>
                  <w:divsChild>
                    <w:div w:id="388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4152">
      <w:bodyDiv w:val="1"/>
      <w:marLeft w:val="0"/>
      <w:marRight w:val="0"/>
      <w:marTop w:val="0"/>
      <w:marBottom w:val="0"/>
      <w:divBdr>
        <w:top w:val="none" w:sz="0" w:space="0" w:color="auto"/>
        <w:left w:val="none" w:sz="0" w:space="0" w:color="auto"/>
        <w:bottom w:val="none" w:sz="0" w:space="0" w:color="auto"/>
        <w:right w:val="none" w:sz="0" w:space="0" w:color="auto"/>
      </w:divBdr>
      <w:divsChild>
        <w:div w:id="1482456333">
          <w:marLeft w:val="0"/>
          <w:marRight w:val="0"/>
          <w:marTop w:val="0"/>
          <w:marBottom w:val="0"/>
          <w:divBdr>
            <w:top w:val="none" w:sz="0" w:space="0" w:color="auto"/>
            <w:left w:val="none" w:sz="0" w:space="0" w:color="auto"/>
            <w:bottom w:val="none" w:sz="0" w:space="0" w:color="auto"/>
            <w:right w:val="none" w:sz="0" w:space="0" w:color="auto"/>
          </w:divBdr>
          <w:divsChild>
            <w:div w:id="1251767400">
              <w:marLeft w:val="0"/>
              <w:marRight w:val="0"/>
              <w:marTop w:val="0"/>
              <w:marBottom w:val="0"/>
              <w:divBdr>
                <w:top w:val="none" w:sz="0" w:space="0" w:color="auto"/>
                <w:left w:val="none" w:sz="0" w:space="0" w:color="auto"/>
                <w:bottom w:val="none" w:sz="0" w:space="0" w:color="auto"/>
                <w:right w:val="none" w:sz="0" w:space="0" w:color="auto"/>
              </w:divBdr>
              <w:divsChild>
                <w:div w:id="1085951520">
                  <w:marLeft w:val="0"/>
                  <w:marRight w:val="0"/>
                  <w:marTop w:val="0"/>
                  <w:marBottom w:val="0"/>
                  <w:divBdr>
                    <w:top w:val="none" w:sz="0" w:space="0" w:color="auto"/>
                    <w:left w:val="none" w:sz="0" w:space="0" w:color="auto"/>
                    <w:bottom w:val="none" w:sz="0" w:space="0" w:color="auto"/>
                    <w:right w:val="none" w:sz="0" w:space="0" w:color="auto"/>
                  </w:divBdr>
                  <w:divsChild>
                    <w:div w:id="230192058">
                      <w:marLeft w:val="0"/>
                      <w:marRight w:val="0"/>
                      <w:marTop w:val="0"/>
                      <w:marBottom w:val="0"/>
                      <w:divBdr>
                        <w:top w:val="none" w:sz="0" w:space="0" w:color="auto"/>
                        <w:left w:val="none" w:sz="0" w:space="0" w:color="auto"/>
                        <w:bottom w:val="none" w:sz="0" w:space="0" w:color="auto"/>
                        <w:right w:val="none" w:sz="0" w:space="0" w:color="auto"/>
                      </w:divBdr>
                      <w:divsChild>
                        <w:div w:id="638344332">
                          <w:marLeft w:val="0"/>
                          <w:marRight w:val="0"/>
                          <w:marTop w:val="0"/>
                          <w:marBottom w:val="0"/>
                          <w:divBdr>
                            <w:top w:val="none" w:sz="0" w:space="0" w:color="auto"/>
                            <w:left w:val="none" w:sz="0" w:space="0" w:color="auto"/>
                            <w:bottom w:val="none" w:sz="0" w:space="0" w:color="auto"/>
                            <w:right w:val="none" w:sz="0" w:space="0" w:color="auto"/>
                          </w:divBdr>
                          <w:divsChild>
                            <w:div w:id="1204634713">
                              <w:marLeft w:val="0"/>
                              <w:marRight w:val="0"/>
                              <w:marTop w:val="0"/>
                              <w:marBottom w:val="0"/>
                              <w:divBdr>
                                <w:top w:val="none" w:sz="0" w:space="0" w:color="auto"/>
                                <w:left w:val="none" w:sz="0" w:space="0" w:color="auto"/>
                                <w:bottom w:val="none" w:sz="0" w:space="0" w:color="auto"/>
                                <w:right w:val="none" w:sz="0" w:space="0" w:color="auto"/>
                              </w:divBdr>
                              <w:divsChild>
                                <w:div w:id="1605378639">
                                  <w:marLeft w:val="0"/>
                                  <w:marRight w:val="0"/>
                                  <w:marTop w:val="0"/>
                                  <w:marBottom w:val="0"/>
                                  <w:divBdr>
                                    <w:top w:val="none" w:sz="0" w:space="0" w:color="auto"/>
                                    <w:left w:val="none" w:sz="0" w:space="0" w:color="auto"/>
                                    <w:bottom w:val="none" w:sz="0" w:space="0" w:color="auto"/>
                                    <w:right w:val="none" w:sz="0" w:space="0" w:color="auto"/>
                                  </w:divBdr>
                                  <w:divsChild>
                                    <w:div w:id="2095739167">
                                      <w:marLeft w:val="0"/>
                                      <w:marRight w:val="0"/>
                                      <w:marTop w:val="0"/>
                                      <w:marBottom w:val="0"/>
                                      <w:divBdr>
                                        <w:top w:val="none" w:sz="0" w:space="0" w:color="auto"/>
                                        <w:left w:val="none" w:sz="0" w:space="0" w:color="auto"/>
                                        <w:bottom w:val="none" w:sz="0" w:space="0" w:color="auto"/>
                                        <w:right w:val="none" w:sz="0" w:space="0" w:color="auto"/>
                                      </w:divBdr>
                                      <w:divsChild>
                                        <w:div w:id="591622102">
                                          <w:marLeft w:val="0"/>
                                          <w:marRight w:val="0"/>
                                          <w:marTop w:val="0"/>
                                          <w:marBottom w:val="0"/>
                                          <w:divBdr>
                                            <w:top w:val="none" w:sz="0" w:space="0" w:color="auto"/>
                                            <w:left w:val="none" w:sz="0" w:space="0" w:color="auto"/>
                                            <w:bottom w:val="none" w:sz="0" w:space="0" w:color="auto"/>
                                            <w:right w:val="none" w:sz="0" w:space="0" w:color="auto"/>
                                          </w:divBdr>
                                          <w:divsChild>
                                            <w:div w:id="1556047443">
                                              <w:marLeft w:val="0"/>
                                              <w:marRight w:val="0"/>
                                              <w:marTop w:val="0"/>
                                              <w:marBottom w:val="0"/>
                                              <w:divBdr>
                                                <w:top w:val="none" w:sz="0" w:space="0" w:color="auto"/>
                                                <w:left w:val="none" w:sz="0" w:space="0" w:color="auto"/>
                                                <w:bottom w:val="none" w:sz="0" w:space="0" w:color="auto"/>
                                                <w:right w:val="none" w:sz="0" w:space="0" w:color="auto"/>
                                              </w:divBdr>
                                              <w:divsChild>
                                                <w:div w:id="904535678">
                                                  <w:marLeft w:val="0"/>
                                                  <w:marRight w:val="0"/>
                                                  <w:marTop w:val="225"/>
                                                  <w:marBottom w:val="300"/>
                                                  <w:divBdr>
                                                    <w:top w:val="none" w:sz="0" w:space="0" w:color="auto"/>
                                                    <w:left w:val="none" w:sz="0" w:space="0" w:color="auto"/>
                                                    <w:bottom w:val="none" w:sz="0" w:space="0" w:color="auto"/>
                                                    <w:right w:val="none" w:sz="0" w:space="0" w:color="auto"/>
                                                  </w:divBdr>
                                                  <w:divsChild>
                                                    <w:div w:id="1726760269">
                                                      <w:marLeft w:val="0"/>
                                                      <w:marRight w:val="0"/>
                                                      <w:marTop w:val="0"/>
                                                      <w:marBottom w:val="30"/>
                                                      <w:divBdr>
                                                        <w:top w:val="single" w:sz="6" w:space="0" w:color="E5E5E5"/>
                                                        <w:left w:val="single" w:sz="6" w:space="0" w:color="E5E5E5"/>
                                                        <w:bottom w:val="single" w:sz="6" w:space="0" w:color="E5E5E5"/>
                                                        <w:right w:val="single" w:sz="6" w:space="0" w:color="E5E5E5"/>
                                                      </w:divBdr>
                                                      <w:divsChild>
                                                        <w:div w:id="67113229">
                                                          <w:marLeft w:val="0"/>
                                                          <w:marRight w:val="0"/>
                                                          <w:marTop w:val="0"/>
                                                          <w:marBottom w:val="0"/>
                                                          <w:divBdr>
                                                            <w:top w:val="none" w:sz="0" w:space="0" w:color="auto"/>
                                                            <w:left w:val="none" w:sz="0" w:space="0" w:color="auto"/>
                                                            <w:bottom w:val="none" w:sz="0" w:space="0" w:color="auto"/>
                                                            <w:right w:val="none" w:sz="0" w:space="0" w:color="auto"/>
                                                          </w:divBdr>
                                                        </w:div>
                                                        <w:div w:id="2025355428">
                                                          <w:marLeft w:val="0"/>
                                                          <w:marRight w:val="0"/>
                                                          <w:marTop w:val="0"/>
                                                          <w:marBottom w:val="0"/>
                                                          <w:divBdr>
                                                            <w:top w:val="none" w:sz="0" w:space="0" w:color="auto"/>
                                                            <w:left w:val="none" w:sz="0" w:space="0" w:color="auto"/>
                                                            <w:bottom w:val="none" w:sz="0" w:space="0" w:color="auto"/>
                                                            <w:right w:val="none" w:sz="0" w:space="0" w:color="auto"/>
                                                          </w:divBdr>
                                                          <w:divsChild>
                                                            <w:div w:id="8331057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335783">
      <w:bodyDiv w:val="1"/>
      <w:marLeft w:val="0"/>
      <w:marRight w:val="0"/>
      <w:marTop w:val="0"/>
      <w:marBottom w:val="0"/>
      <w:divBdr>
        <w:top w:val="none" w:sz="0" w:space="0" w:color="auto"/>
        <w:left w:val="none" w:sz="0" w:space="0" w:color="auto"/>
        <w:bottom w:val="none" w:sz="0" w:space="0" w:color="auto"/>
        <w:right w:val="none" w:sz="0" w:space="0" w:color="auto"/>
      </w:divBdr>
      <w:divsChild>
        <w:div w:id="106462631">
          <w:marLeft w:val="0"/>
          <w:marRight w:val="0"/>
          <w:marTop w:val="0"/>
          <w:marBottom w:val="0"/>
          <w:divBdr>
            <w:top w:val="none" w:sz="0" w:space="0" w:color="auto"/>
            <w:left w:val="none" w:sz="0" w:space="0" w:color="auto"/>
            <w:bottom w:val="none" w:sz="0" w:space="0" w:color="auto"/>
            <w:right w:val="none" w:sz="0" w:space="0" w:color="auto"/>
          </w:divBdr>
          <w:divsChild>
            <w:div w:id="1094977813">
              <w:marLeft w:val="0"/>
              <w:marRight w:val="0"/>
              <w:marTop w:val="0"/>
              <w:marBottom w:val="0"/>
              <w:divBdr>
                <w:top w:val="none" w:sz="0" w:space="0" w:color="auto"/>
                <w:left w:val="none" w:sz="0" w:space="0" w:color="auto"/>
                <w:bottom w:val="none" w:sz="0" w:space="0" w:color="auto"/>
                <w:right w:val="none" w:sz="0" w:space="0" w:color="auto"/>
              </w:divBdr>
              <w:divsChild>
                <w:div w:id="851651622">
                  <w:marLeft w:val="0"/>
                  <w:marRight w:val="0"/>
                  <w:marTop w:val="0"/>
                  <w:marBottom w:val="0"/>
                  <w:divBdr>
                    <w:top w:val="none" w:sz="0" w:space="0" w:color="auto"/>
                    <w:left w:val="none" w:sz="0" w:space="0" w:color="auto"/>
                    <w:bottom w:val="none" w:sz="0" w:space="0" w:color="auto"/>
                    <w:right w:val="none" w:sz="0" w:space="0" w:color="auto"/>
                  </w:divBdr>
                  <w:divsChild>
                    <w:div w:id="21297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897">
      <w:bodyDiv w:val="1"/>
      <w:marLeft w:val="0"/>
      <w:marRight w:val="0"/>
      <w:marTop w:val="0"/>
      <w:marBottom w:val="0"/>
      <w:divBdr>
        <w:top w:val="none" w:sz="0" w:space="0" w:color="auto"/>
        <w:left w:val="none" w:sz="0" w:space="0" w:color="auto"/>
        <w:bottom w:val="none" w:sz="0" w:space="0" w:color="auto"/>
        <w:right w:val="none" w:sz="0" w:space="0" w:color="auto"/>
      </w:divBdr>
      <w:divsChild>
        <w:div w:id="2039693463">
          <w:marLeft w:val="0"/>
          <w:marRight w:val="0"/>
          <w:marTop w:val="0"/>
          <w:marBottom w:val="0"/>
          <w:divBdr>
            <w:top w:val="none" w:sz="0" w:space="0" w:color="auto"/>
            <w:left w:val="none" w:sz="0" w:space="0" w:color="auto"/>
            <w:bottom w:val="none" w:sz="0" w:space="0" w:color="auto"/>
            <w:right w:val="none" w:sz="0" w:space="0" w:color="auto"/>
          </w:divBdr>
          <w:divsChild>
            <w:div w:id="210267924">
              <w:marLeft w:val="0"/>
              <w:marRight w:val="0"/>
              <w:marTop w:val="0"/>
              <w:marBottom w:val="0"/>
              <w:divBdr>
                <w:top w:val="none" w:sz="0" w:space="0" w:color="auto"/>
                <w:left w:val="none" w:sz="0" w:space="0" w:color="auto"/>
                <w:bottom w:val="none" w:sz="0" w:space="0" w:color="auto"/>
                <w:right w:val="none" w:sz="0" w:space="0" w:color="auto"/>
              </w:divBdr>
              <w:divsChild>
                <w:div w:id="494150752">
                  <w:marLeft w:val="0"/>
                  <w:marRight w:val="0"/>
                  <w:marTop w:val="0"/>
                  <w:marBottom w:val="0"/>
                  <w:divBdr>
                    <w:top w:val="none" w:sz="0" w:space="0" w:color="auto"/>
                    <w:left w:val="none" w:sz="0" w:space="0" w:color="auto"/>
                    <w:bottom w:val="none" w:sz="0" w:space="0" w:color="auto"/>
                    <w:right w:val="none" w:sz="0" w:space="0" w:color="auto"/>
                  </w:divBdr>
                  <w:divsChild>
                    <w:div w:id="1907915905">
                      <w:marLeft w:val="0"/>
                      <w:marRight w:val="0"/>
                      <w:marTop w:val="0"/>
                      <w:marBottom w:val="0"/>
                      <w:divBdr>
                        <w:top w:val="none" w:sz="0" w:space="0" w:color="auto"/>
                        <w:left w:val="none" w:sz="0" w:space="0" w:color="auto"/>
                        <w:bottom w:val="none" w:sz="0" w:space="0" w:color="auto"/>
                        <w:right w:val="none" w:sz="0" w:space="0" w:color="auto"/>
                      </w:divBdr>
                      <w:divsChild>
                        <w:div w:id="703561530">
                          <w:marLeft w:val="0"/>
                          <w:marRight w:val="0"/>
                          <w:marTop w:val="0"/>
                          <w:marBottom w:val="0"/>
                          <w:divBdr>
                            <w:top w:val="none" w:sz="0" w:space="0" w:color="auto"/>
                            <w:left w:val="none" w:sz="0" w:space="0" w:color="auto"/>
                            <w:bottom w:val="none" w:sz="0" w:space="0" w:color="auto"/>
                            <w:right w:val="none" w:sz="0" w:space="0" w:color="auto"/>
                          </w:divBdr>
                          <w:divsChild>
                            <w:div w:id="1714039682">
                              <w:marLeft w:val="0"/>
                              <w:marRight w:val="0"/>
                              <w:marTop w:val="0"/>
                              <w:marBottom w:val="0"/>
                              <w:divBdr>
                                <w:top w:val="none" w:sz="0" w:space="0" w:color="auto"/>
                                <w:left w:val="none" w:sz="0" w:space="0" w:color="auto"/>
                                <w:bottom w:val="none" w:sz="0" w:space="0" w:color="auto"/>
                                <w:right w:val="none" w:sz="0" w:space="0" w:color="auto"/>
                              </w:divBdr>
                              <w:divsChild>
                                <w:div w:id="81221754">
                                  <w:marLeft w:val="0"/>
                                  <w:marRight w:val="0"/>
                                  <w:marTop w:val="0"/>
                                  <w:marBottom w:val="0"/>
                                  <w:divBdr>
                                    <w:top w:val="none" w:sz="0" w:space="0" w:color="auto"/>
                                    <w:left w:val="none" w:sz="0" w:space="0" w:color="auto"/>
                                    <w:bottom w:val="none" w:sz="0" w:space="0" w:color="auto"/>
                                    <w:right w:val="none" w:sz="0" w:space="0" w:color="auto"/>
                                  </w:divBdr>
                                  <w:divsChild>
                                    <w:div w:id="1912155433">
                                      <w:marLeft w:val="0"/>
                                      <w:marRight w:val="0"/>
                                      <w:marTop w:val="0"/>
                                      <w:marBottom w:val="0"/>
                                      <w:divBdr>
                                        <w:top w:val="none" w:sz="0" w:space="0" w:color="auto"/>
                                        <w:left w:val="none" w:sz="0" w:space="0" w:color="auto"/>
                                        <w:bottom w:val="none" w:sz="0" w:space="0" w:color="auto"/>
                                        <w:right w:val="none" w:sz="0" w:space="0" w:color="auto"/>
                                      </w:divBdr>
                                      <w:divsChild>
                                        <w:div w:id="2113478491">
                                          <w:marLeft w:val="0"/>
                                          <w:marRight w:val="0"/>
                                          <w:marTop w:val="0"/>
                                          <w:marBottom w:val="0"/>
                                          <w:divBdr>
                                            <w:top w:val="none" w:sz="0" w:space="0" w:color="auto"/>
                                            <w:left w:val="none" w:sz="0" w:space="0" w:color="auto"/>
                                            <w:bottom w:val="none" w:sz="0" w:space="0" w:color="auto"/>
                                            <w:right w:val="none" w:sz="0" w:space="0" w:color="auto"/>
                                          </w:divBdr>
                                          <w:divsChild>
                                            <w:div w:id="1229926618">
                                              <w:marLeft w:val="0"/>
                                              <w:marRight w:val="0"/>
                                              <w:marTop w:val="0"/>
                                              <w:marBottom w:val="0"/>
                                              <w:divBdr>
                                                <w:top w:val="none" w:sz="0" w:space="0" w:color="auto"/>
                                                <w:left w:val="none" w:sz="0" w:space="0" w:color="auto"/>
                                                <w:bottom w:val="none" w:sz="0" w:space="0" w:color="auto"/>
                                                <w:right w:val="none" w:sz="0" w:space="0" w:color="auto"/>
                                              </w:divBdr>
                                              <w:divsChild>
                                                <w:div w:id="433941344">
                                                  <w:marLeft w:val="0"/>
                                                  <w:marRight w:val="0"/>
                                                  <w:marTop w:val="0"/>
                                                  <w:marBottom w:val="0"/>
                                                  <w:divBdr>
                                                    <w:top w:val="none" w:sz="0" w:space="0" w:color="auto"/>
                                                    <w:left w:val="none" w:sz="0" w:space="0" w:color="auto"/>
                                                    <w:bottom w:val="none" w:sz="0" w:space="0" w:color="auto"/>
                                                    <w:right w:val="none" w:sz="0" w:space="0" w:color="auto"/>
                                                  </w:divBdr>
                                                </w:div>
                                                <w:div w:id="1760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439581">
      <w:bodyDiv w:val="1"/>
      <w:marLeft w:val="0"/>
      <w:marRight w:val="0"/>
      <w:marTop w:val="0"/>
      <w:marBottom w:val="0"/>
      <w:divBdr>
        <w:top w:val="none" w:sz="0" w:space="0" w:color="auto"/>
        <w:left w:val="none" w:sz="0" w:space="0" w:color="auto"/>
        <w:bottom w:val="none" w:sz="0" w:space="0" w:color="auto"/>
        <w:right w:val="none" w:sz="0" w:space="0" w:color="auto"/>
      </w:divBdr>
      <w:divsChild>
        <w:div w:id="1811248260">
          <w:marLeft w:val="0"/>
          <w:marRight w:val="0"/>
          <w:marTop w:val="0"/>
          <w:marBottom w:val="0"/>
          <w:divBdr>
            <w:top w:val="none" w:sz="0" w:space="0" w:color="auto"/>
            <w:left w:val="none" w:sz="0" w:space="0" w:color="auto"/>
            <w:bottom w:val="none" w:sz="0" w:space="0" w:color="auto"/>
            <w:right w:val="none" w:sz="0" w:space="0" w:color="auto"/>
          </w:divBdr>
          <w:divsChild>
            <w:div w:id="1850288123">
              <w:marLeft w:val="0"/>
              <w:marRight w:val="0"/>
              <w:marTop w:val="0"/>
              <w:marBottom w:val="0"/>
              <w:divBdr>
                <w:top w:val="none" w:sz="0" w:space="0" w:color="auto"/>
                <w:left w:val="none" w:sz="0" w:space="0" w:color="auto"/>
                <w:bottom w:val="none" w:sz="0" w:space="0" w:color="auto"/>
                <w:right w:val="none" w:sz="0" w:space="0" w:color="auto"/>
              </w:divBdr>
              <w:divsChild>
                <w:div w:id="2074966020">
                  <w:marLeft w:val="0"/>
                  <w:marRight w:val="0"/>
                  <w:marTop w:val="0"/>
                  <w:marBottom w:val="0"/>
                  <w:divBdr>
                    <w:top w:val="none" w:sz="0" w:space="0" w:color="auto"/>
                    <w:left w:val="none" w:sz="0" w:space="0" w:color="auto"/>
                    <w:bottom w:val="none" w:sz="0" w:space="0" w:color="auto"/>
                    <w:right w:val="none" w:sz="0" w:space="0" w:color="auto"/>
                  </w:divBdr>
                  <w:divsChild>
                    <w:div w:id="1528716247">
                      <w:marLeft w:val="0"/>
                      <w:marRight w:val="0"/>
                      <w:marTop w:val="0"/>
                      <w:marBottom w:val="0"/>
                      <w:divBdr>
                        <w:top w:val="none" w:sz="0" w:space="0" w:color="auto"/>
                        <w:left w:val="none" w:sz="0" w:space="0" w:color="auto"/>
                        <w:bottom w:val="none" w:sz="0" w:space="0" w:color="auto"/>
                        <w:right w:val="none" w:sz="0" w:space="0" w:color="auto"/>
                      </w:divBdr>
                      <w:divsChild>
                        <w:div w:id="552085005">
                          <w:marLeft w:val="0"/>
                          <w:marRight w:val="0"/>
                          <w:marTop w:val="0"/>
                          <w:marBottom w:val="0"/>
                          <w:divBdr>
                            <w:top w:val="none" w:sz="0" w:space="0" w:color="auto"/>
                            <w:left w:val="none" w:sz="0" w:space="0" w:color="auto"/>
                            <w:bottom w:val="none" w:sz="0" w:space="0" w:color="auto"/>
                            <w:right w:val="none" w:sz="0" w:space="0" w:color="auto"/>
                          </w:divBdr>
                          <w:divsChild>
                            <w:div w:id="1441611718">
                              <w:marLeft w:val="0"/>
                              <w:marRight w:val="0"/>
                              <w:marTop w:val="0"/>
                              <w:marBottom w:val="0"/>
                              <w:divBdr>
                                <w:top w:val="none" w:sz="0" w:space="0" w:color="auto"/>
                                <w:left w:val="none" w:sz="0" w:space="0" w:color="auto"/>
                                <w:bottom w:val="none" w:sz="0" w:space="0" w:color="auto"/>
                                <w:right w:val="none" w:sz="0" w:space="0" w:color="auto"/>
                              </w:divBdr>
                              <w:divsChild>
                                <w:div w:id="1398091545">
                                  <w:marLeft w:val="0"/>
                                  <w:marRight w:val="0"/>
                                  <w:marTop w:val="0"/>
                                  <w:marBottom w:val="0"/>
                                  <w:divBdr>
                                    <w:top w:val="none" w:sz="0" w:space="0" w:color="auto"/>
                                    <w:left w:val="none" w:sz="0" w:space="0" w:color="auto"/>
                                    <w:bottom w:val="none" w:sz="0" w:space="0" w:color="auto"/>
                                    <w:right w:val="none" w:sz="0" w:space="0" w:color="auto"/>
                                  </w:divBdr>
                                  <w:divsChild>
                                    <w:div w:id="974485361">
                                      <w:marLeft w:val="0"/>
                                      <w:marRight w:val="0"/>
                                      <w:marTop w:val="0"/>
                                      <w:marBottom w:val="0"/>
                                      <w:divBdr>
                                        <w:top w:val="none" w:sz="0" w:space="0" w:color="auto"/>
                                        <w:left w:val="none" w:sz="0" w:space="0" w:color="auto"/>
                                        <w:bottom w:val="none" w:sz="0" w:space="0" w:color="auto"/>
                                        <w:right w:val="none" w:sz="0" w:space="0" w:color="auto"/>
                                      </w:divBdr>
                                      <w:divsChild>
                                        <w:div w:id="1677464072">
                                          <w:marLeft w:val="0"/>
                                          <w:marRight w:val="0"/>
                                          <w:marTop w:val="0"/>
                                          <w:marBottom w:val="0"/>
                                          <w:divBdr>
                                            <w:top w:val="none" w:sz="0" w:space="0" w:color="auto"/>
                                            <w:left w:val="none" w:sz="0" w:space="0" w:color="auto"/>
                                            <w:bottom w:val="none" w:sz="0" w:space="0" w:color="auto"/>
                                            <w:right w:val="none" w:sz="0" w:space="0" w:color="auto"/>
                                          </w:divBdr>
                                          <w:divsChild>
                                            <w:div w:id="1519199684">
                                              <w:marLeft w:val="0"/>
                                              <w:marRight w:val="0"/>
                                              <w:marTop w:val="0"/>
                                              <w:marBottom w:val="0"/>
                                              <w:divBdr>
                                                <w:top w:val="none" w:sz="0" w:space="0" w:color="auto"/>
                                                <w:left w:val="none" w:sz="0" w:space="0" w:color="auto"/>
                                                <w:bottom w:val="none" w:sz="0" w:space="0" w:color="auto"/>
                                                <w:right w:val="none" w:sz="0" w:space="0" w:color="auto"/>
                                              </w:divBdr>
                                              <w:divsChild>
                                                <w:div w:id="1971129083">
                                                  <w:marLeft w:val="0"/>
                                                  <w:marRight w:val="0"/>
                                                  <w:marTop w:val="225"/>
                                                  <w:marBottom w:val="300"/>
                                                  <w:divBdr>
                                                    <w:top w:val="none" w:sz="0" w:space="0" w:color="auto"/>
                                                    <w:left w:val="none" w:sz="0" w:space="0" w:color="auto"/>
                                                    <w:bottom w:val="none" w:sz="0" w:space="0" w:color="auto"/>
                                                    <w:right w:val="none" w:sz="0" w:space="0" w:color="auto"/>
                                                  </w:divBdr>
                                                  <w:divsChild>
                                                    <w:div w:id="967662094">
                                                      <w:marLeft w:val="0"/>
                                                      <w:marRight w:val="0"/>
                                                      <w:marTop w:val="0"/>
                                                      <w:marBottom w:val="30"/>
                                                      <w:divBdr>
                                                        <w:top w:val="single" w:sz="6" w:space="0" w:color="E5E5E5"/>
                                                        <w:left w:val="single" w:sz="6" w:space="0" w:color="E5E5E5"/>
                                                        <w:bottom w:val="single" w:sz="6" w:space="0" w:color="E5E5E5"/>
                                                        <w:right w:val="single" w:sz="6" w:space="0" w:color="E5E5E5"/>
                                                      </w:divBdr>
                                                      <w:divsChild>
                                                        <w:div w:id="385109396">
                                                          <w:marLeft w:val="0"/>
                                                          <w:marRight w:val="0"/>
                                                          <w:marTop w:val="0"/>
                                                          <w:marBottom w:val="0"/>
                                                          <w:divBdr>
                                                            <w:top w:val="none" w:sz="0" w:space="0" w:color="auto"/>
                                                            <w:left w:val="none" w:sz="0" w:space="0" w:color="auto"/>
                                                            <w:bottom w:val="none" w:sz="0" w:space="0" w:color="auto"/>
                                                            <w:right w:val="none" w:sz="0" w:space="0" w:color="auto"/>
                                                          </w:divBdr>
                                                          <w:divsChild>
                                                            <w:div w:id="1603345123">
                                                              <w:marLeft w:val="0"/>
                                                              <w:marRight w:val="0"/>
                                                              <w:marTop w:val="0"/>
                                                              <w:marBottom w:val="0"/>
                                                              <w:divBdr>
                                                                <w:top w:val="single" w:sz="6" w:space="7" w:color="E5E5E5"/>
                                                                <w:left w:val="none" w:sz="0" w:space="0" w:color="auto"/>
                                                                <w:bottom w:val="none" w:sz="0" w:space="0" w:color="auto"/>
                                                                <w:right w:val="none" w:sz="0" w:space="0" w:color="auto"/>
                                                              </w:divBdr>
                                                            </w:div>
                                                          </w:divsChild>
                                                        </w:div>
                                                        <w:div w:id="11855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570582">
      <w:bodyDiv w:val="1"/>
      <w:marLeft w:val="0"/>
      <w:marRight w:val="0"/>
      <w:marTop w:val="0"/>
      <w:marBottom w:val="0"/>
      <w:divBdr>
        <w:top w:val="none" w:sz="0" w:space="0" w:color="auto"/>
        <w:left w:val="none" w:sz="0" w:space="0" w:color="auto"/>
        <w:bottom w:val="none" w:sz="0" w:space="0" w:color="auto"/>
        <w:right w:val="none" w:sz="0" w:space="0" w:color="auto"/>
      </w:divBdr>
      <w:divsChild>
        <w:div w:id="257057756">
          <w:marLeft w:val="0"/>
          <w:marRight w:val="0"/>
          <w:marTop w:val="0"/>
          <w:marBottom w:val="0"/>
          <w:divBdr>
            <w:top w:val="none" w:sz="0" w:space="0" w:color="auto"/>
            <w:left w:val="none" w:sz="0" w:space="0" w:color="auto"/>
            <w:bottom w:val="none" w:sz="0" w:space="0" w:color="auto"/>
            <w:right w:val="none" w:sz="0" w:space="0" w:color="auto"/>
          </w:divBdr>
          <w:divsChild>
            <w:div w:id="1264193397">
              <w:marLeft w:val="0"/>
              <w:marRight w:val="0"/>
              <w:marTop w:val="0"/>
              <w:marBottom w:val="0"/>
              <w:divBdr>
                <w:top w:val="none" w:sz="0" w:space="0" w:color="auto"/>
                <w:left w:val="none" w:sz="0" w:space="0" w:color="auto"/>
                <w:bottom w:val="none" w:sz="0" w:space="0" w:color="auto"/>
                <w:right w:val="none" w:sz="0" w:space="0" w:color="auto"/>
              </w:divBdr>
              <w:divsChild>
                <w:div w:id="2109498567">
                  <w:marLeft w:val="0"/>
                  <w:marRight w:val="0"/>
                  <w:marTop w:val="0"/>
                  <w:marBottom w:val="0"/>
                  <w:divBdr>
                    <w:top w:val="none" w:sz="0" w:space="0" w:color="auto"/>
                    <w:left w:val="none" w:sz="0" w:space="0" w:color="auto"/>
                    <w:bottom w:val="none" w:sz="0" w:space="0" w:color="auto"/>
                    <w:right w:val="none" w:sz="0" w:space="0" w:color="auto"/>
                  </w:divBdr>
                  <w:divsChild>
                    <w:div w:id="265424290">
                      <w:marLeft w:val="0"/>
                      <w:marRight w:val="0"/>
                      <w:marTop w:val="0"/>
                      <w:marBottom w:val="0"/>
                      <w:divBdr>
                        <w:top w:val="none" w:sz="0" w:space="0" w:color="auto"/>
                        <w:left w:val="none" w:sz="0" w:space="0" w:color="auto"/>
                        <w:bottom w:val="none" w:sz="0" w:space="0" w:color="auto"/>
                        <w:right w:val="none" w:sz="0" w:space="0" w:color="auto"/>
                      </w:divBdr>
                      <w:divsChild>
                        <w:div w:id="137382834">
                          <w:marLeft w:val="0"/>
                          <w:marRight w:val="0"/>
                          <w:marTop w:val="0"/>
                          <w:marBottom w:val="0"/>
                          <w:divBdr>
                            <w:top w:val="none" w:sz="0" w:space="0" w:color="auto"/>
                            <w:left w:val="none" w:sz="0" w:space="0" w:color="auto"/>
                            <w:bottom w:val="none" w:sz="0" w:space="0" w:color="auto"/>
                            <w:right w:val="none" w:sz="0" w:space="0" w:color="auto"/>
                          </w:divBdr>
                          <w:divsChild>
                            <w:div w:id="1998873520">
                              <w:marLeft w:val="0"/>
                              <w:marRight w:val="0"/>
                              <w:marTop w:val="0"/>
                              <w:marBottom w:val="0"/>
                              <w:divBdr>
                                <w:top w:val="none" w:sz="0" w:space="0" w:color="auto"/>
                                <w:left w:val="none" w:sz="0" w:space="0" w:color="auto"/>
                                <w:bottom w:val="none" w:sz="0" w:space="0" w:color="auto"/>
                                <w:right w:val="none" w:sz="0" w:space="0" w:color="auto"/>
                              </w:divBdr>
                              <w:divsChild>
                                <w:div w:id="207576354">
                                  <w:marLeft w:val="0"/>
                                  <w:marRight w:val="0"/>
                                  <w:marTop w:val="0"/>
                                  <w:marBottom w:val="0"/>
                                  <w:divBdr>
                                    <w:top w:val="none" w:sz="0" w:space="0" w:color="auto"/>
                                    <w:left w:val="none" w:sz="0" w:space="0" w:color="auto"/>
                                    <w:bottom w:val="none" w:sz="0" w:space="0" w:color="auto"/>
                                    <w:right w:val="none" w:sz="0" w:space="0" w:color="auto"/>
                                  </w:divBdr>
                                  <w:divsChild>
                                    <w:div w:id="127163989">
                                      <w:marLeft w:val="0"/>
                                      <w:marRight w:val="0"/>
                                      <w:marTop w:val="0"/>
                                      <w:marBottom w:val="0"/>
                                      <w:divBdr>
                                        <w:top w:val="none" w:sz="0" w:space="0" w:color="auto"/>
                                        <w:left w:val="none" w:sz="0" w:space="0" w:color="auto"/>
                                        <w:bottom w:val="none" w:sz="0" w:space="0" w:color="auto"/>
                                        <w:right w:val="none" w:sz="0" w:space="0" w:color="auto"/>
                                      </w:divBdr>
                                      <w:divsChild>
                                        <w:div w:id="1740519892">
                                          <w:marLeft w:val="0"/>
                                          <w:marRight w:val="0"/>
                                          <w:marTop w:val="0"/>
                                          <w:marBottom w:val="0"/>
                                          <w:divBdr>
                                            <w:top w:val="none" w:sz="0" w:space="0" w:color="auto"/>
                                            <w:left w:val="none" w:sz="0" w:space="0" w:color="auto"/>
                                            <w:bottom w:val="none" w:sz="0" w:space="0" w:color="auto"/>
                                            <w:right w:val="none" w:sz="0" w:space="0" w:color="auto"/>
                                          </w:divBdr>
                                          <w:divsChild>
                                            <w:div w:id="372848066">
                                              <w:marLeft w:val="0"/>
                                              <w:marRight w:val="0"/>
                                              <w:marTop w:val="0"/>
                                              <w:marBottom w:val="0"/>
                                              <w:divBdr>
                                                <w:top w:val="none" w:sz="0" w:space="0" w:color="auto"/>
                                                <w:left w:val="none" w:sz="0" w:space="0" w:color="auto"/>
                                                <w:bottom w:val="none" w:sz="0" w:space="0" w:color="auto"/>
                                                <w:right w:val="none" w:sz="0" w:space="0" w:color="auto"/>
                                              </w:divBdr>
                                              <w:divsChild>
                                                <w:div w:id="523398119">
                                                  <w:marLeft w:val="0"/>
                                                  <w:marRight w:val="0"/>
                                                  <w:marTop w:val="225"/>
                                                  <w:marBottom w:val="300"/>
                                                  <w:divBdr>
                                                    <w:top w:val="none" w:sz="0" w:space="0" w:color="auto"/>
                                                    <w:left w:val="none" w:sz="0" w:space="0" w:color="auto"/>
                                                    <w:bottom w:val="none" w:sz="0" w:space="0" w:color="auto"/>
                                                    <w:right w:val="none" w:sz="0" w:space="0" w:color="auto"/>
                                                  </w:divBdr>
                                                  <w:divsChild>
                                                    <w:div w:id="1841966724">
                                                      <w:marLeft w:val="0"/>
                                                      <w:marRight w:val="0"/>
                                                      <w:marTop w:val="0"/>
                                                      <w:marBottom w:val="30"/>
                                                      <w:divBdr>
                                                        <w:top w:val="single" w:sz="6" w:space="0" w:color="E5E5E5"/>
                                                        <w:left w:val="single" w:sz="6" w:space="0" w:color="E5E5E5"/>
                                                        <w:bottom w:val="single" w:sz="6" w:space="0" w:color="E5E5E5"/>
                                                        <w:right w:val="single" w:sz="6" w:space="0" w:color="E5E5E5"/>
                                                      </w:divBdr>
                                                      <w:divsChild>
                                                        <w:div w:id="1220481206">
                                                          <w:marLeft w:val="0"/>
                                                          <w:marRight w:val="0"/>
                                                          <w:marTop w:val="0"/>
                                                          <w:marBottom w:val="0"/>
                                                          <w:divBdr>
                                                            <w:top w:val="none" w:sz="0" w:space="0" w:color="auto"/>
                                                            <w:left w:val="none" w:sz="0" w:space="0" w:color="auto"/>
                                                            <w:bottom w:val="none" w:sz="0" w:space="0" w:color="auto"/>
                                                            <w:right w:val="none" w:sz="0" w:space="0" w:color="auto"/>
                                                          </w:divBdr>
                                                        </w:div>
                                                        <w:div w:id="1689597855">
                                                          <w:marLeft w:val="0"/>
                                                          <w:marRight w:val="0"/>
                                                          <w:marTop w:val="0"/>
                                                          <w:marBottom w:val="0"/>
                                                          <w:divBdr>
                                                            <w:top w:val="none" w:sz="0" w:space="0" w:color="auto"/>
                                                            <w:left w:val="none" w:sz="0" w:space="0" w:color="auto"/>
                                                            <w:bottom w:val="none" w:sz="0" w:space="0" w:color="auto"/>
                                                            <w:right w:val="none" w:sz="0" w:space="0" w:color="auto"/>
                                                          </w:divBdr>
                                                          <w:divsChild>
                                                            <w:div w:id="7555191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8605728">
      <w:bodyDiv w:val="1"/>
      <w:marLeft w:val="0"/>
      <w:marRight w:val="0"/>
      <w:marTop w:val="0"/>
      <w:marBottom w:val="0"/>
      <w:divBdr>
        <w:top w:val="none" w:sz="0" w:space="0" w:color="auto"/>
        <w:left w:val="none" w:sz="0" w:space="0" w:color="auto"/>
        <w:bottom w:val="none" w:sz="0" w:space="0" w:color="auto"/>
        <w:right w:val="none" w:sz="0" w:space="0" w:color="auto"/>
      </w:divBdr>
      <w:divsChild>
        <w:div w:id="299464366">
          <w:marLeft w:val="0"/>
          <w:marRight w:val="0"/>
          <w:marTop w:val="0"/>
          <w:marBottom w:val="0"/>
          <w:divBdr>
            <w:top w:val="none" w:sz="0" w:space="0" w:color="auto"/>
            <w:left w:val="none" w:sz="0" w:space="0" w:color="auto"/>
            <w:bottom w:val="none" w:sz="0" w:space="0" w:color="auto"/>
            <w:right w:val="none" w:sz="0" w:space="0" w:color="auto"/>
          </w:divBdr>
          <w:divsChild>
            <w:div w:id="1473399226">
              <w:marLeft w:val="0"/>
              <w:marRight w:val="0"/>
              <w:marTop w:val="0"/>
              <w:marBottom w:val="0"/>
              <w:divBdr>
                <w:top w:val="none" w:sz="0" w:space="0" w:color="auto"/>
                <w:left w:val="none" w:sz="0" w:space="0" w:color="auto"/>
                <w:bottom w:val="none" w:sz="0" w:space="0" w:color="auto"/>
                <w:right w:val="none" w:sz="0" w:space="0" w:color="auto"/>
              </w:divBdr>
              <w:divsChild>
                <w:div w:id="81226478">
                  <w:marLeft w:val="0"/>
                  <w:marRight w:val="0"/>
                  <w:marTop w:val="0"/>
                  <w:marBottom w:val="0"/>
                  <w:divBdr>
                    <w:top w:val="none" w:sz="0" w:space="0" w:color="auto"/>
                    <w:left w:val="none" w:sz="0" w:space="0" w:color="auto"/>
                    <w:bottom w:val="none" w:sz="0" w:space="0" w:color="auto"/>
                    <w:right w:val="none" w:sz="0" w:space="0" w:color="auto"/>
                  </w:divBdr>
                  <w:divsChild>
                    <w:div w:id="5385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76276">
      <w:bodyDiv w:val="1"/>
      <w:marLeft w:val="0"/>
      <w:marRight w:val="0"/>
      <w:marTop w:val="0"/>
      <w:marBottom w:val="0"/>
      <w:divBdr>
        <w:top w:val="none" w:sz="0" w:space="0" w:color="auto"/>
        <w:left w:val="none" w:sz="0" w:space="0" w:color="auto"/>
        <w:bottom w:val="none" w:sz="0" w:space="0" w:color="auto"/>
        <w:right w:val="none" w:sz="0" w:space="0" w:color="auto"/>
      </w:divBdr>
      <w:divsChild>
        <w:div w:id="466437499">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sChild>
                <w:div w:id="1346009250">
                  <w:marLeft w:val="0"/>
                  <w:marRight w:val="0"/>
                  <w:marTop w:val="0"/>
                  <w:marBottom w:val="0"/>
                  <w:divBdr>
                    <w:top w:val="none" w:sz="0" w:space="0" w:color="auto"/>
                    <w:left w:val="none" w:sz="0" w:space="0" w:color="auto"/>
                    <w:bottom w:val="none" w:sz="0" w:space="0" w:color="auto"/>
                    <w:right w:val="none" w:sz="0" w:space="0" w:color="auto"/>
                  </w:divBdr>
                  <w:divsChild>
                    <w:div w:id="15558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00600">
      <w:bodyDiv w:val="1"/>
      <w:marLeft w:val="0"/>
      <w:marRight w:val="0"/>
      <w:marTop w:val="0"/>
      <w:marBottom w:val="0"/>
      <w:divBdr>
        <w:top w:val="none" w:sz="0" w:space="0" w:color="auto"/>
        <w:left w:val="none" w:sz="0" w:space="0" w:color="auto"/>
        <w:bottom w:val="none" w:sz="0" w:space="0" w:color="auto"/>
        <w:right w:val="none" w:sz="0" w:space="0" w:color="auto"/>
      </w:divBdr>
      <w:divsChild>
        <w:div w:id="1168055325">
          <w:marLeft w:val="0"/>
          <w:marRight w:val="0"/>
          <w:marTop w:val="0"/>
          <w:marBottom w:val="0"/>
          <w:divBdr>
            <w:top w:val="none" w:sz="0" w:space="0" w:color="auto"/>
            <w:left w:val="none" w:sz="0" w:space="0" w:color="auto"/>
            <w:bottom w:val="none" w:sz="0" w:space="0" w:color="auto"/>
            <w:right w:val="none" w:sz="0" w:space="0" w:color="auto"/>
          </w:divBdr>
          <w:divsChild>
            <w:div w:id="279529132">
              <w:marLeft w:val="0"/>
              <w:marRight w:val="0"/>
              <w:marTop w:val="0"/>
              <w:marBottom w:val="0"/>
              <w:divBdr>
                <w:top w:val="none" w:sz="0" w:space="0" w:color="auto"/>
                <w:left w:val="none" w:sz="0" w:space="0" w:color="auto"/>
                <w:bottom w:val="none" w:sz="0" w:space="0" w:color="auto"/>
                <w:right w:val="none" w:sz="0" w:space="0" w:color="auto"/>
              </w:divBdr>
              <w:divsChild>
                <w:div w:id="1911381946">
                  <w:marLeft w:val="0"/>
                  <w:marRight w:val="0"/>
                  <w:marTop w:val="0"/>
                  <w:marBottom w:val="0"/>
                  <w:divBdr>
                    <w:top w:val="none" w:sz="0" w:space="0" w:color="auto"/>
                    <w:left w:val="none" w:sz="0" w:space="0" w:color="auto"/>
                    <w:bottom w:val="none" w:sz="0" w:space="0" w:color="auto"/>
                    <w:right w:val="none" w:sz="0" w:space="0" w:color="auto"/>
                  </w:divBdr>
                  <w:divsChild>
                    <w:div w:id="208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82515">
      <w:bodyDiv w:val="1"/>
      <w:marLeft w:val="0"/>
      <w:marRight w:val="0"/>
      <w:marTop w:val="0"/>
      <w:marBottom w:val="0"/>
      <w:divBdr>
        <w:top w:val="none" w:sz="0" w:space="0" w:color="auto"/>
        <w:left w:val="none" w:sz="0" w:space="0" w:color="auto"/>
        <w:bottom w:val="none" w:sz="0" w:space="0" w:color="auto"/>
        <w:right w:val="none" w:sz="0" w:space="0" w:color="auto"/>
      </w:divBdr>
      <w:divsChild>
        <w:div w:id="1952276814">
          <w:marLeft w:val="0"/>
          <w:marRight w:val="0"/>
          <w:marTop w:val="0"/>
          <w:marBottom w:val="0"/>
          <w:divBdr>
            <w:top w:val="none" w:sz="0" w:space="0" w:color="auto"/>
            <w:left w:val="none" w:sz="0" w:space="0" w:color="auto"/>
            <w:bottom w:val="none" w:sz="0" w:space="0" w:color="auto"/>
            <w:right w:val="none" w:sz="0" w:space="0" w:color="auto"/>
          </w:divBdr>
          <w:divsChild>
            <w:div w:id="1367022173">
              <w:marLeft w:val="0"/>
              <w:marRight w:val="0"/>
              <w:marTop w:val="0"/>
              <w:marBottom w:val="0"/>
              <w:divBdr>
                <w:top w:val="none" w:sz="0" w:space="0" w:color="auto"/>
                <w:left w:val="none" w:sz="0" w:space="0" w:color="auto"/>
                <w:bottom w:val="none" w:sz="0" w:space="0" w:color="auto"/>
                <w:right w:val="none" w:sz="0" w:space="0" w:color="auto"/>
              </w:divBdr>
              <w:divsChild>
                <w:div w:id="1876186557">
                  <w:marLeft w:val="0"/>
                  <w:marRight w:val="0"/>
                  <w:marTop w:val="0"/>
                  <w:marBottom w:val="0"/>
                  <w:divBdr>
                    <w:top w:val="none" w:sz="0" w:space="0" w:color="auto"/>
                    <w:left w:val="none" w:sz="0" w:space="0" w:color="auto"/>
                    <w:bottom w:val="none" w:sz="0" w:space="0" w:color="auto"/>
                    <w:right w:val="none" w:sz="0" w:space="0" w:color="auto"/>
                  </w:divBdr>
                  <w:divsChild>
                    <w:div w:id="20410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6021">
      <w:bodyDiv w:val="1"/>
      <w:marLeft w:val="0"/>
      <w:marRight w:val="0"/>
      <w:marTop w:val="0"/>
      <w:marBottom w:val="0"/>
      <w:divBdr>
        <w:top w:val="none" w:sz="0" w:space="0" w:color="auto"/>
        <w:left w:val="none" w:sz="0" w:space="0" w:color="auto"/>
        <w:bottom w:val="none" w:sz="0" w:space="0" w:color="auto"/>
        <w:right w:val="none" w:sz="0" w:space="0" w:color="auto"/>
      </w:divBdr>
      <w:divsChild>
        <w:div w:id="751321376">
          <w:marLeft w:val="0"/>
          <w:marRight w:val="0"/>
          <w:marTop w:val="0"/>
          <w:marBottom w:val="0"/>
          <w:divBdr>
            <w:top w:val="none" w:sz="0" w:space="0" w:color="auto"/>
            <w:left w:val="none" w:sz="0" w:space="0" w:color="auto"/>
            <w:bottom w:val="none" w:sz="0" w:space="0" w:color="auto"/>
            <w:right w:val="none" w:sz="0" w:space="0" w:color="auto"/>
          </w:divBdr>
          <w:divsChild>
            <w:div w:id="190991677">
              <w:marLeft w:val="0"/>
              <w:marRight w:val="0"/>
              <w:marTop w:val="0"/>
              <w:marBottom w:val="0"/>
              <w:divBdr>
                <w:top w:val="none" w:sz="0" w:space="0" w:color="auto"/>
                <w:left w:val="none" w:sz="0" w:space="0" w:color="auto"/>
                <w:bottom w:val="none" w:sz="0" w:space="0" w:color="auto"/>
                <w:right w:val="none" w:sz="0" w:space="0" w:color="auto"/>
              </w:divBdr>
              <w:divsChild>
                <w:div w:id="936987153">
                  <w:marLeft w:val="0"/>
                  <w:marRight w:val="0"/>
                  <w:marTop w:val="0"/>
                  <w:marBottom w:val="0"/>
                  <w:divBdr>
                    <w:top w:val="none" w:sz="0" w:space="0" w:color="auto"/>
                    <w:left w:val="none" w:sz="0" w:space="0" w:color="auto"/>
                    <w:bottom w:val="none" w:sz="0" w:space="0" w:color="auto"/>
                    <w:right w:val="none" w:sz="0" w:space="0" w:color="auto"/>
                  </w:divBdr>
                  <w:divsChild>
                    <w:div w:id="439837384">
                      <w:marLeft w:val="0"/>
                      <w:marRight w:val="0"/>
                      <w:marTop w:val="0"/>
                      <w:marBottom w:val="0"/>
                      <w:divBdr>
                        <w:top w:val="none" w:sz="0" w:space="0" w:color="auto"/>
                        <w:left w:val="none" w:sz="0" w:space="0" w:color="auto"/>
                        <w:bottom w:val="none" w:sz="0" w:space="0" w:color="auto"/>
                        <w:right w:val="none" w:sz="0" w:space="0" w:color="auto"/>
                      </w:divBdr>
                      <w:divsChild>
                        <w:div w:id="1616057313">
                          <w:marLeft w:val="0"/>
                          <w:marRight w:val="0"/>
                          <w:marTop w:val="0"/>
                          <w:marBottom w:val="0"/>
                          <w:divBdr>
                            <w:top w:val="none" w:sz="0" w:space="0" w:color="auto"/>
                            <w:left w:val="none" w:sz="0" w:space="0" w:color="auto"/>
                            <w:bottom w:val="none" w:sz="0" w:space="0" w:color="auto"/>
                            <w:right w:val="none" w:sz="0" w:space="0" w:color="auto"/>
                          </w:divBdr>
                          <w:divsChild>
                            <w:div w:id="1013336328">
                              <w:marLeft w:val="0"/>
                              <w:marRight w:val="0"/>
                              <w:marTop w:val="0"/>
                              <w:marBottom w:val="0"/>
                              <w:divBdr>
                                <w:top w:val="none" w:sz="0" w:space="0" w:color="auto"/>
                                <w:left w:val="none" w:sz="0" w:space="0" w:color="auto"/>
                                <w:bottom w:val="none" w:sz="0" w:space="0" w:color="auto"/>
                                <w:right w:val="none" w:sz="0" w:space="0" w:color="auto"/>
                              </w:divBdr>
                              <w:divsChild>
                                <w:div w:id="2033653206">
                                  <w:marLeft w:val="0"/>
                                  <w:marRight w:val="0"/>
                                  <w:marTop w:val="0"/>
                                  <w:marBottom w:val="0"/>
                                  <w:divBdr>
                                    <w:top w:val="none" w:sz="0" w:space="0" w:color="auto"/>
                                    <w:left w:val="none" w:sz="0" w:space="0" w:color="auto"/>
                                    <w:bottom w:val="none" w:sz="0" w:space="0" w:color="auto"/>
                                    <w:right w:val="none" w:sz="0" w:space="0" w:color="auto"/>
                                  </w:divBdr>
                                  <w:divsChild>
                                    <w:div w:id="1369796379">
                                      <w:marLeft w:val="0"/>
                                      <w:marRight w:val="0"/>
                                      <w:marTop w:val="0"/>
                                      <w:marBottom w:val="0"/>
                                      <w:divBdr>
                                        <w:top w:val="none" w:sz="0" w:space="0" w:color="auto"/>
                                        <w:left w:val="none" w:sz="0" w:space="0" w:color="auto"/>
                                        <w:bottom w:val="none" w:sz="0" w:space="0" w:color="auto"/>
                                        <w:right w:val="none" w:sz="0" w:space="0" w:color="auto"/>
                                      </w:divBdr>
                                      <w:divsChild>
                                        <w:div w:id="546837881">
                                          <w:marLeft w:val="0"/>
                                          <w:marRight w:val="0"/>
                                          <w:marTop w:val="0"/>
                                          <w:marBottom w:val="0"/>
                                          <w:divBdr>
                                            <w:top w:val="none" w:sz="0" w:space="0" w:color="auto"/>
                                            <w:left w:val="none" w:sz="0" w:space="0" w:color="auto"/>
                                            <w:bottom w:val="none" w:sz="0" w:space="0" w:color="auto"/>
                                            <w:right w:val="none" w:sz="0" w:space="0" w:color="auto"/>
                                          </w:divBdr>
                                          <w:divsChild>
                                            <w:div w:id="2083093065">
                                              <w:marLeft w:val="0"/>
                                              <w:marRight w:val="0"/>
                                              <w:marTop w:val="0"/>
                                              <w:marBottom w:val="0"/>
                                              <w:divBdr>
                                                <w:top w:val="none" w:sz="0" w:space="0" w:color="auto"/>
                                                <w:left w:val="none" w:sz="0" w:space="0" w:color="auto"/>
                                                <w:bottom w:val="none" w:sz="0" w:space="0" w:color="auto"/>
                                                <w:right w:val="none" w:sz="0" w:space="0" w:color="auto"/>
                                              </w:divBdr>
                                              <w:divsChild>
                                                <w:div w:id="985353038">
                                                  <w:marLeft w:val="0"/>
                                                  <w:marRight w:val="0"/>
                                                  <w:marTop w:val="0"/>
                                                  <w:marBottom w:val="0"/>
                                                  <w:divBdr>
                                                    <w:top w:val="none" w:sz="0" w:space="0" w:color="auto"/>
                                                    <w:left w:val="none" w:sz="0" w:space="0" w:color="auto"/>
                                                    <w:bottom w:val="none" w:sz="0" w:space="0" w:color="auto"/>
                                                    <w:right w:val="none" w:sz="0" w:space="0" w:color="auto"/>
                                                  </w:divBdr>
                                                </w:div>
                                                <w:div w:id="13218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074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4137">
          <w:marLeft w:val="0"/>
          <w:marRight w:val="0"/>
          <w:marTop w:val="0"/>
          <w:marBottom w:val="0"/>
          <w:divBdr>
            <w:top w:val="none" w:sz="0" w:space="0" w:color="auto"/>
            <w:left w:val="none" w:sz="0" w:space="0" w:color="auto"/>
            <w:bottom w:val="none" w:sz="0" w:space="0" w:color="auto"/>
            <w:right w:val="none" w:sz="0" w:space="0" w:color="auto"/>
          </w:divBdr>
          <w:divsChild>
            <w:div w:id="943995656">
              <w:marLeft w:val="0"/>
              <w:marRight w:val="0"/>
              <w:marTop w:val="0"/>
              <w:marBottom w:val="0"/>
              <w:divBdr>
                <w:top w:val="none" w:sz="0" w:space="0" w:color="auto"/>
                <w:left w:val="none" w:sz="0" w:space="0" w:color="auto"/>
                <w:bottom w:val="none" w:sz="0" w:space="0" w:color="auto"/>
                <w:right w:val="none" w:sz="0" w:space="0" w:color="auto"/>
              </w:divBdr>
              <w:divsChild>
                <w:div w:id="1522430729">
                  <w:marLeft w:val="0"/>
                  <w:marRight w:val="0"/>
                  <w:marTop w:val="0"/>
                  <w:marBottom w:val="0"/>
                  <w:divBdr>
                    <w:top w:val="none" w:sz="0" w:space="0" w:color="auto"/>
                    <w:left w:val="none" w:sz="0" w:space="0" w:color="auto"/>
                    <w:bottom w:val="none" w:sz="0" w:space="0" w:color="auto"/>
                    <w:right w:val="none" w:sz="0" w:space="0" w:color="auto"/>
                  </w:divBdr>
                  <w:divsChild>
                    <w:div w:id="19860670">
                      <w:marLeft w:val="0"/>
                      <w:marRight w:val="0"/>
                      <w:marTop w:val="0"/>
                      <w:marBottom w:val="0"/>
                      <w:divBdr>
                        <w:top w:val="none" w:sz="0" w:space="0" w:color="auto"/>
                        <w:left w:val="none" w:sz="0" w:space="0" w:color="auto"/>
                        <w:bottom w:val="none" w:sz="0" w:space="0" w:color="auto"/>
                        <w:right w:val="none" w:sz="0" w:space="0" w:color="auto"/>
                      </w:divBdr>
                      <w:divsChild>
                        <w:div w:id="474371478">
                          <w:marLeft w:val="0"/>
                          <w:marRight w:val="0"/>
                          <w:marTop w:val="0"/>
                          <w:marBottom w:val="0"/>
                          <w:divBdr>
                            <w:top w:val="none" w:sz="0" w:space="0" w:color="auto"/>
                            <w:left w:val="none" w:sz="0" w:space="0" w:color="auto"/>
                            <w:bottom w:val="none" w:sz="0" w:space="0" w:color="auto"/>
                            <w:right w:val="none" w:sz="0" w:space="0" w:color="auto"/>
                          </w:divBdr>
                          <w:divsChild>
                            <w:div w:id="954598354">
                              <w:marLeft w:val="0"/>
                              <w:marRight w:val="0"/>
                              <w:marTop w:val="0"/>
                              <w:marBottom w:val="0"/>
                              <w:divBdr>
                                <w:top w:val="none" w:sz="0" w:space="0" w:color="auto"/>
                                <w:left w:val="none" w:sz="0" w:space="0" w:color="auto"/>
                                <w:bottom w:val="none" w:sz="0" w:space="0" w:color="auto"/>
                                <w:right w:val="none" w:sz="0" w:space="0" w:color="auto"/>
                              </w:divBdr>
                              <w:divsChild>
                                <w:div w:id="1709984911">
                                  <w:marLeft w:val="0"/>
                                  <w:marRight w:val="0"/>
                                  <w:marTop w:val="0"/>
                                  <w:marBottom w:val="0"/>
                                  <w:divBdr>
                                    <w:top w:val="none" w:sz="0" w:space="0" w:color="auto"/>
                                    <w:left w:val="none" w:sz="0" w:space="0" w:color="auto"/>
                                    <w:bottom w:val="none" w:sz="0" w:space="0" w:color="auto"/>
                                    <w:right w:val="none" w:sz="0" w:space="0" w:color="auto"/>
                                  </w:divBdr>
                                  <w:divsChild>
                                    <w:div w:id="1207062640">
                                      <w:marLeft w:val="0"/>
                                      <w:marRight w:val="0"/>
                                      <w:marTop w:val="0"/>
                                      <w:marBottom w:val="0"/>
                                      <w:divBdr>
                                        <w:top w:val="none" w:sz="0" w:space="0" w:color="auto"/>
                                        <w:left w:val="none" w:sz="0" w:space="0" w:color="auto"/>
                                        <w:bottom w:val="none" w:sz="0" w:space="0" w:color="auto"/>
                                        <w:right w:val="none" w:sz="0" w:space="0" w:color="auto"/>
                                      </w:divBdr>
                                      <w:divsChild>
                                        <w:div w:id="295524357">
                                          <w:marLeft w:val="0"/>
                                          <w:marRight w:val="0"/>
                                          <w:marTop w:val="0"/>
                                          <w:marBottom w:val="0"/>
                                          <w:divBdr>
                                            <w:top w:val="none" w:sz="0" w:space="0" w:color="auto"/>
                                            <w:left w:val="none" w:sz="0" w:space="0" w:color="auto"/>
                                            <w:bottom w:val="none" w:sz="0" w:space="0" w:color="auto"/>
                                            <w:right w:val="none" w:sz="0" w:space="0" w:color="auto"/>
                                          </w:divBdr>
                                          <w:divsChild>
                                            <w:div w:id="1091854950">
                                              <w:marLeft w:val="0"/>
                                              <w:marRight w:val="0"/>
                                              <w:marTop w:val="0"/>
                                              <w:marBottom w:val="0"/>
                                              <w:divBdr>
                                                <w:top w:val="none" w:sz="0" w:space="0" w:color="auto"/>
                                                <w:left w:val="none" w:sz="0" w:space="0" w:color="auto"/>
                                                <w:bottom w:val="none" w:sz="0" w:space="0" w:color="auto"/>
                                                <w:right w:val="none" w:sz="0" w:space="0" w:color="auto"/>
                                              </w:divBdr>
                                              <w:divsChild>
                                                <w:div w:id="1702588469">
                                                  <w:marLeft w:val="0"/>
                                                  <w:marRight w:val="0"/>
                                                  <w:marTop w:val="225"/>
                                                  <w:marBottom w:val="300"/>
                                                  <w:divBdr>
                                                    <w:top w:val="none" w:sz="0" w:space="0" w:color="auto"/>
                                                    <w:left w:val="none" w:sz="0" w:space="0" w:color="auto"/>
                                                    <w:bottom w:val="none" w:sz="0" w:space="0" w:color="auto"/>
                                                    <w:right w:val="none" w:sz="0" w:space="0" w:color="auto"/>
                                                  </w:divBdr>
                                                  <w:divsChild>
                                                    <w:div w:id="46993952">
                                                      <w:marLeft w:val="0"/>
                                                      <w:marRight w:val="0"/>
                                                      <w:marTop w:val="0"/>
                                                      <w:marBottom w:val="30"/>
                                                      <w:divBdr>
                                                        <w:top w:val="single" w:sz="6" w:space="0" w:color="E5E5E5"/>
                                                        <w:left w:val="single" w:sz="6" w:space="0" w:color="E5E5E5"/>
                                                        <w:bottom w:val="single" w:sz="6" w:space="0" w:color="E5E5E5"/>
                                                        <w:right w:val="single" w:sz="6" w:space="0" w:color="E5E5E5"/>
                                                      </w:divBdr>
                                                      <w:divsChild>
                                                        <w:div w:id="1400981512">
                                                          <w:marLeft w:val="0"/>
                                                          <w:marRight w:val="0"/>
                                                          <w:marTop w:val="0"/>
                                                          <w:marBottom w:val="0"/>
                                                          <w:divBdr>
                                                            <w:top w:val="none" w:sz="0" w:space="0" w:color="auto"/>
                                                            <w:left w:val="none" w:sz="0" w:space="0" w:color="auto"/>
                                                            <w:bottom w:val="none" w:sz="0" w:space="0" w:color="auto"/>
                                                            <w:right w:val="none" w:sz="0" w:space="0" w:color="auto"/>
                                                          </w:divBdr>
                                                          <w:divsChild>
                                                            <w:div w:id="1246915290">
                                                              <w:marLeft w:val="0"/>
                                                              <w:marRight w:val="0"/>
                                                              <w:marTop w:val="0"/>
                                                              <w:marBottom w:val="0"/>
                                                              <w:divBdr>
                                                                <w:top w:val="single" w:sz="6" w:space="7" w:color="E5E5E5"/>
                                                                <w:left w:val="none" w:sz="0" w:space="0" w:color="auto"/>
                                                                <w:bottom w:val="none" w:sz="0" w:space="0" w:color="auto"/>
                                                                <w:right w:val="none" w:sz="0" w:space="0" w:color="auto"/>
                                                              </w:divBdr>
                                                            </w:div>
                                                          </w:divsChild>
                                                        </w:div>
                                                        <w:div w:id="19684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442023">
      <w:bodyDiv w:val="1"/>
      <w:marLeft w:val="0"/>
      <w:marRight w:val="0"/>
      <w:marTop w:val="0"/>
      <w:marBottom w:val="0"/>
      <w:divBdr>
        <w:top w:val="none" w:sz="0" w:space="0" w:color="auto"/>
        <w:left w:val="none" w:sz="0" w:space="0" w:color="auto"/>
        <w:bottom w:val="none" w:sz="0" w:space="0" w:color="auto"/>
        <w:right w:val="none" w:sz="0" w:space="0" w:color="auto"/>
      </w:divBdr>
      <w:divsChild>
        <w:div w:id="1658150182">
          <w:marLeft w:val="0"/>
          <w:marRight w:val="0"/>
          <w:marTop w:val="0"/>
          <w:marBottom w:val="0"/>
          <w:divBdr>
            <w:top w:val="none" w:sz="0" w:space="0" w:color="auto"/>
            <w:left w:val="none" w:sz="0" w:space="0" w:color="auto"/>
            <w:bottom w:val="none" w:sz="0" w:space="0" w:color="auto"/>
            <w:right w:val="none" w:sz="0" w:space="0" w:color="auto"/>
          </w:divBdr>
          <w:divsChild>
            <w:div w:id="1342585496">
              <w:marLeft w:val="0"/>
              <w:marRight w:val="0"/>
              <w:marTop w:val="0"/>
              <w:marBottom w:val="0"/>
              <w:divBdr>
                <w:top w:val="none" w:sz="0" w:space="0" w:color="auto"/>
                <w:left w:val="none" w:sz="0" w:space="0" w:color="auto"/>
                <w:bottom w:val="none" w:sz="0" w:space="0" w:color="auto"/>
                <w:right w:val="none" w:sz="0" w:space="0" w:color="auto"/>
              </w:divBdr>
              <w:divsChild>
                <w:div w:id="1578203073">
                  <w:marLeft w:val="0"/>
                  <w:marRight w:val="0"/>
                  <w:marTop w:val="0"/>
                  <w:marBottom w:val="0"/>
                  <w:divBdr>
                    <w:top w:val="none" w:sz="0" w:space="0" w:color="auto"/>
                    <w:left w:val="none" w:sz="0" w:space="0" w:color="auto"/>
                    <w:bottom w:val="none" w:sz="0" w:space="0" w:color="auto"/>
                    <w:right w:val="none" w:sz="0" w:space="0" w:color="auto"/>
                  </w:divBdr>
                  <w:divsChild>
                    <w:div w:id="256907151">
                      <w:marLeft w:val="0"/>
                      <w:marRight w:val="0"/>
                      <w:marTop w:val="0"/>
                      <w:marBottom w:val="0"/>
                      <w:divBdr>
                        <w:top w:val="none" w:sz="0" w:space="0" w:color="auto"/>
                        <w:left w:val="none" w:sz="0" w:space="0" w:color="auto"/>
                        <w:bottom w:val="none" w:sz="0" w:space="0" w:color="auto"/>
                        <w:right w:val="none" w:sz="0" w:space="0" w:color="auto"/>
                      </w:divBdr>
                      <w:divsChild>
                        <w:div w:id="692342329">
                          <w:marLeft w:val="0"/>
                          <w:marRight w:val="0"/>
                          <w:marTop w:val="0"/>
                          <w:marBottom w:val="0"/>
                          <w:divBdr>
                            <w:top w:val="none" w:sz="0" w:space="0" w:color="auto"/>
                            <w:left w:val="none" w:sz="0" w:space="0" w:color="auto"/>
                            <w:bottom w:val="none" w:sz="0" w:space="0" w:color="auto"/>
                            <w:right w:val="none" w:sz="0" w:space="0" w:color="auto"/>
                          </w:divBdr>
                          <w:divsChild>
                            <w:div w:id="1573932902">
                              <w:marLeft w:val="0"/>
                              <w:marRight w:val="0"/>
                              <w:marTop w:val="0"/>
                              <w:marBottom w:val="0"/>
                              <w:divBdr>
                                <w:top w:val="none" w:sz="0" w:space="0" w:color="auto"/>
                                <w:left w:val="none" w:sz="0" w:space="0" w:color="auto"/>
                                <w:bottom w:val="none" w:sz="0" w:space="0" w:color="auto"/>
                                <w:right w:val="none" w:sz="0" w:space="0" w:color="auto"/>
                              </w:divBdr>
                              <w:divsChild>
                                <w:div w:id="989406073">
                                  <w:marLeft w:val="0"/>
                                  <w:marRight w:val="0"/>
                                  <w:marTop w:val="0"/>
                                  <w:marBottom w:val="0"/>
                                  <w:divBdr>
                                    <w:top w:val="none" w:sz="0" w:space="0" w:color="auto"/>
                                    <w:left w:val="none" w:sz="0" w:space="0" w:color="auto"/>
                                    <w:bottom w:val="none" w:sz="0" w:space="0" w:color="auto"/>
                                    <w:right w:val="none" w:sz="0" w:space="0" w:color="auto"/>
                                  </w:divBdr>
                                  <w:divsChild>
                                    <w:div w:id="1323042544">
                                      <w:marLeft w:val="0"/>
                                      <w:marRight w:val="0"/>
                                      <w:marTop w:val="0"/>
                                      <w:marBottom w:val="0"/>
                                      <w:divBdr>
                                        <w:top w:val="none" w:sz="0" w:space="0" w:color="auto"/>
                                        <w:left w:val="none" w:sz="0" w:space="0" w:color="auto"/>
                                        <w:bottom w:val="none" w:sz="0" w:space="0" w:color="auto"/>
                                        <w:right w:val="none" w:sz="0" w:space="0" w:color="auto"/>
                                      </w:divBdr>
                                      <w:divsChild>
                                        <w:div w:id="943029779">
                                          <w:marLeft w:val="0"/>
                                          <w:marRight w:val="0"/>
                                          <w:marTop w:val="0"/>
                                          <w:marBottom w:val="0"/>
                                          <w:divBdr>
                                            <w:top w:val="none" w:sz="0" w:space="0" w:color="auto"/>
                                            <w:left w:val="none" w:sz="0" w:space="0" w:color="auto"/>
                                            <w:bottom w:val="none" w:sz="0" w:space="0" w:color="auto"/>
                                            <w:right w:val="none" w:sz="0" w:space="0" w:color="auto"/>
                                          </w:divBdr>
                                          <w:divsChild>
                                            <w:div w:id="2014452776">
                                              <w:marLeft w:val="0"/>
                                              <w:marRight w:val="0"/>
                                              <w:marTop w:val="0"/>
                                              <w:marBottom w:val="0"/>
                                              <w:divBdr>
                                                <w:top w:val="none" w:sz="0" w:space="0" w:color="auto"/>
                                                <w:left w:val="none" w:sz="0" w:space="0" w:color="auto"/>
                                                <w:bottom w:val="none" w:sz="0" w:space="0" w:color="auto"/>
                                                <w:right w:val="none" w:sz="0" w:space="0" w:color="auto"/>
                                              </w:divBdr>
                                              <w:divsChild>
                                                <w:div w:id="521938508">
                                                  <w:marLeft w:val="0"/>
                                                  <w:marRight w:val="0"/>
                                                  <w:marTop w:val="0"/>
                                                  <w:marBottom w:val="0"/>
                                                  <w:divBdr>
                                                    <w:top w:val="none" w:sz="0" w:space="0" w:color="auto"/>
                                                    <w:left w:val="none" w:sz="0" w:space="0" w:color="auto"/>
                                                    <w:bottom w:val="none" w:sz="0" w:space="0" w:color="auto"/>
                                                    <w:right w:val="none" w:sz="0" w:space="0" w:color="auto"/>
                                                  </w:divBdr>
                                                </w:div>
                                                <w:div w:id="5279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205976">
      <w:bodyDiv w:val="1"/>
      <w:marLeft w:val="0"/>
      <w:marRight w:val="0"/>
      <w:marTop w:val="0"/>
      <w:marBottom w:val="0"/>
      <w:divBdr>
        <w:top w:val="none" w:sz="0" w:space="0" w:color="auto"/>
        <w:left w:val="none" w:sz="0" w:space="0" w:color="auto"/>
        <w:bottom w:val="none" w:sz="0" w:space="0" w:color="auto"/>
        <w:right w:val="none" w:sz="0" w:space="0" w:color="auto"/>
      </w:divBdr>
      <w:divsChild>
        <w:div w:id="307590940">
          <w:marLeft w:val="0"/>
          <w:marRight w:val="0"/>
          <w:marTop w:val="0"/>
          <w:marBottom w:val="0"/>
          <w:divBdr>
            <w:top w:val="none" w:sz="0" w:space="0" w:color="auto"/>
            <w:left w:val="none" w:sz="0" w:space="0" w:color="auto"/>
            <w:bottom w:val="none" w:sz="0" w:space="0" w:color="auto"/>
            <w:right w:val="none" w:sz="0" w:space="0" w:color="auto"/>
          </w:divBdr>
          <w:divsChild>
            <w:div w:id="2125465177">
              <w:marLeft w:val="0"/>
              <w:marRight w:val="0"/>
              <w:marTop w:val="0"/>
              <w:marBottom w:val="0"/>
              <w:divBdr>
                <w:top w:val="none" w:sz="0" w:space="0" w:color="auto"/>
                <w:left w:val="none" w:sz="0" w:space="0" w:color="auto"/>
                <w:bottom w:val="none" w:sz="0" w:space="0" w:color="auto"/>
                <w:right w:val="none" w:sz="0" w:space="0" w:color="auto"/>
              </w:divBdr>
              <w:divsChild>
                <w:div w:id="582225267">
                  <w:marLeft w:val="0"/>
                  <w:marRight w:val="0"/>
                  <w:marTop w:val="0"/>
                  <w:marBottom w:val="0"/>
                  <w:divBdr>
                    <w:top w:val="none" w:sz="0" w:space="0" w:color="auto"/>
                    <w:left w:val="none" w:sz="0" w:space="0" w:color="auto"/>
                    <w:bottom w:val="none" w:sz="0" w:space="0" w:color="auto"/>
                    <w:right w:val="none" w:sz="0" w:space="0" w:color="auto"/>
                  </w:divBdr>
                  <w:divsChild>
                    <w:div w:id="1083181304">
                      <w:marLeft w:val="0"/>
                      <w:marRight w:val="0"/>
                      <w:marTop w:val="0"/>
                      <w:marBottom w:val="0"/>
                      <w:divBdr>
                        <w:top w:val="none" w:sz="0" w:space="0" w:color="auto"/>
                        <w:left w:val="none" w:sz="0" w:space="0" w:color="auto"/>
                        <w:bottom w:val="none" w:sz="0" w:space="0" w:color="auto"/>
                        <w:right w:val="none" w:sz="0" w:space="0" w:color="auto"/>
                      </w:divBdr>
                      <w:divsChild>
                        <w:div w:id="582106425">
                          <w:marLeft w:val="0"/>
                          <w:marRight w:val="0"/>
                          <w:marTop w:val="0"/>
                          <w:marBottom w:val="0"/>
                          <w:divBdr>
                            <w:top w:val="none" w:sz="0" w:space="0" w:color="auto"/>
                            <w:left w:val="none" w:sz="0" w:space="0" w:color="auto"/>
                            <w:bottom w:val="none" w:sz="0" w:space="0" w:color="auto"/>
                            <w:right w:val="none" w:sz="0" w:space="0" w:color="auto"/>
                          </w:divBdr>
                          <w:divsChild>
                            <w:div w:id="831724413">
                              <w:marLeft w:val="0"/>
                              <w:marRight w:val="0"/>
                              <w:marTop w:val="0"/>
                              <w:marBottom w:val="0"/>
                              <w:divBdr>
                                <w:top w:val="none" w:sz="0" w:space="0" w:color="auto"/>
                                <w:left w:val="none" w:sz="0" w:space="0" w:color="auto"/>
                                <w:bottom w:val="none" w:sz="0" w:space="0" w:color="auto"/>
                                <w:right w:val="none" w:sz="0" w:space="0" w:color="auto"/>
                              </w:divBdr>
                              <w:divsChild>
                                <w:div w:id="1582176022">
                                  <w:marLeft w:val="0"/>
                                  <w:marRight w:val="0"/>
                                  <w:marTop w:val="0"/>
                                  <w:marBottom w:val="0"/>
                                  <w:divBdr>
                                    <w:top w:val="none" w:sz="0" w:space="0" w:color="auto"/>
                                    <w:left w:val="none" w:sz="0" w:space="0" w:color="auto"/>
                                    <w:bottom w:val="none" w:sz="0" w:space="0" w:color="auto"/>
                                    <w:right w:val="none" w:sz="0" w:space="0" w:color="auto"/>
                                  </w:divBdr>
                                  <w:divsChild>
                                    <w:div w:id="820272070">
                                      <w:marLeft w:val="0"/>
                                      <w:marRight w:val="0"/>
                                      <w:marTop w:val="0"/>
                                      <w:marBottom w:val="0"/>
                                      <w:divBdr>
                                        <w:top w:val="none" w:sz="0" w:space="0" w:color="auto"/>
                                        <w:left w:val="none" w:sz="0" w:space="0" w:color="auto"/>
                                        <w:bottom w:val="none" w:sz="0" w:space="0" w:color="auto"/>
                                        <w:right w:val="none" w:sz="0" w:space="0" w:color="auto"/>
                                      </w:divBdr>
                                      <w:divsChild>
                                        <w:div w:id="743844504">
                                          <w:marLeft w:val="0"/>
                                          <w:marRight w:val="0"/>
                                          <w:marTop w:val="0"/>
                                          <w:marBottom w:val="0"/>
                                          <w:divBdr>
                                            <w:top w:val="none" w:sz="0" w:space="0" w:color="auto"/>
                                            <w:left w:val="none" w:sz="0" w:space="0" w:color="auto"/>
                                            <w:bottom w:val="none" w:sz="0" w:space="0" w:color="auto"/>
                                            <w:right w:val="none" w:sz="0" w:space="0" w:color="auto"/>
                                          </w:divBdr>
                                          <w:divsChild>
                                            <w:div w:id="644159694">
                                              <w:marLeft w:val="0"/>
                                              <w:marRight w:val="0"/>
                                              <w:marTop w:val="0"/>
                                              <w:marBottom w:val="0"/>
                                              <w:divBdr>
                                                <w:top w:val="none" w:sz="0" w:space="0" w:color="auto"/>
                                                <w:left w:val="none" w:sz="0" w:space="0" w:color="auto"/>
                                                <w:bottom w:val="none" w:sz="0" w:space="0" w:color="auto"/>
                                                <w:right w:val="none" w:sz="0" w:space="0" w:color="auto"/>
                                              </w:divBdr>
                                              <w:divsChild>
                                                <w:div w:id="1965496192">
                                                  <w:marLeft w:val="0"/>
                                                  <w:marRight w:val="0"/>
                                                  <w:marTop w:val="225"/>
                                                  <w:marBottom w:val="300"/>
                                                  <w:divBdr>
                                                    <w:top w:val="none" w:sz="0" w:space="0" w:color="auto"/>
                                                    <w:left w:val="none" w:sz="0" w:space="0" w:color="auto"/>
                                                    <w:bottom w:val="none" w:sz="0" w:space="0" w:color="auto"/>
                                                    <w:right w:val="none" w:sz="0" w:space="0" w:color="auto"/>
                                                  </w:divBdr>
                                                  <w:divsChild>
                                                    <w:div w:id="813329669">
                                                      <w:marLeft w:val="0"/>
                                                      <w:marRight w:val="0"/>
                                                      <w:marTop w:val="0"/>
                                                      <w:marBottom w:val="30"/>
                                                      <w:divBdr>
                                                        <w:top w:val="single" w:sz="6" w:space="0" w:color="E5E5E5"/>
                                                        <w:left w:val="single" w:sz="6" w:space="0" w:color="E5E5E5"/>
                                                        <w:bottom w:val="single" w:sz="6" w:space="0" w:color="E5E5E5"/>
                                                        <w:right w:val="single" w:sz="6" w:space="0" w:color="E5E5E5"/>
                                                      </w:divBdr>
                                                      <w:divsChild>
                                                        <w:div w:id="182014536">
                                                          <w:marLeft w:val="0"/>
                                                          <w:marRight w:val="0"/>
                                                          <w:marTop w:val="0"/>
                                                          <w:marBottom w:val="0"/>
                                                          <w:divBdr>
                                                            <w:top w:val="none" w:sz="0" w:space="0" w:color="auto"/>
                                                            <w:left w:val="none" w:sz="0" w:space="0" w:color="auto"/>
                                                            <w:bottom w:val="none" w:sz="0" w:space="0" w:color="auto"/>
                                                            <w:right w:val="none" w:sz="0" w:space="0" w:color="auto"/>
                                                          </w:divBdr>
                                                        </w:div>
                                                        <w:div w:id="487749725">
                                                          <w:marLeft w:val="0"/>
                                                          <w:marRight w:val="0"/>
                                                          <w:marTop w:val="0"/>
                                                          <w:marBottom w:val="0"/>
                                                          <w:divBdr>
                                                            <w:top w:val="none" w:sz="0" w:space="0" w:color="auto"/>
                                                            <w:left w:val="none" w:sz="0" w:space="0" w:color="auto"/>
                                                            <w:bottom w:val="none" w:sz="0" w:space="0" w:color="auto"/>
                                                            <w:right w:val="none" w:sz="0" w:space="0" w:color="auto"/>
                                                          </w:divBdr>
                                                          <w:divsChild>
                                                            <w:div w:id="10197456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836218">
      <w:bodyDiv w:val="1"/>
      <w:marLeft w:val="0"/>
      <w:marRight w:val="0"/>
      <w:marTop w:val="0"/>
      <w:marBottom w:val="0"/>
      <w:divBdr>
        <w:top w:val="none" w:sz="0" w:space="0" w:color="auto"/>
        <w:left w:val="none" w:sz="0" w:space="0" w:color="auto"/>
        <w:bottom w:val="none" w:sz="0" w:space="0" w:color="auto"/>
        <w:right w:val="none" w:sz="0" w:space="0" w:color="auto"/>
      </w:divBdr>
      <w:divsChild>
        <w:div w:id="88476026">
          <w:marLeft w:val="0"/>
          <w:marRight w:val="0"/>
          <w:marTop w:val="0"/>
          <w:marBottom w:val="0"/>
          <w:divBdr>
            <w:top w:val="none" w:sz="0" w:space="0" w:color="auto"/>
            <w:left w:val="none" w:sz="0" w:space="0" w:color="auto"/>
            <w:bottom w:val="none" w:sz="0" w:space="0" w:color="auto"/>
            <w:right w:val="none" w:sz="0" w:space="0" w:color="auto"/>
          </w:divBdr>
          <w:divsChild>
            <w:div w:id="1175068097">
              <w:marLeft w:val="0"/>
              <w:marRight w:val="0"/>
              <w:marTop w:val="0"/>
              <w:marBottom w:val="0"/>
              <w:divBdr>
                <w:top w:val="none" w:sz="0" w:space="0" w:color="auto"/>
                <w:left w:val="none" w:sz="0" w:space="0" w:color="auto"/>
                <w:bottom w:val="none" w:sz="0" w:space="0" w:color="auto"/>
                <w:right w:val="none" w:sz="0" w:space="0" w:color="auto"/>
              </w:divBdr>
              <w:divsChild>
                <w:div w:id="885337360">
                  <w:marLeft w:val="0"/>
                  <w:marRight w:val="0"/>
                  <w:marTop w:val="0"/>
                  <w:marBottom w:val="0"/>
                  <w:divBdr>
                    <w:top w:val="none" w:sz="0" w:space="0" w:color="auto"/>
                    <w:left w:val="none" w:sz="0" w:space="0" w:color="auto"/>
                    <w:bottom w:val="none" w:sz="0" w:space="0" w:color="auto"/>
                    <w:right w:val="none" w:sz="0" w:space="0" w:color="auto"/>
                  </w:divBdr>
                  <w:divsChild>
                    <w:div w:id="6635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8238">
      <w:bodyDiv w:val="1"/>
      <w:marLeft w:val="0"/>
      <w:marRight w:val="0"/>
      <w:marTop w:val="0"/>
      <w:marBottom w:val="0"/>
      <w:divBdr>
        <w:top w:val="none" w:sz="0" w:space="0" w:color="auto"/>
        <w:left w:val="none" w:sz="0" w:space="0" w:color="auto"/>
        <w:bottom w:val="none" w:sz="0" w:space="0" w:color="auto"/>
        <w:right w:val="none" w:sz="0" w:space="0" w:color="auto"/>
      </w:divBdr>
      <w:divsChild>
        <w:div w:id="522062879">
          <w:marLeft w:val="0"/>
          <w:marRight w:val="0"/>
          <w:marTop w:val="0"/>
          <w:marBottom w:val="0"/>
          <w:divBdr>
            <w:top w:val="none" w:sz="0" w:space="0" w:color="auto"/>
            <w:left w:val="none" w:sz="0" w:space="0" w:color="auto"/>
            <w:bottom w:val="none" w:sz="0" w:space="0" w:color="auto"/>
            <w:right w:val="none" w:sz="0" w:space="0" w:color="auto"/>
          </w:divBdr>
          <w:divsChild>
            <w:div w:id="1901549084">
              <w:marLeft w:val="0"/>
              <w:marRight w:val="0"/>
              <w:marTop w:val="0"/>
              <w:marBottom w:val="0"/>
              <w:divBdr>
                <w:top w:val="none" w:sz="0" w:space="0" w:color="auto"/>
                <w:left w:val="none" w:sz="0" w:space="0" w:color="auto"/>
                <w:bottom w:val="none" w:sz="0" w:space="0" w:color="auto"/>
                <w:right w:val="none" w:sz="0" w:space="0" w:color="auto"/>
              </w:divBdr>
              <w:divsChild>
                <w:div w:id="871040907">
                  <w:marLeft w:val="0"/>
                  <w:marRight w:val="0"/>
                  <w:marTop w:val="0"/>
                  <w:marBottom w:val="0"/>
                  <w:divBdr>
                    <w:top w:val="none" w:sz="0" w:space="0" w:color="auto"/>
                    <w:left w:val="none" w:sz="0" w:space="0" w:color="auto"/>
                    <w:bottom w:val="none" w:sz="0" w:space="0" w:color="auto"/>
                    <w:right w:val="none" w:sz="0" w:space="0" w:color="auto"/>
                  </w:divBdr>
                  <w:divsChild>
                    <w:div w:id="1598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1273">
      <w:bodyDiv w:val="1"/>
      <w:marLeft w:val="0"/>
      <w:marRight w:val="0"/>
      <w:marTop w:val="0"/>
      <w:marBottom w:val="0"/>
      <w:divBdr>
        <w:top w:val="none" w:sz="0" w:space="0" w:color="auto"/>
        <w:left w:val="none" w:sz="0" w:space="0" w:color="auto"/>
        <w:bottom w:val="none" w:sz="0" w:space="0" w:color="auto"/>
        <w:right w:val="none" w:sz="0" w:space="0" w:color="auto"/>
      </w:divBdr>
      <w:divsChild>
        <w:div w:id="1399980987">
          <w:marLeft w:val="0"/>
          <w:marRight w:val="0"/>
          <w:marTop w:val="0"/>
          <w:marBottom w:val="0"/>
          <w:divBdr>
            <w:top w:val="none" w:sz="0" w:space="0" w:color="auto"/>
            <w:left w:val="none" w:sz="0" w:space="0" w:color="auto"/>
            <w:bottom w:val="none" w:sz="0" w:space="0" w:color="auto"/>
            <w:right w:val="none" w:sz="0" w:space="0" w:color="auto"/>
          </w:divBdr>
          <w:divsChild>
            <w:div w:id="994601306">
              <w:marLeft w:val="0"/>
              <w:marRight w:val="0"/>
              <w:marTop w:val="0"/>
              <w:marBottom w:val="0"/>
              <w:divBdr>
                <w:top w:val="none" w:sz="0" w:space="0" w:color="auto"/>
                <w:left w:val="none" w:sz="0" w:space="0" w:color="auto"/>
                <w:bottom w:val="none" w:sz="0" w:space="0" w:color="auto"/>
                <w:right w:val="none" w:sz="0" w:space="0" w:color="auto"/>
              </w:divBdr>
              <w:divsChild>
                <w:div w:id="915473863">
                  <w:marLeft w:val="0"/>
                  <w:marRight w:val="0"/>
                  <w:marTop w:val="0"/>
                  <w:marBottom w:val="0"/>
                  <w:divBdr>
                    <w:top w:val="none" w:sz="0" w:space="0" w:color="auto"/>
                    <w:left w:val="none" w:sz="0" w:space="0" w:color="auto"/>
                    <w:bottom w:val="none" w:sz="0" w:space="0" w:color="auto"/>
                    <w:right w:val="none" w:sz="0" w:space="0" w:color="auto"/>
                  </w:divBdr>
                  <w:divsChild>
                    <w:div w:id="21324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15575">
      <w:bodyDiv w:val="1"/>
      <w:marLeft w:val="0"/>
      <w:marRight w:val="0"/>
      <w:marTop w:val="0"/>
      <w:marBottom w:val="0"/>
      <w:divBdr>
        <w:top w:val="none" w:sz="0" w:space="0" w:color="auto"/>
        <w:left w:val="none" w:sz="0" w:space="0" w:color="auto"/>
        <w:bottom w:val="none" w:sz="0" w:space="0" w:color="auto"/>
        <w:right w:val="none" w:sz="0" w:space="0" w:color="auto"/>
      </w:divBdr>
      <w:divsChild>
        <w:div w:id="1878618391">
          <w:marLeft w:val="0"/>
          <w:marRight w:val="0"/>
          <w:marTop w:val="0"/>
          <w:marBottom w:val="0"/>
          <w:divBdr>
            <w:top w:val="none" w:sz="0" w:space="0" w:color="auto"/>
            <w:left w:val="none" w:sz="0" w:space="0" w:color="auto"/>
            <w:bottom w:val="none" w:sz="0" w:space="0" w:color="auto"/>
            <w:right w:val="none" w:sz="0" w:space="0" w:color="auto"/>
          </w:divBdr>
          <w:divsChild>
            <w:div w:id="2036732769">
              <w:marLeft w:val="0"/>
              <w:marRight w:val="0"/>
              <w:marTop w:val="0"/>
              <w:marBottom w:val="0"/>
              <w:divBdr>
                <w:top w:val="none" w:sz="0" w:space="0" w:color="auto"/>
                <w:left w:val="none" w:sz="0" w:space="0" w:color="auto"/>
                <w:bottom w:val="none" w:sz="0" w:space="0" w:color="auto"/>
                <w:right w:val="none" w:sz="0" w:space="0" w:color="auto"/>
              </w:divBdr>
              <w:divsChild>
                <w:div w:id="2035885445">
                  <w:marLeft w:val="0"/>
                  <w:marRight w:val="0"/>
                  <w:marTop w:val="0"/>
                  <w:marBottom w:val="0"/>
                  <w:divBdr>
                    <w:top w:val="none" w:sz="0" w:space="0" w:color="auto"/>
                    <w:left w:val="none" w:sz="0" w:space="0" w:color="auto"/>
                    <w:bottom w:val="none" w:sz="0" w:space="0" w:color="auto"/>
                    <w:right w:val="none" w:sz="0" w:space="0" w:color="auto"/>
                  </w:divBdr>
                  <w:divsChild>
                    <w:div w:id="16505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90991">
      <w:bodyDiv w:val="1"/>
      <w:marLeft w:val="0"/>
      <w:marRight w:val="0"/>
      <w:marTop w:val="0"/>
      <w:marBottom w:val="0"/>
      <w:divBdr>
        <w:top w:val="none" w:sz="0" w:space="0" w:color="auto"/>
        <w:left w:val="none" w:sz="0" w:space="0" w:color="auto"/>
        <w:bottom w:val="none" w:sz="0" w:space="0" w:color="auto"/>
        <w:right w:val="none" w:sz="0" w:space="0" w:color="auto"/>
      </w:divBdr>
      <w:divsChild>
        <w:div w:id="839854264">
          <w:marLeft w:val="0"/>
          <w:marRight w:val="0"/>
          <w:marTop w:val="0"/>
          <w:marBottom w:val="0"/>
          <w:divBdr>
            <w:top w:val="none" w:sz="0" w:space="0" w:color="auto"/>
            <w:left w:val="none" w:sz="0" w:space="0" w:color="auto"/>
            <w:bottom w:val="none" w:sz="0" w:space="0" w:color="auto"/>
            <w:right w:val="none" w:sz="0" w:space="0" w:color="auto"/>
          </w:divBdr>
          <w:divsChild>
            <w:div w:id="889653033">
              <w:marLeft w:val="0"/>
              <w:marRight w:val="0"/>
              <w:marTop w:val="0"/>
              <w:marBottom w:val="0"/>
              <w:divBdr>
                <w:top w:val="none" w:sz="0" w:space="0" w:color="auto"/>
                <w:left w:val="none" w:sz="0" w:space="0" w:color="auto"/>
                <w:bottom w:val="none" w:sz="0" w:space="0" w:color="auto"/>
                <w:right w:val="none" w:sz="0" w:space="0" w:color="auto"/>
              </w:divBdr>
              <w:divsChild>
                <w:div w:id="1981614726">
                  <w:marLeft w:val="0"/>
                  <w:marRight w:val="0"/>
                  <w:marTop w:val="0"/>
                  <w:marBottom w:val="0"/>
                  <w:divBdr>
                    <w:top w:val="none" w:sz="0" w:space="0" w:color="auto"/>
                    <w:left w:val="none" w:sz="0" w:space="0" w:color="auto"/>
                    <w:bottom w:val="none" w:sz="0" w:space="0" w:color="auto"/>
                    <w:right w:val="none" w:sz="0" w:space="0" w:color="auto"/>
                  </w:divBdr>
                  <w:divsChild>
                    <w:div w:id="494301622">
                      <w:marLeft w:val="0"/>
                      <w:marRight w:val="0"/>
                      <w:marTop w:val="0"/>
                      <w:marBottom w:val="0"/>
                      <w:divBdr>
                        <w:top w:val="none" w:sz="0" w:space="0" w:color="auto"/>
                        <w:left w:val="none" w:sz="0" w:space="0" w:color="auto"/>
                        <w:bottom w:val="none" w:sz="0" w:space="0" w:color="auto"/>
                        <w:right w:val="none" w:sz="0" w:space="0" w:color="auto"/>
                      </w:divBdr>
                      <w:divsChild>
                        <w:div w:id="669605211">
                          <w:marLeft w:val="0"/>
                          <w:marRight w:val="0"/>
                          <w:marTop w:val="0"/>
                          <w:marBottom w:val="0"/>
                          <w:divBdr>
                            <w:top w:val="none" w:sz="0" w:space="0" w:color="auto"/>
                            <w:left w:val="none" w:sz="0" w:space="0" w:color="auto"/>
                            <w:bottom w:val="none" w:sz="0" w:space="0" w:color="auto"/>
                            <w:right w:val="none" w:sz="0" w:space="0" w:color="auto"/>
                          </w:divBdr>
                          <w:divsChild>
                            <w:div w:id="419058421">
                              <w:marLeft w:val="0"/>
                              <w:marRight w:val="0"/>
                              <w:marTop w:val="0"/>
                              <w:marBottom w:val="0"/>
                              <w:divBdr>
                                <w:top w:val="none" w:sz="0" w:space="0" w:color="auto"/>
                                <w:left w:val="none" w:sz="0" w:space="0" w:color="auto"/>
                                <w:bottom w:val="none" w:sz="0" w:space="0" w:color="auto"/>
                                <w:right w:val="none" w:sz="0" w:space="0" w:color="auto"/>
                              </w:divBdr>
                              <w:divsChild>
                                <w:div w:id="365760006">
                                  <w:marLeft w:val="0"/>
                                  <w:marRight w:val="0"/>
                                  <w:marTop w:val="0"/>
                                  <w:marBottom w:val="0"/>
                                  <w:divBdr>
                                    <w:top w:val="none" w:sz="0" w:space="0" w:color="auto"/>
                                    <w:left w:val="none" w:sz="0" w:space="0" w:color="auto"/>
                                    <w:bottom w:val="none" w:sz="0" w:space="0" w:color="auto"/>
                                    <w:right w:val="none" w:sz="0" w:space="0" w:color="auto"/>
                                  </w:divBdr>
                                  <w:divsChild>
                                    <w:div w:id="625963297">
                                      <w:marLeft w:val="0"/>
                                      <w:marRight w:val="0"/>
                                      <w:marTop w:val="0"/>
                                      <w:marBottom w:val="0"/>
                                      <w:divBdr>
                                        <w:top w:val="none" w:sz="0" w:space="0" w:color="auto"/>
                                        <w:left w:val="none" w:sz="0" w:space="0" w:color="auto"/>
                                        <w:bottom w:val="none" w:sz="0" w:space="0" w:color="auto"/>
                                        <w:right w:val="none" w:sz="0" w:space="0" w:color="auto"/>
                                      </w:divBdr>
                                      <w:divsChild>
                                        <w:div w:id="694428542">
                                          <w:marLeft w:val="0"/>
                                          <w:marRight w:val="0"/>
                                          <w:marTop w:val="0"/>
                                          <w:marBottom w:val="0"/>
                                          <w:divBdr>
                                            <w:top w:val="none" w:sz="0" w:space="0" w:color="auto"/>
                                            <w:left w:val="none" w:sz="0" w:space="0" w:color="auto"/>
                                            <w:bottom w:val="none" w:sz="0" w:space="0" w:color="auto"/>
                                            <w:right w:val="none" w:sz="0" w:space="0" w:color="auto"/>
                                          </w:divBdr>
                                          <w:divsChild>
                                            <w:div w:id="276789711">
                                              <w:marLeft w:val="0"/>
                                              <w:marRight w:val="0"/>
                                              <w:marTop w:val="0"/>
                                              <w:marBottom w:val="0"/>
                                              <w:divBdr>
                                                <w:top w:val="none" w:sz="0" w:space="0" w:color="auto"/>
                                                <w:left w:val="none" w:sz="0" w:space="0" w:color="auto"/>
                                                <w:bottom w:val="none" w:sz="0" w:space="0" w:color="auto"/>
                                                <w:right w:val="none" w:sz="0" w:space="0" w:color="auto"/>
                                              </w:divBdr>
                                              <w:divsChild>
                                                <w:div w:id="1406493850">
                                                  <w:marLeft w:val="0"/>
                                                  <w:marRight w:val="0"/>
                                                  <w:marTop w:val="225"/>
                                                  <w:marBottom w:val="300"/>
                                                  <w:divBdr>
                                                    <w:top w:val="none" w:sz="0" w:space="0" w:color="auto"/>
                                                    <w:left w:val="none" w:sz="0" w:space="0" w:color="auto"/>
                                                    <w:bottom w:val="none" w:sz="0" w:space="0" w:color="auto"/>
                                                    <w:right w:val="none" w:sz="0" w:space="0" w:color="auto"/>
                                                  </w:divBdr>
                                                  <w:divsChild>
                                                    <w:div w:id="1182281807">
                                                      <w:marLeft w:val="0"/>
                                                      <w:marRight w:val="0"/>
                                                      <w:marTop w:val="0"/>
                                                      <w:marBottom w:val="30"/>
                                                      <w:divBdr>
                                                        <w:top w:val="single" w:sz="6" w:space="0" w:color="E5E5E5"/>
                                                        <w:left w:val="single" w:sz="6" w:space="0" w:color="E5E5E5"/>
                                                        <w:bottom w:val="single" w:sz="6" w:space="0" w:color="E5E5E5"/>
                                                        <w:right w:val="single" w:sz="6" w:space="0" w:color="E5E5E5"/>
                                                      </w:divBdr>
                                                      <w:divsChild>
                                                        <w:div w:id="264701477">
                                                          <w:marLeft w:val="0"/>
                                                          <w:marRight w:val="0"/>
                                                          <w:marTop w:val="0"/>
                                                          <w:marBottom w:val="0"/>
                                                          <w:divBdr>
                                                            <w:top w:val="none" w:sz="0" w:space="0" w:color="auto"/>
                                                            <w:left w:val="none" w:sz="0" w:space="0" w:color="auto"/>
                                                            <w:bottom w:val="none" w:sz="0" w:space="0" w:color="auto"/>
                                                            <w:right w:val="none" w:sz="0" w:space="0" w:color="auto"/>
                                                          </w:divBdr>
                                                        </w:div>
                                                        <w:div w:id="2023319107">
                                                          <w:marLeft w:val="0"/>
                                                          <w:marRight w:val="0"/>
                                                          <w:marTop w:val="0"/>
                                                          <w:marBottom w:val="0"/>
                                                          <w:divBdr>
                                                            <w:top w:val="none" w:sz="0" w:space="0" w:color="auto"/>
                                                            <w:left w:val="none" w:sz="0" w:space="0" w:color="auto"/>
                                                            <w:bottom w:val="none" w:sz="0" w:space="0" w:color="auto"/>
                                                            <w:right w:val="none" w:sz="0" w:space="0" w:color="auto"/>
                                                          </w:divBdr>
                                                          <w:divsChild>
                                                            <w:div w:id="138054755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6986184">
      <w:bodyDiv w:val="1"/>
      <w:marLeft w:val="0"/>
      <w:marRight w:val="0"/>
      <w:marTop w:val="0"/>
      <w:marBottom w:val="0"/>
      <w:divBdr>
        <w:top w:val="none" w:sz="0" w:space="0" w:color="auto"/>
        <w:left w:val="none" w:sz="0" w:space="0" w:color="auto"/>
        <w:bottom w:val="none" w:sz="0" w:space="0" w:color="auto"/>
        <w:right w:val="none" w:sz="0" w:space="0" w:color="auto"/>
      </w:divBdr>
      <w:divsChild>
        <w:div w:id="194465625">
          <w:marLeft w:val="0"/>
          <w:marRight w:val="0"/>
          <w:marTop w:val="0"/>
          <w:marBottom w:val="0"/>
          <w:divBdr>
            <w:top w:val="none" w:sz="0" w:space="0" w:color="auto"/>
            <w:left w:val="none" w:sz="0" w:space="0" w:color="auto"/>
            <w:bottom w:val="none" w:sz="0" w:space="0" w:color="auto"/>
            <w:right w:val="none" w:sz="0" w:space="0" w:color="auto"/>
          </w:divBdr>
          <w:divsChild>
            <w:div w:id="1321348803">
              <w:marLeft w:val="0"/>
              <w:marRight w:val="0"/>
              <w:marTop w:val="0"/>
              <w:marBottom w:val="0"/>
              <w:divBdr>
                <w:top w:val="none" w:sz="0" w:space="0" w:color="auto"/>
                <w:left w:val="none" w:sz="0" w:space="0" w:color="auto"/>
                <w:bottom w:val="none" w:sz="0" w:space="0" w:color="auto"/>
                <w:right w:val="none" w:sz="0" w:space="0" w:color="auto"/>
              </w:divBdr>
              <w:divsChild>
                <w:div w:id="26682930">
                  <w:marLeft w:val="0"/>
                  <w:marRight w:val="0"/>
                  <w:marTop w:val="0"/>
                  <w:marBottom w:val="0"/>
                  <w:divBdr>
                    <w:top w:val="none" w:sz="0" w:space="0" w:color="auto"/>
                    <w:left w:val="none" w:sz="0" w:space="0" w:color="auto"/>
                    <w:bottom w:val="none" w:sz="0" w:space="0" w:color="auto"/>
                    <w:right w:val="none" w:sz="0" w:space="0" w:color="auto"/>
                  </w:divBdr>
                  <w:divsChild>
                    <w:div w:id="690692869">
                      <w:marLeft w:val="0"/>
                      <w:marRight w:val="0"/>
                      <w:marTop w:val="0"/>
                      <w:marBottom w:val="0"/>
                      <w:divBdr>
                        <w:top w:val="none" w:sz="0" w:space="0" w:color="auto"/>
                        <w:left w:val="none" w:sz="0" w:space="0" w:color="auto"/>
                        <w:bottom w:val="none" w:sz="0" w:space="0" w:color="auto"/>
                        <w:right w:val="none" w:sz="0" w:space="0" w:color="auto"/>
                      </w:divBdr>
                      <w:divsChild>
                        <w:div w:id="1295139355">
                          <w:marLeft w:val="0"/>
                          <w:marRight w:val="0"/>
                          <w:marTop w:val="0"/>
                          <w:marBottom w:val="0"/>
                          <w:divBdr>
                            <w:top w:val="none" w:sz="0" w:space="0" w:color="auto"/>
                            <w:left w:val="none" w:sz="0" w:space="0" w:color="auto"/>
                            <w:bottom w:val="none" w:sz="0" w:space="0" w:color="auto"/>
                            <w:right w:val="none" w:sz="0" w:space="0" w:color="auto"/>
                          </w:divBdr>
                          <w:divsChild>
                            <w:div w:id="1309359524">
                              <w:marLeft w:val="0"/>
                              <w:marRight w:val="0"/>
                              <w:marTop w:val="0"/>
                              <w:marBottom w:val="0"/>
                              <w:divBdr>
                                <w:top w:val="none" w:sz="0" w:space="0" w:color="auto"/>
                                <w:left w:val="none" w:sz="0" w:space="0" w:color="auto"/>
                                <w:bottom w:val="none" w:sz="0" w:space="0" w:color="auto"/>
                                <w:right w:val="none" w:sz="0" w:space="0" w:color="auto"/>
                              </w:divBdr>
                              <w:divsChild>
                                <w:div w:id="409695382">
                                  <w:marLeft w:val="0"/>
                                  <w:marRight w:val="0"/>
                                  <w:marTop w:val="0"/>
                                  <w:marBottom w:val="0"/>
                                  <w:divBdr>
                                    <w:top w:val="none" w:sz="0" w:space="0" w:color="auto"/>
                                    <w:left w:val="none" w:sz="0" w:space="0" w:color="auto"/>
                                    <w:bottom w:val="none" w:sz="0" w:space="0" w:color="auto"/>
                                    <w:right w:val="none" w:sz="0" w:space="0" w:color="auto"/>
                                  </w:divBdr>
                                  <w:divsChild>
                                    <w:div w:id="1654488637">
                                      <w:marLeft w:val="0"/>
                                      <w:marRight w:val="0"/>
                                      <w:marTop w:val="0"/>
                                      <w:marBottom w:val="0"/>
                                      <w:divBdr>
                                        <w:top w:val="none" w:sz="0" w:space="0" w:color="auto"/>
                                        <w:left w:val="none" w:sz="0" w:space="0" w:color="auto"/>
                                        <w:bottom w:val="none" w:sz="0" w:space="0" w:color="auto"/>
                                        <w:right w:val="none" w:sz="0" w:space="0" w:color="auto"/>
                                      </w:divBdr>
                                      <w:divsChild>
                                        <w:div w:id="2008823744">
                                          <w:marLeft w:val="0"/>
                                          <w:marRight w:val="0"/>
                                          <w:marTop w:val="0"/>
                                          <w:marBottom w:val="0"/>
                                          <w:divBdr>
                                            <w:top w:val="none" w:sz="0" w:space="0" w:color="auto"/>
                                            <w:left w:val="none" w:sz="0" w:space="0" w:color="auto"/>
                                            <w:bottom w:val="none" w:sz="0" w:space="0" w:color="auto"/>
                                            <w:right w:val="none" w:sz="0" w:space="0" w:color="auto"/>
                                          </w:divBdr>
                                          <w:divsChild>
                                            <w:div w:id="840852967">
                                              <w:marLeft w:val="0"/>
                                              <w:marRight w:val="0"/>
                                              <w:marTop w:val="0"/>
                                              <w:marBottom w:val="0"/>
                                              <w:divBdr>
                                                <w:top w:val="none" w:sz="0" w:space="0" w:color="auto"/>
                                                <w:left w:val="none" w:sz="0" w:space="0" w:color="auto"/>
                                                <w:bottom w:val="none" w:sz="0" w:space="0" w:color="auto"/>
                                                <w:right w:val="none" w:sz="0" w:space="0" w:color="auto"/>
                                              </w:divBdr>
                                              <w:divsChild>
                                                <w:div w:id="691958076">
                                                  <w:marLeft w:val="0"/>
                                                  <w:marRight w:val="0"/>
                                                  <w:marTop w:val="225"/>
                                                  <w:marBottom w:val="300"/>
                                                  <w:divBdr>
                                                    <w:top w:val="none" w:sz="0" w:space="0" w:color="auto"/>
                                                    <w:left w:val="none" w:sz="0" w:space="0" w:color="auto"/>
                                                    <w:bottom w:val="none" w:sz="0" w:space="0" w:color="auto"/>
                                                    <w:right w:val="none" w:sz="0" w:space="0" w:color="auto"/>
                                                  </w:divBdr>
                                                  <w:divsChild>
                                                    <w:div w:id="741830458">
                                                      <w:marLeft w:val="0"/>
                                                      <w:marRight w:val="0"/>
                                                      <w:marTop w:val="0"/>
                                                      <w:marBottom w:val="30"/>
                                                      <w:divBdr>
                                                        <w:top w:val="single" w:sz="6" w:space="0" w:color="E5E5E5"/>
                                                        <w:left w:val="single" w:sz="6" w:space="0" w:color="E5E5E5"/>
                                                        <w:bottom w:val="single" w:sz="6" w:space="0" w:color="E5E5E5"/>
                                                        <w:right w:val="single" w:sz="6" w:space="0" w:color="E5E5E5"/>
                                                      </w:divBdr>
                                                      <w:divsChild>
                                                        <w:div w:id="427048957">
                                                          <w:marLeft w:val="0"/>
                                                          <w:marRight w:val="0"/>
                                                          <w:marTop w:val="0"/>
                                                          <w:marBottom w:val="0"/>
                                                          <w:divBdr>
                                                            <w:top w:val="none" w:sz="0" w:space="0" w:color="auto"/>
                                                            <w:left w:val="none" w:sz="0" w:space="0" w:color="auto"/>
                                                            <w:bottom w:val="none" w:sz="0" w:space="0" w:color="auto"/>
                                                            <w:right w:val="none" w:sz="0" w:space="0" w:color="auto"/>
                                                          </w:divBdr>
                                                        </w:div>
                                                        <w:div w:id="1630356329">
                                                          <w:marLeft w:val="0"/>
                                                          <w:marRight w:val="0"/>
                                                          <w:marTop w:val="0"/>
                                                          <w:marBottom w:val="0"/>
                                                          <w:divBdr>
                                                            <w:top w:val="none" w:sz="0" w:space="0" w:color="auto"/>
                                                            <w:left w:val="none" w:sz="0" w:space="0" w:color="auto"/>
                                                            <w:bottom w:val="none" w:sz="0" w:space="0" w:color="auto"/>
                                                            <w:right w:val="none" w:sz="0" w:space="0" w:color="auto"/>
                                                          </w:divBdr>
                                                          <w:divsChild>
                                                            <w:div w:id="184019572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738252">
      <w:bodyDiv w:val="1"/>
      <w:marLeft w:val="0"/>
      <w:marRight w:val="0"/>
      <w:marTop w:val="0"/>
      <w:marBottom w:val="0"/>
      <w:divBdr>
        <w:top w:val="none" w:sz="0" w:space="0" w:color="auto"/>
        <w:left w:val="none" w:sz="0" w:space="0" w:color="auto"/>
        <w:bottom w:val="none" w:sz="0" w:space="0" w:color="auto"/>
        <w:right w:val="none" w:sz="0" w:space="0" w:color="auto"/>
      </w:divBdr>
      <w:divsChild>
        <w:div w:id="1929265474">
          <w:marLeft w:val="0"/>
          <w:marRight w:val="0"/>
          <w:marTop w:val="0"/>
          <w:marBottom w:val="0"/>
          <w:divBdr>
            <w:top w:val="none" w:sz="0" w:space="0" w:color="auto"/>
            <w:left w:val="none" w:sz="0" w:space="0" w:color="auto"/>
            <w:bottom w:val="none" w:sz="0" w:space="0" w:color="auto"/>
            <w:right w:val="none" w:sz="0" w:space="0" w:color="auto"/>
          </w:divBdr>
          <w:divsChild>
            <w:div w:id="1448543235">
              <w:marLeft w:val="0"/>
              <w:marRight w:val="0"/>
              <w:marTop w:val="0"/>
              <w:marBottom w:val="0"/>
              <w:divBdr>
                <w:top w:val="none" w:sz="0" w:space="0" w:color="auto"/>
                <w:left w:val="none" w:sz="0" w:space="0" w:color="auto"/>
                <w:bottom w:val="none" w:sz="0" w:space="0" w:color="auto"/>
                <w:right w:val="none" w:sz="0" w:space="0" w:color="auto"/>
              </w:divBdr>
              <w:divsChild>
                <w:div w:id="1844590608">
                  <w:marLeft w:val="0"/>
                  <w:marRight w:val="0"/>
                  <w:marTop w:val="0"/>
                  <w:marBottom w:val="0"/>
                  <w:divBdr>
                    <w:top w:val="none" w:sz="0" w:space="0" w:color="auto"/>
                    <w:left w:val="none" w:sz="0" w:space="0" w:color="auto"/>
                    <w:bottom w:val="none" w:sz="0" w:space="0" w:color="auto"/>
                    <w:right w:val="none" w:sz="0" w:space="0" w:color="auto"/>
                  </w:divBdr>
                  <w:divsChild>
                    <w:div w:id="17747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6418">
      <w:bodyDiv w:val="1"/>
      <w:marLeft w:val="0"/>
      <w:marRight w:val="0"/>
      <w:marTop w:val="0"/>
      <w:marBottom w:val="0"/>
      <w:divBdr>
        <w:top w:val="none" w:sz="0" w:space="0" w:color="auto"/>
        <w:left w:val="none" w:sz="0" w:space="0" w:color="auto"/>
        <w:bottom w:val="none" w:sz="0" w:space="0" w:color="auto"/>
        <w:right w:val="none" w:sz="0" w:space="0" w:color="auto"/>
      </w:divBdr>
      <w:divsChild>
        <w:div w:id="671102063">
          <w:marLeft w:val="0"/>
          <w:marRight w:val="0"/>
          <w:marTop w:val="0"/>
          <w:marBottom w:val="0"/>
          <w:divBdr>
            <w:top w:val="none" w:sz="0" w:space="0" w:color="auto"/>
            <w:left w:val="none" w:sz="0" w:space="0" w:color="auto"/>
            <w:bottom w:val="none" w:sz="0" w:space="0" w:color="auto"/>
            <w:right w:val="none" w:sz="0" w:space="0" w:color="auto"/>
          </w:divBdr>
          <w:divsChild>
            <w:div w:id="18334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0932">
      <w:bodyDiv w:val="1"/>
      <w:marLeft w:val="0"/>
      <w:marRight w:val="0"/>
      <w:marTop w:val="0"/>
      <w:marBottom w:val="0"/>
      <w:divBdr>
        <w:top w:val="none" w:sz="0" w:space="0" w:color="auto"/>
        <w:left w:val="none" w:sz="0" w:space="0" w:color="auto"/>
        <w:bottom w:val="none" w:sz="0" w:space="0" w:color="auto"/>
        <w:right w:val="none" w:sz="0" w:space="0" w:color="auto"/>
      </w:divBdr>
      <w:divsChild>
        <w:div w:id="258101795">
          <w:marLeft w:val="0"/>
          <w:marRight w:val="0"/>
          <w:marTop w:val="0"/>
          <w:marBottom w:val="0"/>
          <w:divBdr>
            <w:top w:val="none" w:sz="0" w:space="0" w:color="auto"/>
            <w:left w:val="none" w:sz="0" w:space="0" w:color="auto"/>
            <w:bottom w:val="none" w:sz="0" w:space="0" w:color="auto"/>
            <w:right w:val="none" w:sz="0" w:space="0" w:color="auto"/>
          </w:divBdr>
          <w:divsChild>
            <w:div w:id="672297642">
              <w:marLeft w:val="0"/>
              <w:marRight w:val="0"/>
              <w:marTop w:val="0"/>
              <w:marBottom w:val="0"/>
              <w:divBdr>
                <w:top w:val="none" w:sz="0" w:space="0" w:color="auto"/>
                <w:left w:val="none" w:sz="0" w:space="0" w:color="auto"/>
                <w:bottom w:val="none" w:sz="0" w:space="0" w:color="auto"/>
                <w:right w:val="none" w:sz="0" w:space="0" w:color="auto"/>
              </w:divBdr>
              <w:divsChild>
                <w:div w:id="1300644933">
                  <w:marLeft w:val="0"/>
                  <w:marRight w:val="0"/>
                  <w:marTop w:val="0"/>
                  <w:marBottom w:val="0"/>
                  <w:divBdr>
                    <w:top w:val="none" w:sz="0" w:space="0" w:color="auto"/>
                    <w:left w:val="none" w:sz="0" w:space="0" w:color="auto"/>
                    <w:bottom w:val="none" w:sz="0" w:space="0" w:color="auto"/>
                    <w:right w:val="none" w:sz="0" w:space="0" w:color="auto"/>
                  </w:divBdr>
                  <w:divsChild>
                    <w:div w:id="1478037250">
                      <w:marLeft w:val="0"/>
                      <w:marRight w:val="0"/>
                      <w:marTop w:val="0"/>
                      <w:marBottom w:val="0"/>
                      <w:divBdr>
                        <w:top w:val="none" w:sz="0" w:space="0" w:color="auto"/>
                        <w:left w:val="none" w:sz="0" w:space="0" w:color="auto"/>
                        <w:bottom w:val="none" w:sz="0" w:space="0" w:color="auto"/>
                        <w:right w:val="none" w:sz="0" w:space="0" w:color="auto"/>
                      </w:divBdr>
                      <w:divsChild>
                        <w:div w:id="268239060">
                          <w:marLeft w:val="0"/>
                          <w:marRight w:val="0"/>
                          <w:marTop w:val="0"/>
                          <w:marBottom w:val="0"/>
                          <w:divBdr>
                            <w:top w:val="none" w:sz="0" w:space="0" w:color="auto"/>
                            <w:left w:val="none" w:sz="0" w:space="0" w:color="auto"/>
                            <w:bottom w:val="none" w:sz="0" w:space="0" w:color="auto"/>
                            <w:right w:val="none" w:sz="0" w:space="0" w:color="auto"/>
                          </w:divBdr>
                          <w:divsChild>
                            <w:div w:id="285012">
                              <w:marLeft w:val="0"/>
                              <w:marRight w:val="0"/>
                              <w:marTop w:val="0"/>
                              <w:marBottom w:val="0"/>
                              <w:divBdr>
                                <w:top w:val="none" w:sz="0" w:space="0" w:color="auto"/>
                                <w:left w:val="none" w:sz="0" w:space="0" w:color="auto"/>
                                <w:bottom w:val="none" w:sz="0" w:space="0" w:color="auto"/>
                                <w:right w:val="none" w:sz="0" w:space="0" w:color="auto"/>
                              </w:divBdr>
                              <w:divsChild>
                                <w:div w:id="1635598220">
                                  <w:marLeft w:val="0"/>
                                  <w:marRight w:val="0"/>
                                  <w:marTop w:val="0"/>
                                  <w:marBottom w:val="0"/>
                                  <w:divBdr>
                                    <w:top w:val="none" w:sz="0" w:space="0" w:color="auto"/>
                                    <w:left w:val="none" w:sz="0" w:space="0" w:color="auto"/>
                                    <w:bottom w:val="none" w:sz="0" w:space="0" w:color="auto"/>
                                    <w:right w:val="none" w:sz="0" w:space="0" w:color="auto"/>
                                  </w:divBdr>
                                  <w:divsChild>
                                    <w:div w:id="1505196713">
                                      <w:marLeft w:val="0"/>
                                      <w:marRight w:val="0"/>
                                      <w:marTop w:val="0"/>
                                      <w:marBottom w:val="0"/>
                                      <w:divBdr>
                                        <w:top w:val="none" w:sz="0" w:space="0" w:color="auto"/>
                                        <w:left w:val="none" w:sz="0" w:space="0" w:color="auto"/>
                                        <w:bottom w:val="none" w:sz="0" w:space="0" w:color="auto"/>
                                        <w:right w:val="none" w:sz="0" w:space="0" w:color="auto"/>
                                      </w:divBdr>
                                      <w:divsChild>
                                        <w:div w:id="2082483239">
                                          <w:marLeft w:val="0"/>
                                          <w:marRight w:val="0"/>
                                          <w:marTop w:val="0"/>
                                          <w:marBottom w:val="0"/>
                                          <w:divBdr>
                                            <w:top w:val="none" w:sz="0" w:space="0" w:color="auto"/>
                                            <w:left w:val="none" w:sz="0" w:space="0" w:color="auto"/>
                                            <w:bottom w:val="none" w:sz="0" w:space="0" w:color="auto"/>
                                            <w:right w:val="none" w:sz="0" w:space="0" w:color="auto"/>
                                          </w:divBdr>
                                          <w:divsChild>
                                            <w:div w:id="1246379059">
                                              <w:marLeft w:val="0"/>
                                              <w:marRight w:val="0"/>
                                              <w:marTop w:val="0"/>
                                              <w:marBottom w:val="0"/>
                                              <w:divBdr>
                                                <w:top w:val="none" w:sz="0" w:space="0" w:color="auto"/>
                                                <w:left w:val="none" w:sz="0" w:space="0" w:color="auto"/>
                                                <w:bottom w:val="none" w:sz="0" w:space="0" w:color="auto"/>
                                                <w:right w:val="none" w:sz="0" w:space="0" w:color="auto"/>
                                              </w:divBdr>
                                              <w:divsChild>
                                                <w:div w:id="965816802">
                                                  <w:marLeft w:val="0"/>
                                                  <w:marRight w:val="0"/>
                                                  <w:marTop w:val="225"/>
                                                  <w:marBottom w:val="300"/>
                                                  <w:divBdr>
                                                    <w:top w:val="none" w:sz="0" w:space="0" w:color="auto"/>
                                                    <w:left w:val="none" w:sz="0" w:space="0" w:color="auto"/>
                                                    <w:bottom w:val="none" w:sz="0" w:space="0" w:color="auto"/>
                                                    <w:right w:val="none" w:sz="0" w:space="0" w:color="auto"/>
                                                  </w:divBdr>
                                                  <w:divsChild>
                                                    <w:div w:id="121729660">
                                                      <w:marLeft w:val="0"/>
                                                      <w:marRight w:val="0"/>
                                                      <w:marTop w:val="0"/>
                                                      <w:marBottom w:val="30"/>
                                                      <w:divBdr>
                                                        <w:top w:val="single" w:sz="6" w:space="0" w:color="E5E5E5"/>
                                                        <w:left w:val="single" w:sz="6" w:space="0" w:color="E5E5E5"/>
                                                        <w:bottom w:val="single" w:sz="6" w:space="0" w:color="E5E5E5"/>
                                                        <w:right w:val="single" w:sz="6" w:space="0" w:color="E5E5E5"/>
                                                      </w:divBdr>
                                                      <w:divsChild>
                                                        <w:div w:id="359622613">
                                                          <w:marLeft w:val="0"/>
                                                          <w:marRight w:val="0"/>
                                                          <w:marTop w:val="0"/>
                                                          <w:marBottom w:val="0"/>
                                                          <w:divBdr>
                                                            <w:top w:val="none" w:sz="0" w:space="0" w:color="auto"/>
                                                            <w:left w:val="none" w:sz="0" w:space="0" w:color="auto"/>
                                                            <w:bottom w:val="none" w:sz="0" w:space="0" w:color="auto"/>
                                                            <w:right w:val="none" w:sz="0" w:space="0" w:color="auto"/>
                                                          </w:divBdr>
                                                        </w:div>
                                                        <w:div w:id="429358826">
                                                          <w:marLeft w:val="0"/>
                                                          <w:marRight w:val="0"/>
                                                          <w:marTop w:val="0"/>
                                                          <w:marBottom w:val="0"/>
                                                          <w:divBdr>
                                                            <w:top w:val="none" w:sz="0" w:space="0" w:color="auto"/>
                                                            <w:left w:val="none" w:sz="0" w:space="0" w:color="auto"/>
                                                            <w:bottom w:val="none" w:sz="0" w:space="0" w:color="auto"/>
                                                            <w:right w:val="none" w:sz="0" w:space="0" w:color="auto"/>
                                                          </w:divBdr>
                                                          <w:divsChild>
                                                            <w:div w:id="1331349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576386">
      <w:bodyDiv w:val="1"/>
      <w:marLeft w:val="0"/>
      <w:marRight w:val="0"/>
      <w:marTop w:val="0"/>
      <w:marBottom w:val="0"/>
      <w:divBdr>
        <w:top w:val="none" w:sz="0" w:space="0" w:color="auto"/>
        <w:left w:val="none" w:sz="0" w:space="0" w:color="auto"/>
        <w:bottom w:val="none" w:sz="0" w:space="0" w:color="auto"/>
        <w:right w:val="none" w:sz="0" w:space="0" w:color="auto"/>
      </w:divBdr>
      <w:divsChild>
        <w:div w:id="1535574778">
          <w:marLeft w:val="0"/>
          <w:marRight w:val="0"/>
          <w:marTop w:val="0"/>
          <w:marBottom w:val="0"/>
          <w:divBdr>
            <w:top w:val="none" w:sz="0" w:space="0" w:color="auto"/>
            <w:left w:val="none" w:sz="0" w:space="0" w:color="auto"/>
            <w:bottom w:val="none" w:sz="0" w:space="0" w:color="auto"/>
            <w:right w:val="none" w:sz="0" w:space="0" w:color="auto"/>
          </w:divBdr>
          <w:divsChild>
            <w:div w:id="1347824192">
              <w:marLeft w:val="0"/>
              <w:marRight w:val="0"/>
              <w:marTop w:val="0"/>
              <w:marBottom w:val="0"/>
              <w:divBdr>
                <w:top w:val="none" w:sz="0" w:space="0" w:color="auto"/>
                <w:left w:val="none" w:sz="0" w:space="0" w:color="auto"/>
                <w:bottom w:val="none" w:sz="0" w:space="0" w:color="auto"/>
                <w:right w:val="none" w:sz="0" w:space="0" w:color="auto"/>
              </w:divBdr>
              <w:divsChild>
                <w:div w:id="1193767786">
                  <w:marLeft w:val="0"/>
                  <w:marRight w:val="0"/>
                  <w:marTop w:val="0"/>
                  <w:marBottom w:val="0"/>
                  <w:divBdr>
                    <w:top w:val="none" w:sz="0" w:space="0" w:color="auto"/>
                    <w:left w:val="none" w:sz="0" w:space="0" w:color="auto"/>
                    <w:bottom w:val="none" w:sz="0" w:space="0" w:color="auto"/>
                    <w:right w:val="none" w:sz="0" w:space="0" w:color="auto"/>
                  </w:divBdr>
                  <w:divsChild>
                    <w:div w:id="6992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3134">
      <w:bodyDiv w:val="1"/>
      <w:marLeft w:val="0"/>
      <w:marRight w:val="0"/>
      <w:marTop w:val="0"/>
      <w:marBottom w:val="0"/>
      <w:divBdr>
        <w:top w:val="none" w:sz="0" w:space="0" w:color="auto"/>
        <w:left w:val="none" w:sz="0" w:space="0" w:color="auto"/>
        <w:bottom w:val="none" w:sz="0" w:space="0" w:color="auto"/>
        <w:right w:val="none" w:sz="0" w:space="0" w:color="auto"/>
      </w:divBdr>
      <w:divsChild>
        <w:div w:id="341322689">
          <w:marLeft w:val="0"/>
          <w:marRight w:val="0"/>
          <w:marTop w:val="0"/>
          <w:marBottom w:val="0"/>
          <w:divBdr>
            <w:top w:val="none" w:sz="0" w:space="0" w:color="auto"/>
            <w:left w:val="none" w:sz="0" w:space="0" w:color="auto"/>
            <w:bottom w:val="none" w:sz="0" w:space="0" w:color="auto"/>
            <w:right w:val="none" w:sz="0" w:space="0" w:color="auto"/>
          </w:divBdr>
          <w:divsChild>
            <w:div w:id="1925870153">
              <w:marLeft w:val="0"/>
              <w:marRight w:val="0"/>
              <w:marTop w:val="0"/>
              <w:marBottom w:val="0"/>
              <w:divBdr>
                <w:top w:val="none" w:sz="0" w:space="0" w:color="auto"/>
                <w:left w:val="none" w:sz="0" w:space="0" w:color="auto"/>
                <w:bottom w:val="none" w:sz="0" w:space="0" w:color="auto"/>
                <w:right w:val="none" w:sz="0" w:space="0" w:color="auto"/>
              </w:divBdr>
              <w:divsChild>
                <w:div w:id="1933975620">
                  <w:marLeft w:val="0"/>
                  <w:marRight w:val="0"/>
                  <w:marTop w:val="0"/>
                  <w:marBottom w:val="0"/>
                  <w:divBdr>
                    <w:top w:val="none" w:sz="0" w:space="0" w:color="auto"/>
                    <w:left w:val="none" w:sz="0" w:space="0" w:color="auto"/>
                    <w:bottom w:val="none" w:sz="0" w:space="0" w:color="auto"/>
                    <w:right w:val="none" w:sz="0" w:space="0" w:color="auto"/>
                  </w:divBdr>
                  <w:divsChild>
                    <w:div w:id="1373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665">
      <w:bodyDiv w:val="1"/>
      <w:marLeft w:val="0"/>
      <w:marRight w:val="0"/>
      <w:marTop w:val="0"/>
      <w:marBottom w:val="0"/>
      <w:divBdr>
        <w:top w:val="none" w:sz="0" w:space="0" w:color="auto"/>
        <w:left w:val="none" w:sz="0" w:space="0" w:color="auto"/>
        <w:bottom w:val="none" w:sz="0" w:space="0" w:color="auto"/>
        <w:right w:val="none" w:sz="0" w:space="0" w:color="auto"/>
      </w:divBdr>
      <w:divsChild>
        <w:div w:id="1458375151">
          <w:marLeft w:val="0"/>
          <w:marRight w:val="0"/>
          <w:marTop w:val="0"/>
          <w:marBottom w:val="0"/>
          <w:divBdr>
            <w:top w:val="none" w:sz="0" w:space="0" w:color="auto"/>
            <w:left w:val="none" w:sz="0" w:space="0" w:color="auto"/>
            <w:bottom w:val="none" w:sz="0" w:space="0" w:color="auto"/>
            <w:right w:val="none" w:sz="0" w:space="0" w:color="auto"/>
          </w:divBdr>
          <w:divsChild>
            <w:div w:id="1444837250">
              <w:marLeft w:val="0"/>
              <w:marRight w:val="0"/>
              <w:marTop w:val="0"/>
              <w:marBottom w:val="0"/>
              <w:divBdr>
                <w:top w:val="none" w:sz="0" w:space="0" w:color="auto"/>
                <w:left w:val="none" w:sz="0" w:space="0" w:color="auto"/>
                <w:bottom w:val="none" w:sz="0" w:space="0" w:color="auto"/>
                <w:right w:val="none" w:sz="0" w:space="0" w:color="auto"/>
              </w:divBdr>
              <w:divsChild>
                <w:div w:id="22364837">
                  <w:marLeft w:val="0"/>
                  <w:marRight w:val="0"/>
                  <w:marTop w:val="0"/>
                  <w:marBottom w:val="0"/>
                  <w:divBdr>
                    <w:top w:val="none" w:sz="0" w:space="0" w:color="auto"/>
                    <w:left w:val="none" w:sz="0" w:space="0" w:color="auto"/>
                    <w:bottom w:val="none" w:sz="0" w:space="0" w:color="auto"/>
                    <w:right w:val="none" w:sz="0" w:space="0" w:color="auto"/>
                  </w:divBdr>
                  <w:divsChild>
                    <w:div w:id="1028287859">
                      <w:marLeft w:val="-300"/>
                      <w:marRight w:val="0"/>
                      <w:marTop w:val="0"/>
                      <w:marBottom w:val="0"/>
                      <w:divBdr>
                        <w:top w:val="none" w:sz="0" w:space="0" w:color="auto"/>
                        <w:left w:val="none" w:sz="0" w:space="0" w:color="auto"/>
                        <w:bottom w:val="none" w:sz="0" w:space="0" w:color="auto"/>
                        <w:right w:val="none" w:sz="0" w:space="0" w:color="auto"/>
                      </w:divBdr>
                      <w:divsChild>
                        <w:div w:id="17434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09382">
      <w:bodyDiv w:val="1"/>
      <w:marLeft w:val="0"/>
      <w:marRight w:val="0"/>
      <w:marTop w:val="0"/>
      <w:marBottom w:val="0"/>
      <w:divBdr>
        <w:top w:val="none" w:sz="0" w:space="0" w:color="auto"/>
        <w:left w:val="none" w:sz="0" w:space="0" w:color="auto"/>
        <w:bottom w:val="none" w:sz="0" w:space="0" w:color="auto"/>
        <w:right w:val="none" w:sz="0" w:space="0" w:color="auto"/>
      </w:divBdr>
      <w:divsChild>
        <w:div w:id="17895109">
          <w:marLeft w:val="0"/>
          <w:marRight w:val="0"/>
          <w:marTop w:val="0"/>
          <w:marBottom w:val="0"/>
          <w:divBdr>
            <w:top w:val="none" w:sz="0" w:space="0" w:color="auto"/>
            <w:left w:val="none" w:sz="0" w:space="0" w:color="auto"/>
            <w:bottom w:val="none" w:sz="0" w:space="0" w:color="auto"/>
            <w:right w:val="none" w:sz="0" w:space="0" w:color="auto"/>
          </w:divBdr>
          <w:divsChild>
            <w:div w:id="1951934850">
              <w:marLeft w:val="0"/>
              <w:marRight w:val="0"/>
              <w:marTop w:val="0"/>
              <w:marBottom w:val="0"/>
              <w:divBdr>
                <w:top w:val="none" w:sz="0" w:space="0" w:color="auto"/>
                <w:left w:val="none" w:sz="0" w:space="0" w:color="auto"/>
                <w:bottom w:val="none" w:sz="0" w:space="0" w:color="auto"/>
                <w:right w:val="none" w:sz="0" w:space="0" w:color="auto"/>
              </w:divBdr>
              <w:divsChild>
                <w:div w:id="1396516192">
                  <w:marLeft w:val="0"/>
                  <w:marRight w:val="0"/>
                  <w:marTop w:val="0"/>
                  <w:marBottom w:val="0"/>
                  <w:divBdr>
                    <w:top w:val="none" w:sz="0" w:space="0" w:color="auto"/>
                    <w:left w:val="none" w:sz="0" w:space="0" w:color="auto"/>
                    <w:bottom w:val="none" w:sz="0" w:space="0" w:color="auto"/>
                    <w:right w:val="none" w:sz="0" w:space="0" w:color="auto"/>
                  </w:divBdr>
                  <w:divsChild>
                    <w:div w:id="9530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5513">
      <w:bodyDiv w:val="1"/>
      <w:marLeft w:val="0"/>
      <w:marRight w:val="0"/>
      <w:marTop w:val="0"/>
      <w:marBottom w:val="0"/>
      <w:divBdr>
        <w:top w:val="none" w:sz="0" w:space="0" w:color="auto"/>
        <w:left w:val="none" w:sz="0" w:space="0" w:color="auto"/>
        <w:bottom w:val="none" w:sz="0" w:space="0" w:color="auto"/>
        <w:right w:val="none" w:sz="0" w:space="0" w:color="auto"/>
      </w:divBdr>
      <w:divsChild>
        <w:div w:id="959191667">
          <w:marLeft w:val="0"/>
          <w:marRight w:val="0"/>
          <w:marTop w:val="0"/>
          <w:marBottom w:val="0"/>
          <w:divBdr>
            <w:top w:val="none" w:sz="0" w:space="0" w:color="auto"/>
            <w:left w:val="none" w:sz="0" w:space="0" w:color="auto"/>
            <w:bottom w:val="none" w:sz="0" w:space="0" w:color="auto"/>
            <w:right w:val="none" w:sz="0" w:space="0" w:color="auto"/>
          </w:divBdr>
          <w:divsChild>
            <w:div w:id="2036879377">
              <w:marLeft w:val="0"/>
              <w:marRight w:val="0"/>
              <w:marTop w:val="0"/>
              <w:marBottom w:val="0"/>
              <w:divBdr>
                <w:top w:val="none" w:sz="0" w:space="0" w:color="auto"/>
                <w:left w:val="none" w:sz="0" w:space="0" w:color="auto"/>
                <w:bottom w:val="none" w:sz="0" w:space="0" w:color="auto"/>
                <w:right w:val="none" w:sz="0" w:space="0" w:color="auto"/>
              </w:divBdr>
              <w:divsChild>
                <w:div w:id="1660494773">
                  <w:marLeft w:val="0"/>
                  <w:marRight w:val="0"/>
                  <w:marTop w:val="0"/>
                  <w:marBottom w:val="0"/>
                  <w:divBdr>
                    <w:top w:val="none" w:sz="0" w:space="0" w:color="auto"/>
                    <w:left w:val="none" w:sz="0" w:space="0" w:color="auto"/>
                    <w:bottom w:val="none" w:sz="0" w:space="0" w:color="auto"/>
                    <w:right w:val="none" w:sz="0" w:space="0" w:color="auto"/>
                  </w:divBdr>
                  <w:divsChild>
                    <w:div w:id="1775906205">
                      <w:marLeft w:val="0"/>
                      <w:marRight w:val="0"/>
                      <w:marTop w:val="0"/>
                      <w:marBottom w:val="0"/>
                      <w:divBdr>
                        <w:top w:val="none" w:sz="0" w:space="0" w:color="auto"/>
                        <w:left w:val="none" w:sz="0" w:space="0" w:color="auto"/>
                        <w:bottom w:val="none" w:sz="0" w:space="0" w:color="auto"/>
                        <w:right w:val="none" w:sz="0" w:space="0" w:color="auto"/>
                      </w:divBdr>
                      <w:divsChild>
                        <w:div w:id="531844034">
                          <w:marLeft w:val="0"/>
                          <w:marRight w:val="0"/>
                          <w:marTop w:val="0"/>
                          <w:marBottom w:val="0"/>
                          <w:divBdr>
                            <w:top w:val="none" w:sz="0" w:space="0" w:color="auto"/>
                            <w:left w:val="none" w:sz="0" w:space="0" w:color="auto"/>
                            <w:bottom w:val="none" w:sz="0" w:space="0" w:color="auto"/>
                            <w:right w:val="none" w:sz="0" w:space="0" w:color="auto"/>
                          </w:divBdr>
                          <w:divsChild>
                            <w:div w:id="1121190009">
                              <w:marLeft w:val="0"/>
                              <w:marRight w:val="0"/>
                              <w:marTop w:val="0"/>
                              <w:marBottom w:val="0"/>
                              <w:divBdr>
                                <w:top w:val="none" w:sz="0" w:space="0" w:color="auto"/>
                                <w:left w:val="none" w:sz="0" w:space="0" w:color="auto"/>
                                <w:bottom w:val="none" w:sz="0" w:space="0" w:color="auto"/>
                                <w:right w:val="none" w:sz="0" w:space="0" w:color="auto"/>
                              </w:divBdr>
                              <w:divsChild>
                                <w:div w:id="453209214">
                                  <w:marLeft w:val="0"/>
                                  <w:marRight w:val="0"/>
                                  <w:marTop w:val="0"/>
                                  <w:marBottom w:val="0"/>
                                  <w:divBdr>
                                    <w:top w:val="none" w:sz="0" w:space="0" w:color="auto"/>
                                    <w:left w:val="none" w:sz="0" w:space="0" w:color="auto"/>
                                    <w:bottom w:val="none" w:sz="0" w:space="0" w:color="auto"/>
                                    <w:right w:val="none" w:sz="0" w:space="0" w:color="auto"/>
                                  </w:divBdr>
                                  <w:divsChild>
                                    <w:div w:id="665982071">
                                      <w:marLeft w:val="0"/>
                                      <w:marRight w:val="0"/>
                                      <w:marTop w:val="0"/>
                                      <w:marBottom w:val="0"/>
                                      <w:divBdr>
                                        <w:top w:val="none" w:sz="0" w:space="0" w:color="auto"/>
                                        <w:left w:val="none" w:sz="0" w:space="0" w:color="auto"/>
                                        <w:bottom w:val="none" w:sz="0" w:space="0" w:color="auto"/>
                                        <w:right w:val="none" w:sz="0" w:space="0" w:color="auto"/>
                                      </w:divBdr>
                                      <w:divsChild>
                                        <w:div w:id="177500179">
                                          <w:marLeft w:val="0"/>
                                          <w:marRight w:val="0"/>
                                          <w:marTop w:val="0"/>
                                          <w:marBottom w:val="0"/>
                                          <w:divBdr>
                                            <w:top w:val="none" w:sz="0" w:space="0" w:color="auto"/>
                                            <w:left w:val="none" w:sz="0" w:space="0" w:color="auto"/>
                                            <w:bottom w:val="none" w:sz="0" w:space="0" w:color="auto"/>
                                            <w:right w:val="none" w:sz="0" w:space="0" w:color="auto"/>
                                          </w:divBdr>
                                          <w:divsChild>
                                            <w:div w:id="317656336">
                                              <w:marLeft w:val="0"/>
                                              <w:marRight w:val="0"/>
                                              <w:marTop w:val="0"/>
                                              <w:marBottom w:val="0"/>
                                              <w:divBdr>
                                                <w:top w:val="none" w:sz="0" w:space="0" w:color="auto"/>
                                                <w:left w:val="none" w:sz="0" w:space="0" w:color="auto"/>
                                                <w:bottom w:val="none" w:sz="0" w:space="0" w:color="auto"/>
                                                <w:right w:val="none" w:sz="0" w:space="0" w:color="auto"/>
                                              </w:divBdr>
                                              <w:divsChild>
                                                <w:div w:id="1524705417">
                                                  <w:marLeft w:val="0"/>
                                                  <w:marRight w:val="0"/>
                                                  <w:marTop w:val="0"/>
                                                  <w:marBottom w:val="0"/>
                                                  <w:divBdr>
                                                    <w:top w:val="none" w:sz="0" w:space="0" w:color="auto"/>
                                                    <w:left w:val="none" w:sz="0" w:space="0" w:color="auto"/>
                                                    <w:bottom w:val="none" w:sz="0" w:space="0" w:color="auto"/>
                                                    <w:right w:val="none" w:sz="0" w:space="0" w:color="auto"/>
                                                  </w:divBdr>
                                                </w:div>
                                                <w:div w:id="18484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341328">
      <w:bodyDiv w:val="1"/>
      <w:marLeft w:val="0"/>
      <w:marRight w:val="0"/>
      <w:marTop w:val="0"/>
      <w:marBottom w:val="0"/>
      <w:divBdr>
        <w:top w:val="none" w:sz="0" w:space="0" w:color="auto"/>
        <w:left w:val="none" w:sz="0" w:space="0" w:color="auto"/>
        <w:bottom w:val="none" w:sz="0" w:space="0" w:color="auto"/>
        <w:right w:val="none" w:sz="0" w:space="0" w:color="auto"/>
      </w:divBdr>
      <w:divsChild>
        <w:div w:id="884563926">
          <w:marLeft w:val="0"/>
          <w:marRight w:val="0"/>
          <w:marTop w:val="0"/>
          <w:marBottom w:val="0"/>
          <w:divBdr>
            <w:top w:val="none" w:sz="0" w:space="0" w:color="auto"/>
            <w:left w:val="none" w:sz="0" w:space="0" w:color="auto"/>
            <w:bottom w:val="none" w:sz="0" w:space="0" w:color="auto"/>
            <w:right w:val="none" w:sz="0" w:space="0" w:color="auto"/>
          </w:divBdr>
          <w:divsChild>
            <w:div w:id="1152676333">
              <w:marLeft w:val="0"/>
              <w:marRight w:val="0"/>
              <w:marTop w:val="0"/>
              <w:marBottom w:val="0"/>
              <w:divBdr>
                <w:top w:val="none" w:sz="0" w:space="0" w:color="auto"/>
                <w:left w:val="none" w:sz="0" w:space="0" w:color="auto"/>
                <w:bottom w:val="none" w:sz="0" w:space="0" w:color="auto"/>
                <w:right w:val="none" w:sz="0" w:space="0" w:color="auto"/>
              </w:divBdr>
              <w:divsChild>
                <w:div w:id="2095272203">
                  <w:marLeft w:val="0"/>
                  <w:marRight w:val="0"/>
                  <w:marTop w:val="0"/>
                  <w:marBottom w:val="0"/>
                  <w:divBdr>
                    <w:top w:val="none" w:sz="0" w:space="0" w:color="auto"/>
                    <w:left w:val="none" w:sz="0" w:space="0" w:color="auto"/>
                    <w:bottom w:val="none" w:sz="0" w:space="0" w:color="auto"/>
                    <w:right w:val="none" w:sz="0" w:space="0" w:color="auto"/>
                  </w:divBdr>
                  <w:divsChild>
                    <w:div w:id="20984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38111">
      <w:bodyDiv w:val="1"/>
      <w:marLeft w:val="0"/>
      <w:marRight w:val="0"/>
      <w:marTop w:val="0"/>
      <w:marBottom w:val="0"/>
      <w:divBdr>
        <w:top w:val="none" w:sz="0" w:space="0" w:color="auto"/>
        <w:left w:val="none" w:sz="0" w:space="0" w:color="auto"/>
        <w:bottom w:val="none" w:sz="0" w:space="0" w:color="auto"/>
        <w:right w:val="none" w:sz="0" w:space="0" w:color="auto"/>
      </w:divBdr>
      <w:divsChild>
        <w:div w:id="715471454">
          <w:marLeft w:val="0"/>
          <w:marRight w:val="0"/>
          <w:marTop w:val="0"/>
          <w:marBottom w:val="0"/>
          <w:divBdr>
            <w:top w:val="none" w:sz="0" w:space="0" w:color="auto"/>
            <w:left w:val="none" w:sz="0" w:space="0" w:color="auto"/>
            <w:bottom w:val="none" w:sz="0" w:space="0" w:color="auto"/>
            <w:right w:val="none" w:sz="0" w:space="0" w:color="auto"/>
          </w:divBdr>
          <w:divsChild>
            <w:div w:id="1206678630">
              <w:marLeft w:val="0"/>
              <w:marRight w:val="0"/>
              <w:marTop w:val="0"/>
              <w:marBottom w:val="0"/>
              <w:divBdr>
                <w:top w:val="none" w:sz="0" w:space="0" w:color="auto"/>
                <w:left w:val="none" w:sz="0" w:space="0" w:color="auto"/>
                <w:bottom w:val="none" w:sz="0" w:space="0" w:color="auto"/>
                <w:right w:val="none" w:sz="0" w:space="0" w:color="auto"/>
              </w:divBdr>
              <w:divsChild>
                <w:div w:id="2135169331">
                  <w:marLeft w:val="0"/>
                  <w:marRight w:val="0"/>
                  <w:marTop w:val="0"/>
                  <w:marBottom w:val="0"/>
                  <w:divBdr>
                    <w:top w:val="none" w:sz="0" w:space="0" w:color="auto"/>
                    <w:left w:val="none" w:sz="0" w:space="0" w:color="auto"/>
                    <w:bottom w:val="none" w:sz="0" w:space="0" w:color="auto"/>
                    <w:right w:val="none" w:sz="0" w:space="0" w:color="auto"/>
                  </w:divBdr>
                  <w:divsChild>
                    <w:div w:id="1622686908">
                      <w:marLeft w:val="0"/>
                      <w:marRight w:val="0"/>
                      <w:marTop w:val="0"/>
                      <w:marBottom w:val="0"/>
                      <w:divBdr>
                        <w:top w:val="none" w:sz="0" w:space="0" w:color="auto"/>
                        <w:left w:val="none" w:sz="0" w:space="0" w:color="auto"/>
                        <w:bottom w:val="none" w:sz="0" w:space="0" w:color="auto"/>
                        <w:right w:val="none" w:sz="0" w:space="0" w:color="auto"/>
                      </w:divBdr>
                      <w:divsChild>
                        <w:div w:id="1910144658">
                          <w:marLeft w:val="0"/>
                          <w:marRight w:val="0"/>
                          <w:marTop w:val="0"/>
                          <w:marBottom w:val="0"/>
                          <w:divBdr>
                            <w:top w:val="none" w:sz="0" w:space="0" w:color="auto"/>
                            <w:left w:val="none" w:sz="0" w:space="0" w:color="auto"/>
                            <w:bottom w:val="none" w:sz="0" w:space="0" w:color="auto"/>
                            <w:right w:val="none" w:sz="0" w:space="0" w:color="auto"/>
                          </w:divBdr>
                          <w:divsChild>
                            <w:div w:id="1012030904">
                              <w:marLeft w:val="0"/>
                              <w:marRight w:val="0"/>
                              <w:marTop w:val="0"/>
                              <w:marBottom w:val="0"/>
                              <w:divBdr>
                                <w:top w:val="none" w:sz="0" w:space="0" w:color="auto"/>
                                <w:left w:val="none" w:sz="0" w:space="0" w:color="auto"/>
                                <w:bottom w:val="none" w:sz="0" w:space="0" w:color="auto"/>
                                <w:right w:val="none" w:sz="0" w:space="0" w:color="auto"/>
                              </w:divBdr>
                              <w:divsChild>
                                <w:div w:id="1772237002">
                                  <w:marLeft w:val="0"/>
                                  <w:marRight w:val="0"/>
                                  <w:marTop w:val="0"/>
                                  <w:marBottom w:val="0"/>
                                  <w:divBdr>
                                    <w:top w:val="none" w:sz="0" w:space="0" w:color="auto"/>
                                    <w:left w:val="none" w:sz="0" w:space="0" w:color="auto"/>
                                    <w:bottom w:val="none" w:sz="0" w:space="0" w:color="auto"/>
                                    <w:right w:val="none" w:sz="0" w:space="0" w:color="auto"/>
                                  </w:divBdr>
                                  <w:divsChild>
                                    <w:div w:id="295375759">
                                      <w:marLeft w:val="0"/>
                                      <w:marRight w:val="0"/>
                                      <w:marTop w:val="0"/>
                                      <w:marBottom w:val="0"/>
                                      <w:divBdr>
                                        <w:top w:val="none" w:sz="0" w:space="0" w:color="auto"/>
                                        <w:left w:val="none" w:sz="0" w:space="0" w:color="auto"/>
                                        <w:bottom w:val="none" w:sz="0" w:space="0" w:color="auto"/>
                                        <w:right w:val="none" w:sz="0" w:space="0" w:color="auto"/>
                                      </w:divBdr>
                                      <w:divsChild>
                                        <w:div w:id="746151186">
                                          <w:marLeft w:val="0"/>
                                          <w:marRight w:val="0"/>
                                          <w:marTop w:val="0"/>
                                          <w:marBottom w:val="0"/>
                                          <w:divBdr>
                                            <w:top w:val="none" w:sz="0" w:space="0" w:color="auto"/>
                                            <w:left w:val="none" w:sz="0" w:space="0" w:color="auto"/>
                                            <w:bottom w:val="none" w:sz="0" w:space="0" w:color="auto"/>
                                            <w:right w:val="none" w:sz="0" w:space="0" w:color="auto"/>
                                          </w:divBdr>
                                          <w:divsChild>
                                            <w:div w:id="688486353">
                                              <w:marLeft w:val="0"/>
                                              <w:marRight w:val="0"/>
                                              <w:marTop w:val="0"/>
                                              <w:marBottom w:val="0"/>
                                              <w:divBdr>
                                                <w:top w:val="none" w:sz="0" w:space="0" w:color="auto"/>
                                                <w:left w:val="none" w:sz="0" w:space="0" w:color="auto"/>
                                                <w:bottom w:val="none" w:sz="0" w:space="0" w:color="auto"/>
                                                <w:right w:val="none" w:sz="0" w:space="0" w:color="auto"/>
                                              </w:divBdr>
                                              <w:divsChild>
                                                <w:div w:id="1536120228">
                                                  <w:marLeft w:val="0"/>
                                                  <w:marRight w:val="0"/>
                                                  <w:marTop w:val="225"/>
                                                  <w:marBottom w:val="300"/>
                                                  <w:divBdr>
                                                    <w:top w:val="none" w:sz="0" w:space="0" w:color="auto"/>
                                                    <w:left w:val="none" w:sz="0" w:space="0" w:color="auto"/>
                                                    <w:bottom w:val="none" w:sz="0" w:space="0" w:color="auto"/>
                                                    <w:right w:val="none" w:sz="0" w:space="0" w:color="auto"/>
                                                  </w:divBdr>
                                                  <w:divsChild>
                                                    <w:div w:id="3870089">
                                                      <w:marLeft w:val="0"/>
                                                      <w:marRight w:val="0"/>
                                                      <w:marTop w:val="0"/>
                                                      <w:marBottom w:val="30"/>
                                                      <w:divBdr>
                                                        <w:top w:val="single" w:sz="6" w:space="0" w:color="E5E5E5"/>
                                                        <w:left w:val="single" w:sz="6" w:space="0" w:color="E5E5E5"/>
                                                        <w:bottom w:val="single" w:sz="6" w:space="0" w:color="E5E5E5"/>
                                                        <w:right w:val="single" w:sz="6" w:space="0" w:color="E5E5E5"/>
                                                      </w:divBdr>
                                                      <w:divsChild>
                                                        <w:div w:id="1666666021">
                                                          <w:marLeft w:val="0"/>
                                                          <w:marRight w:val="0"/>
                                                          <w:marTop w:val="0"/>
                                                          <w:marBottom w:val="0"/>
                                                          <w:divBdr>
                                                            <w:top w:val="none" w:sz="0" w:space="0" w:color="auto"/>
                                                            <w:left w:val="none" w:sz="0" w:space="0" w:color="auto"/>
                                                            <w:bottom w:val="none" w:sz="0" w:space="0" w:color="auto"/>
                                                            <w:right w:val="none" w:sz="0" w:space="0" w:color="auto"/>
                                                          </w:divBdr>
                                                          <w:divsChild>
                                                            <w:div w:id="4634274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6326580">
      <w:bodyDiv w:val="1"/>
      <w:marLeft w:val="0"/>
      <w:marRight w:val="0"/>
      <w:marTop w:val="0"/>
      <w:marBottom w:val="0"/>
      <w:divBdr>
        <w:top w:val="none" w:sz="0" w:space="0" w:color="auto"/>
        <w:left w:val="none" w:sz="0" w:space="0" w:color="auto"/>
        <w:bottom w:val="none" w:sz="0" w:space="0" w:color="auto"/>
        <w:right w:val="none" w:sz="0" w:space="0" w:color="auto"/>
      </w:divBdr>
      <w:divsChild>
        <w:div w:id="1611085836">
          <w:marLeft w:val="0"/>
          <w:marRight w:val="0"/>
          <w:marTop w:val="0"/>
          <w:marBottom w:val="0"/>
          <w:divBdr>
            <w:top w:val="none" w:sz="0" w:space="0" w:color="auto"/>
            <w:left w:val="none" w:sz="0" w:space="0" w:color="auto"/>
            <w:bottom w:val="none" w:sz="0" w:space="0" w:color="auto"/>
            <w:right w:val="none" w:sz="0" w:space="0" w:color="auto"/>
          </w:divBdr>
          <w:divsChild>
            <w:div w:id="1846818889">
              <w:marLeft w:val="0"/>
              <w:marRight w:val="0"/>
              <w:marTop w:val="0"/>
              <w:marBottom w:val="0"/>
              <w:divBdr>
                <w:top w:val="none" w:sz="0" w:space="0" w:color="auto"/>
                <w:left w:val="none" w:sz="0" w:space="0" w:color="auto"/>
                <w:bottom w:val="none" w:sz="0" w:space="0" w:color="auto"/>
                <w:right w:val="none" w:sz="0" w:space="0" w:color="auto"/>
              </w:divBdr>
              <w:divsChild>
                <w:div w:id="805124590">
                  <w:marLeft w:val="0"/>
                  <w:marRight w:val="0"/>
                  <w:marTop w:val="0"/>
                  <w:marBottom w:val="0"/>
                  <w:divBdr>
                    <w:top w:val="none" w:sz="0" w:space="0" w:color="auto"/>
                    <w:left w:val="none" w:sz="0" w:space="0" w:color="auto"/>
                    <w:bottom w:val="none" w:sz="0" w:space="0" w:color="auto"/>
                    <w:right w:val="none" w:sz="0" w:space="0" w:color="auto"/>
                  </w:divBdr>
                  <w:divsChild>
                    <w:div w:id="1791629919">
                      <w:marLeft w:val="0"/>
                      <w:marRight w:val="0"/>
                      <w:marTop w:val="0"/>
                      <w:marBottom w:val="0"/>
                      <w:divBdr>
                        <w:top w:val="none" w:sz="0" w:space="0" w:color="auto"/>
                        <w:left w:val="none" w:sz="0" w:space="0" w:color="auto"/>
                        <w:bottom w:val="none" w:sz="0" w:space="0" w:color="auto"/>
                        <w:right w:val="none" w:sz="0" w:space="0" w:color="auto"/>
                      </w:divBdr>
                      <w:divsChild>
                        <w:div w:id="725182264">
                          <w:marLeft w:val="0"/>
                          <w:marRight w:val="0"/>
                          <w:marTop w:val="0"/>
                          <w:marBottom w:val="0"/>
                          <w:divBdr>
                            <w:top w:val="none" w:sz="0" w:space="0" w:color="auto"/>
                            <w:left w:val="none" w:sz="0" w:space="0" w:color="auto"/>
                            <w:bottom w:val="none" w:sz="0" w:space="0" w:color="auto"/>
                            <w:right w:val="none" w:sz="0" w:space="0" w:color="auto"/>
                          </w:divBdr>
                          <w:divsChild>
                            <w:div w:id="592050">
                              <w:marLeft w:val="0"/>
                              <w:marRight w:val="0"/>
                              <w:marTop w:val="0"/>
                              <w:marBottom w:val="0"/>
                              <w:divBdr>
                                <w:top w:val="none" w:sz="0" w:space="0" w:color="auto"/>
                                <w:left w:val="none" w:sz="0" w:space="0" w:color="auto"/>
                                <w:bottom w:val="none" w:sz="0" w:space="0" w:color="auto"/>
                                <w:right w:val="none" w:sz="0" w:space="0" w:color="auto"/>
                              </w:divBdr>
                              <w:divsChild>
                                <w:div w:id="642463711">
                                  <w:marLeft w:val="0"/>
                                  <w:marRight w:val="0"/>
                                  <w:marTop w:val="0"/>
                                  <w:marBottom w:val="0"/>
                                  <w:divBdr>
                                    <w:top w:val="none" w:sz="0" w:space="0" w:color="auto"/>
                                    <w:left w:val="none" w:sz="0" w:space="0" w:color="auto"/>
                                    <w:bottom w:val="none" w:sz="0" w:space="0" w:color="auto"/>
                                    <w:right w:val="none" w:sz="0" w:space="0" w:color="auto"/>
                                  </w:divBdr>
                                  <w:divsChild>
                                    <w:div w:id="2124492400">
                                      <w:marLeft w:val="0"/>
                                      <w:marRight w:val="0"/>
                                      <w:marTop w:val="0"/>
                                      <w:marBottom w:val="0"/>
                                      <w:divBdr>
                                        <w:top w:val="none" w:sz="0" w:space="0" w:color="auto"/>
                                        <w:left w:val="none" w:sz="0" w:space="0" w:color="auto"/>
                                        <w:bottom w:val="none" w:sz="0" w:space="0" w:color="auto"/>
                                        <w:right w:val="none" w:sz="0" w:space="0" w:color="auto"/>
                                      </w:divBdr>
                                      <w:divsChild>
                                        <w:div w:id="1092973493">
                                          <w:marLeft w:val="0"/>
                                          <w:marRight w:val="0"/>
                                          <w:marTop w:val="0"/>
                                          <w:marBottom w:val="0"/>
                                          <w:divBdr>
                                            <w:top w:val="none" w:sz="0" w:space="0" w:color="auto"/>
                                            <w:left w:val="none" w:sz="0" w:space="0" w:color="auto"/>
                                            <w:bottom w:val="none" w:sz="0" w:space="0" w:color="auto"/>
                                            <w:right w:val="none" w:sz="0" w:space="0" w:color="auto"/>
                                          </w:divBdr>
                                          <w:divsChild>
                                            <w:div w:id="1595891947">
                                              <w:marLeft w:val="0"/>
                                              <w:marRight w:val="0"/>
                                              <w:marTop w:val="0"/>
                                              <w:marBottom w:val="0"/>
                                              <w:divBdr>
                                                <w:top w:val="none" w:sz="0" w:space="0" w:color="auto"/>
                                                <w:left w:val="none" w:sz="0" w:space="0" w:color="auto"/>
                                                <w:bottom w:val="none" w:sz="0" w:space="0" w:color="auto"/>
                                                <w:right w:val="none" w:sz="0" w:space="0" w:color="auto"/>
                                              </w:divBdr>
                                              <w:divsChild>
                                                <w:div w:id="494032591">
                                                  <w:marLeft w:val="0"/>
                                                  <w:marRight w:val="0"/>
                                                  <w:marTop w:val="225"/>
                                                  <w:marBottom w:val="300"/>
                                                  <w:divBdr>
                                                    <w:top w:val="none" w:sz="0" w:space="0" w:color="auto"/>
                                                    <w:left w:val="none" w:sz="0" w:space="0" w:color="auto"/>
                                                    <w:bottom w:val="none" w:sz="0" w:space="0" w:color="auto"/>
                                                    <w:right w:val="none" w:sz="0" w:space="0" w:color="auto"/>
                                                  </w:divBdr>
                                                  <w:divsChild>
                                                    <w:div w:id="1277105107">
                                                      <w:marLeft w:val="0"/>
                                                      <w:marRight w:val="0"/>
                                                      <w:marTop w:val="0"/>
                                                      <w:marBottom w:val="30"/>
                                                      <w:divBdr>
                                                        <w:top w:val="single" w:sz="6" w:space="0" w:color="E5E5E5"/>
                                                        <w:left w:val="single" w:sz="6" w:space="0" w:color="E5E5E5"/>
                                                        <w:bottom w:val="single" w:sz="6" w:space="0" w:color="E5E5E5"/>
                                                        <w:right w:val="single" w:sz="6" w:space="0" w:color="E5E5E5"/>
                                                      </w:divBdr>
                                                      <w:divsChild>
                                                        <w:div w:id="1554927346">
                                                          <w:marLeft w:val="0"/>
                                                          <w:marRight w:val="0"/>
                                                          <w:marTop w:val="0"/>
                                                          <w:marBottom w:val="0"/>
                                                          <w:divBdr>
                                                            <w:top w:val="none" w:sz="0" w:space="0" w:color="auto"/>
                                                            <w:left w:val="none" w:sz="0" w:space="0" w:color="auto"/>
                                                            <w:bottom w:val="none" w:sz="0" w:space="0" w:color="auto"/>
                                                            <w:right w:val="none" w:sz="0" w:space="0" w:color="auto"/>
                                                          </w:divBdr>
                                                          <w:divsChild>
                                                            <w:div w:id="1494100700">
                                                              <w:marLeft w:val="0"/>
                                                              <w:marRight w:val="0"/>
                                                              <w:marTop w:val="0"/>
                                                              <w:marBottom w:val="0"/>
                                                              <w:divBdr>
                                                                <w:top w:val="single" w:sz="6" w:space="7" w:color="E5E5E5"/>
                                                                <w:left w:val="none" w:sz="0" w:space="0" w:color="auto"/>
                                                                <w:bottom w:val="none" w:sz="0" w:space="0" w:color="auto"/>
                                                                <w:right w:val="none" w:sz="0" w:space="0" w:color="auto"/>
                                                              </w:divBdr>
                                                            </w:div>
                                                          </w:divsChild>
                                                        </w:div>
                                                        <w:div w:id="2046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135266">
      <w:bodyDiv w:val="1"/>
      <w:marLeft w:val="0"/>
      <w:marRight w:val="0"/>
      <w:marTop w:val="0"/>
      <w:marBottom w:val="0"/>
      <w:divBdr>
        <w:top w:val="none" w:sz="0" w:space="0" w:color="auto"/>
        <w:left w:val="none" w:sz="0" w:space="0" w:color="auto"/>
        <w:bottom w:val="none" w:sz="0" w:space="0" w:color="auto"/>
        <w:right w:val="none" w:sz="0" w:space="0" w:color="auto"/>
      </w:divBdr>
      <w:divsChild>
        <w:div w:id="1638754540">
          <w:marLeft w:val="0"/>
          <w:marRight w:val="0"/>
          <w:marTop w:val="0"/>
          <w:marBottom w:val="0"/>
          <w:divBdr>
            <w:top w:val="none" w:sz="0" w:space="0" w:color="auto"/>
            <w:left w:val="none" w:sz="0" w:space="0" w:color="auto"/>
            <w:bottom w:val="none" w:sz="0" w:space="0" w:color="auto"/>
            <w:right w:val="none" w:sz="0" w:space="0" w:color="auto"/>
          </w:divBdr>
          <w:divsChild>
            <w:div w:id="1420635218">
              <w:marLeft w:val="0"/>
              <w:marRight w:val="0"/>
              <w:marTop w:val="0"/>
              <w:marBottom w:val="0"/>
              <w:divBdr>
                <w:top w:val="none" w:sz="0" w:space="0" w:color="auto"/>
                <w:left w:val="none" w:sz="0" w:space="0" w:color="auto"/>
                <w:bottom w:val="none" w:sz="0" w:space="0" w:color="auto"/>
                <w:right w:val="none" w:sz="0" w:space="0" w:color="auto"/>
              </w:divBdr>
              <w:divsChild>
                <w:div w:id="281426740">
                  <w:marLeft w:val="0"/>
                  <w:marRight w:val="0"/>
                  <w:marTop w:val="0"/>
                  <w:marBottom w:val="0"/>
                  <w:divBdr>
                    <w:top w:val="none" w:sz="0" w:space="0" w:color="auto"/>
                    <w:left w:val="none" w:sz="0" w:space="0" w:color="auto"/>
                    <w:bottom w:val="none" w:sz="0" w:space="0" w:color="auto"/>
                    <w:right w:val="none" w:sz="0" w:space="0" w:color="auto"/>
                  </w:divBdr>
                  <w:divsChild>
                    <w:div w:id="192420689">
                      <w:marLeft w:val="0"/>
                      <w:marRight w:val="0"/>
                      <w:marTop w:val="0"/>
                      <w:marBottom w:val="0"/>
                      <w:divBdr>
                        <w:top w:val="none" w:sz="0" w:space="0" w:color="auto"/>
                        <w:left w:val="none" w:sz="0" w:space="0" w:color="auto"/>
                        <w:bottom w:val="none" w:sz="0" w:space="0" w:color="auto"/>
                        <w:right w:val="none" w:sz="0" w:space="0" w:color="auto"/>
                      </w:divBdr>
                      <w:divsChild>
                        <w:div w:id="2098208450">
                          <w:marLeft w:val="0"/>
                          <w:marRight w:val="0"/>
                          <w:marTop w:val="0"/>
                          <w:marBottom w:val="0"/>
                          <w:divBdr>
                            <w:top w:val="none" w:sz="0" w:space="0" w:color="auto"/>
                            <w:left w:val="none" w:sz="0" w:space="0" w:color="auto"/>
                            <w:bottom w:val="none" w:sz="0" w:space="0" w:color="auto"/>
                            <w:right w:val="none" w:sz="0" w:space="0" w:color="auto"/>
                          </w:divBdr>
                          <w:divsChild>
                            <w:div w:id="1754859944">
                              <w:marLeft w:val="0"/>
                              <w:marRight w:val="0"/>
                              <w:marTop w:val="0"/>
                              <w:marBottom w:val="0"/>
                              <w:divBdr>
                                <w:top w:val="none" w:sz="0" w:space="0" w:color="auto"/>
                                <w:left w:val="none" w:sz="0" w:space="0" w:color="auto"/>
                                <w:bottom w:val="none" w:sz="0" w:space="0" w:color="auto"/>
                                <w:right w:val="none" w:sz="0" w:space="0" w:color="auto"/>
                              </w:divBdr>
                              <w:divsChild>
                                <w:div w:id="393697022">
                                  <w:marLeft w:val="0"/>
                                  <w:marRight w:val="0"/>
                                  <w:marTop w:val="0"/>
                                  <w:marBottom w:val="0"/>
                                  <w:divBdr>
                                    <w:top w:val="none" w:sz="0" w:space="0" w:color="auto"/>
                                    <w:left w:val="none" w:sz="0" w:space="0" w:color="auto"/>
                                    <w:bottom w:val="none" w:sz="0" w:space="0" w:color="auto"/>
                                    <w:right w:val="none" w:sz="0" w:space="0" w:color="auto"/>
                                  </w:divBdr>
                                  <w:divsChild>
                                    <w:div w:id="1545018994">
                                      <w:marLeft w:val="0"/>
                                      <w:marRight w:val="0"/>
                                      <w:marTop w:val="0"/>
                                      <w:marBottom w:val="0"/>
                                      <w:divBdr>
                                        <w:top w:val="none" w:sz="0" w:space="0" w:color="auto"/>
                                        <w:left w:val="none" w:sz="0" w:space="0" w:color="auto"/>
                                        <w:bottom w:val="none" w:sz="0" w:space="0" w:color="auto"/>
                                        <w:right w:val="none" w:sz="0" w:space="0" w:color="auto"/>
                                      </w:divBdr>
                                      <w:divsChild>
                                        <w:div w:id="42406358">
                                          <w:marLeft w:val="0"/>
                                          <w:marRight w:val="0"/>
                                          <w:marTop w:val="0"/>
                                          <w:marBottom w:val="0"/>
                                          <w:divBdr>
                                            <w:top w:val="none" w:sz="0" w:space="0" w:color="auto"/>
                                            <w:left w:val="none" w:sz="0" w:space="0" w:color="auto"/>
                                            <w:bottom w:val="none" w:sz="0" w:space="0" w:color="auto"/>
                                            <w:right w:val="none" w:sz="0" w:space="0" w:color="auto"/>
                                          </w:divBdr>
                                          <w:divsChild>
                                            <w:div w:id="1107852627">
                                              <w:marLeft w:val="0"/>
                                              <w:marRight w:val="0"/>
                                              <w:marTop w:val="0"/>
                                              <w:marBottom w:val="0"/>
                                              <w:divBdr>
                                                <w:top w:val="none" w:sz="0" w:space="0" w:color="auto"/>
                                                <w:left w:val="none" w:sz="0" w:space="0" w:color="auto"/>
                                                <w:bottom w:val="none" w:sz="0" w:space="0" w:color="auto"/>
                                                <w:right w:val="none" w:sz="0" w:space="0" w:color="auto"/>
                                              </w:divBdr>
                                              <w:divsChild>
                                                <w:div w:id="1930312036">
                                                  <w:marLeft w:val="0"/>
                                                  <w:marRight w:val="0"/>
                                                  <w:marTop w:val="225"/>
                                                  <w:marBottom w:val="300"/>
                                                  <w:divBdr>
                                                    <w:top w:val="none" w:sz="0" w:space="0" w:color="auto"/>
                                                    <w:left w:val="none" w:sz="0" w:space="0" w:color="auto"/>
                                                    <w:bottom w:val="none" w:sz="0" w:space="0" w:color="auto"/>
                                                    <w:right w:val="none" w:sz="0" w:space="0" w:color="auto"/>
                                                  </w:divBdr>
                                                  <w:divsChild>
                                                    <w:div w:id="131677615">
                                                      <w:marLeft w:val="0"/>
                                                      <w:marRight w:val="0"/>
                                                      <w:marTop w:val="0"/>
                                                      <w:marBottom w:val="30"/>
                                                      <w:divBdr>
                                                        <w:top w:val="single" w:sz="6" w:space="0" w:color="E5E5E5"/>
                                                        <w:left w:val="single" w:sz="6" w:space="0" w:color="E5E5E5"/>
                                                        <w:bottom w:val="single" w:sz="6" w:space="0" w:color="E5E5E5"/>
                                                        <w:right w:val="single" w:sz="6" w:space="0" w:color="E5E5E5"/>
                                                      </w:divBdr>
                                                      <w:divsChild>
                                                        <w:div w:id="932854925">
                                                          <w:marLeft w:val="0"/>
                                                          <w:marRight w:val="0"/>
                                                          <w:marTop w:val="0"/>
                                                          <w:marBottom w:val="0"/>
                                                          <w:divBdr>
                                                            <w:top w:val="none" w:sz="0" w:space="0" w:color="auto"/>
                                                            <w:left w:val="none" w:sz="0" w:space="0" w:color="auto"/>
                                                            <w:bottom w:val="none" w:sz="0" w:space="0" w:color="auto"/>
                                                            <w:right w:val="none" w:sz="0" w:space="0" w:color="auto"/>
                                                          </w:divBdr>
                                                        </w:div>
                                                        <w:div w:id="1644197289">
                                                          <w:marLeft w:val="0"/>
                                                          <w:marRight w:val="0"/>
                                                          <w:marTop w:val="0"/>
                                                          <w:marBottom w:val="0"/>
                                                          <w:divBdr>
                                                            <w:top w:val="none" w:sz="0" w:space="0" w:color="auto"/>
                                                            <w:left w:val="none" w:sz="0" w:space="0" w:color="auto"/>
                                                            <w:bottom w:val="none" w:sz="0" w:space="0" w:color="auto"/>
                                                            <w:right w:val="none" w:sz="0" w:space="0" w:color="auto"/>
                                                          </w:divBdr>
                                                          <w:divsChild>
                                                            <w:div w:id="1331140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130255">
      <w:bodyDiv w:val="1"/>
      <w:marLeft w:val="0"/>
      <w:marRight w:val="0"/>
      <w:marTop w:val="0"/>
      <w:marBottom w:val="0"/>
      <w:divBdr>
        <w:top w:val="none" w:sz="0" w:space="0" w:color="auto"/>
        <w:left w:val="none" w:sz="0" w:space="0" w:color="auto"/>
        <w:bottom w:val="none" w:sz="0" w:space="0" w:color="auto"/>
        <w:right w:val="none" w:sz="0" w:space="0" w:color="auto"/>
      </w:divBdr>
      <w:divsChild>
        <w:div w:id="57366399">
          <w:marLeft w:val="0"/>
          <w:marRight w:val="0"/>
          <w:marTop w:val="0"/>
          <w:marBottom w:val="0"/>
          <w:divBdr>
            <w:top w:val="none" w:sz="0" w:space="0" w:color="auto"/>
            <w:left w:val="none" w:sz="0" w:space="0" w:color="auto"/>
            <w:bottom w:val="none" w:sz="0" w:space="0" w:color="auto"/>
            <w:right w:val="none" w:sz="0" w:space="0" w:color="auto"/>
          </w:divBdr>
          <w:divsChild>
            <w:div w:id="1599604700">
              <w:marLeft w:val="0"/>
              <w:marRight w:val="0"/>
              <w:marTop w:val="0"/>
              <w:marBottom w:val="0"/>
              <w:divBdr>
                <w:top w:val="none" w:sz="0" w:space="0" w:color="auto"/>
                <w:left w:val="none" w:sz="0" w:space="0" w:color="auto"/>
                <w:bottom w:val="none" w:sz="0" w:space="0" w:color="auto"/>
                <w:right w:val="none" w:sz="0" w:space="0" w:color="auto"/>
              </w:divBdr>
              <w:divsChild>
                <w:div w:id="63798970">
                  <w:marLeft w:val="0"/>
                  <w:marRight w:val="0"/>
                  <w:marTop w:val="0"/>
                  <w:marBottom w:val="0"/>
                  <w:divBdr>
                    <w:top w:val="none" w:sz="0" w:space="0" w:color="auto"/>
                    <w:left w:val="none" w:sz="0" w:space="0" w:color="auto"/>
                    <w:bottom w:val="none" w:sz="0" w:space="0" w:color="auto"/>
                    <w:right w:val="none" w:sz="0" w:space="0" w:color="auto"/>
                  </w:divBdr>
                  <w:divsChild>
                    <w:div w:id="361243974">
                      <w:marLeft w:val="0"/>
                      <w:marRight w:val="0"/>
                      <w:marTop w:val="0"/>
                      <w:marBottom w:val="0"/>
                      <w:divBdr>
                        <w:top w:val="none" w:sz="0" w:space="0" w:color="auto"/>
                        <w:left w:val="none" w:sz="0" w:space="0" w:color="auto"/>
                        <w:bottom w:val="none" w:sz="0" w:space="0" w:color="auto"/>
                        <w:right w:val="none" w:sz="0" w:space="0" w:color="auto"/>
                      </w:divBdr>
                      <w:divsChild>
                        <w:div w:id="1176001052">
                          <w:marLeft w:val="0"/>
                          <w:marRight w:val="0"/>
                          <w:marTop w:val="0"/>
                          <w:marBottom w:val="0"/>
                          <w:divBdr>
                            <w:top w:val="none" w:sz="0" w:space="0" w:color="auto"/>
                            <w:left w:val="none" w:sz="0" w:space="0" w:color="auto"/>
                            <w:bottom w:val="none" w:sz="0" w:space="0" w:color="auto"/>
                            <w:right w:val="none" w:sz="0" w:space="0" w:color="auto"/>
                          </w:divBdr>
                          <w:divsChild>
                            <w:div w:id="739134301">
                              <w:marLeft w:val="0"/>
                              <w:marRight w:val="0"/>
                              <w:marTop w:val="0"/>
                              <w:marBottom w:val="0"/>
                              <w:divBdr>
                                <w:top w:val="none" w:sz="0" w:space="0" w:color="auto"/>
                                <w:left w:val="none" w:sz="0" w:space="0" w:color="auto"/>
                                <w:bottom w:val="none" w:sz="0" w:space="0" w:color="auto"/>
                                <w:right w:val="none" w:sz="0" w:space="0" w:color="auto"/>
                              </w:divBdr>
                              <w:divsChild>
                                <w:div w:id="1782337296">
                                  <w:marLeft w:val="0"/>
                                  <w:marRight w:val="0"/>
                                  <w:marTop w:val="0"/>
                                  <w:marBottom w:val="0"/>
                                  <w:divBdr>
                                    <w:top w:val="none" w:sz="0" w:space="0" w:color="auto"/>
                                    <w:left w:val="none" w:sz="0" w:space="0" w:color="auto"/>
                                    <w:bottom w:val="none" w:sz="0" w:space="0" w:color="auto"/>
                                    <w:right w:val="none" w:sz="0" w:space="0" w:color="auto"/>
                                  </w:divBdr>
                                  <w:divsChild>
                                    <w:div w:id="1544710618">
                                      <w:marLeft w:val="0"/>
                                      <w:marRight w:val="0"/>
                                      <w:marTop w:val="0"/>
                                      <w:marBottom w:val="0"/>
                                      <w:divBdr>
                                        <w:top w:val="none" w:sz="0" w:space="0" w:color="auto"/>
                                        <w:left w:val="none" w:sz="0" w:space="0" w:color="auto"/>
                                        <w:bottom w:val="none" w:sz="0" w:space="0" w:color="auto"/>
                                        <w:right w:val="none" w:sz="0" w:space="0" w:color="auto"/>
                                      </w:divBdr>
                                      <w:divsChild>
                                        <w:div w:id="1741050708">
                                          <w:marLeft w:val="0"/>
                                          <w:marRight w:val="0"/>
                                          <w:marTop w:val="0"/>
                                          <w:marBottom w:val="0"/>
                                          <w:divBdr>
                                            <w:top w:val="none" w:sz="0" w:space="0" w:color="auto"/>
                                            <w:left w:val="none" w:sz="0" w:space="0" w:color="auto"/>
                                            <w:bottom w:val="none" w:sz="0" w:space="0" w:color="auto"/>
                                            <w:right w:val="none" w:sz="0" w:space="0" w:color="auto"/>
                                          </w:divBdr>
                                          <w:divsChild>
                                            <w:div w:id="1006784243">
                                              <w:marLeft w:val="0"/>
                                              <w:marRight w:val="0"/>
                                              <w:marTop w:val="0"/>
                                              <w:marBottom w:val="0"/>
                                              <w:divBdr>
                                                <w:top w:val="none" w:sz="0" w:space="0" w:color="auto"/>
                                                <w:left w:val="none" w:sz="0" w:space="0" w:color="auto"/>
                                                <w:bottom w:val="none" w:sz="0" w:space="0" w:color="auto"/>
                                                <w:right w:val="none" w:sz="0" w:space="0" w:color="auto"/>
                                              </w:divBdr>
                                              <w:divsChild>
                                                <w:div w:id="1143472697">
                                                  <w:marLeft w:val="0"/>
                                                  <w:marRight w:val="0"/>
                                                  <w:marTop w:val="225"/>
                                                  <w:marBottom w:val="300"/>
                                                  <w:divBdr>
                                                    <w:top w:val="none" w:sz="0" w:space="0" w:color="auto"/>
                                                    <w:left w:val="none" w:sz="0" w:space="0" w:color="auto"/>
                                                    <w:bottom w:val="none" w:sz="0" w:space="0" w:color="auto"/>
                                                    <w:right w:val="none" w:sz="0" w:space="0" w:color="auto"/>
                                                  </w:divBdr>
                                                  <w:divsChild>
                                                    <w:div w:id="1511682475">
                                                      <w:marLeft w:val="0"/>
                                                      <w:marRight w:val="0"/>
                                                      <w:marTop w:val="0"/>
                                                      <w:marBottom w:val="30"/>
                                                      <w:divBdr>
                                                        <w:top w:val="single" w:sz="6" w:space="0" w:color="E5E5E5"/>
                                                        <w:left w:val="single" w:sz="6" w:space="0" w:color="E5E5E5"/>
                                                        <w:bottom w:val="single" w:sz="6" w:space="0" w:color="E5E5E5"/>
                                                        <w:right w:val="single" w:sz="6" w:space="0" w:color="E5E5E5"/>
                                                      </w:divBdr>
                                                      <w:divsChild>
                                                        <w:div w:id="634332398">
                                                          <w:marLeft w:val="0"/>
                                                          <w:marRight w:val="0"/>
                                                          <w:marTop w:val="0"/>
                                                          <w:marBottom w:val="0"/>
                                                          <w:divBdr>
                                                            <w:top w:val="none" w:sz="0" w:space="0" w:color="auto"/>
                                                            <w:left w:val="none" w:sz="0" w:space="0" w:color="auto"/>
                                                            <w:bottom w:val="none" w:sz="0" w:space="0" w:color="auto"/>
                                                            <w:right w:val="none" w:sz="0" w:space="0" w:color="auto"/>
                                                          </w:divBdr>
                                                          <w:divsChild>
                                                            <w:div w:id="1465852151">
                                                              <w:marLeft w:val="0"/>
                                                              <w:marRight w:val="0"/>
                                                              <w:marTop w:val="0"/>
                                                              <w:marBottom w:val="0"/>
                                                              <w:divBdr>
                                                                <w:top w:val="single" w:sz="6" w:space="7" w:color="E5E5E5"/>
                                                                <w:left w:val="none" w:sz="0" w:space="0" w:color="auto"/>
                                                                <w:bottom w:val="none" w:sz="0" w:space="0" w:color="auto"/>
                                                                <w:right w:val="none" w:sz="0" w:space="0" w:color="auto"/>
                                                              </w:divBdr>
                                                            </w:div>
                                                          </w:divsChild>
                                                        </w:div>
                                                        <w:div w:id="20507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1047380">
      <w:bodyDiv w:val="1"/>
      <w:marLeft w:val="0"/>
      <w:marRight w:val="0"/>
      <w:marTop w:val="0"/>
      <w:marBottom w:val="0"/>
      <w:divBdr>
        <w:top w:val="none" w:sz="0" w:space="0" w:color="auto"/>
        <w:left w:val="none" w:sz="0" w:space="0" w:color="auto"/>
        <w:bottom w:val="none" w:sz="0" w:space="0" w:color="auto"/>
        <w:right w:val="none" w:sz="0" w:space="0" w:color="auto"/>
      </w:divBdr>
      <w:divsChild>
        <w:div w:id="968973864">
          <w:marLeft w:val="0"/>
          <w:marRight w:val="0"/>
          <w:marTop w:val="0"/>
          <w:marBottom w:val="0"/>
          <w:divBdr>
            <w:top w:val="none" w:sz="0" w:space="0" w:color="auto"/>
            <w:left w:val="none" w:sz="0" w:space="0" w:color="auto"/>
            <w:bottom w:val="none" w:sz="0" w:space="0" w:color="auto"/>
            <w:right w:val="none" w:sz="0" w:space="0" w:color="auto"/>
          </w:divBdr>
          <w:divsChild>
            <w:div w:id="373970785">
              <w:marLeft w:val="0"/>
              <w:marRight w:val="0"/>
              <w:marTop w:val="0"/>
              <w:marBottom w:val="0"/>
              <w:divBdr>
                <w:top w:val="none" w:sz="0" w:space="0" w:color="auto"/>
                <w:left w:val="none" w:sz="0" w:space="0" w:color="auto"/>
                <w:bottom w:val="none" w:sz="0" w:space="0" w:color="auto"/>
                <w:right w:val="none" w:sz="0" w:space="0" w:color="auto"/>
              </w:divBdr>
              <w:divsChild>
                <w:div w:id="1808089587">
                  <w:marLeft w:val="0"/>
                  <w:marRight w:val="0"/>
                  <w:marTop w:val="0"/>
                  <w:marBottom w:val="0"/>
                  <w:divBdr>
                    <w:top w:val="none" w:sz="0" w:space="0" w:color="auto"/>
                    <w:left w:val="none" w:sz="0" w:space="0" w:color="auto"/>
                    <w:bottom w:val="none" w:sz="0" w:space="0" w:color="auto"/>
                    <w:right w:val="none" w:sz="0" w:space="0" w:color="auto"/>
                  </w:divBdr>
                  <w:divsChild>
                    <w:div w:id="168957613">
                      <w:marLeft w:val="0"/>
                      <w:marRight w:val="0"/>
                      <w:marTop w:val="0"/>
                      <w:marBottom w:val="0"/>
                      <w:divBdr>
                        <w:top w:val="none" w:sz="0" w:space="0" w:color="auto"/>
                        <w:left w:val="none" w:sz="0" w:space="0" w:color="auto"/>
                        <w:bottom w:val="none" w:sz="0" w:space="0" w:color="auto"/>
                        <w:right w:val="none" w:sz="0" w:space="0" w:color="auto"/>
                      </w:divBdr>
                      <w:divsChild>
                        <w:div w:id="1285767136">
                          <w:marLeft w:val="0"/>
                          <w:marRight w:val="0"/>
                          <w:marTop w:val="0"/>
                          <w:marBottom w:val="0"/>
                          <w:divBdr>
                            <w:top w:val="none" w:sz="0" w:space="0" w:color="auto"/>
                            <w:left w:val="none" w:sz="0" w:space="0" w:color="auto"/>
                            <w:bottom w:val="none" w:sz="0" w:space="0" w:color="auto"/>
                            <w:right w:val="none" w:sz="0" w:space="0" w:color="auto"/>
                          </w:divBdr>
                          <w:divsChild>
                            <w:div w:id="457719718">
                              <w:marLeft w:val="0"/>
                              <w:marRight w:val="0"/>
                              <w:marTop w:val="0"/>
                              <w:marBottom w:val="0"/>
                              <w:divBdr>
                                <w:top w:val="none" w:sz="0" w:space="0" w:color="auto"/>
                                <w:left w:val="none" w:sz="0" w:space="0" w:color="auto"/>
                                <w:bottom w:val="none" w:sz="0" w:space="0" w:color="auto"/>
                                <w:right w:val="none" w:sz="0" w:space="0" w:color="auto"/>
                              </w:divBdr>
                              <w:divsChild>
                                <w:div w:id="1289320330">
                                  <w:marLeft w:val="0"/>
                                  <w:marRight w:val="0"/>
                                  <w:marTop w:val="0"/>
                                  <w:marBottom w:val="0"/>
                                  <w:divBdr>
                                    <w:top w:val="none" w:sz="0" w:space="0" w:color="auto"/>
                                    <w:left w:val="none" w:sz="0" w:space="0" w:color="auto"/>
                                    <w:bottom w:val="none" w:sz="0" w:space="0" w:color="auto"/>
                                    <w:right w:val="none" w:sz="0" w:space="0" w:color="auto"/>
                                  </w:divBdr>
                                  <w:divsChild>
                                    <w:div w:id="1384258250">
                                      <w:marLeft w:val="0"/>
                                      <w:marRight w:val="0"/>
                                      <w:marTop w:val="0"/>
                                      <w:marBottom w:val="0"/>
                                      <w:divBdr>
                                        <w:top w:val="none" w:sz="0" w:space="0" w:color="auto"/>
                                        <w:left w:val="none" w:sz="0" w:space="0" w:color="auto"/>
                                        <w:bottom w:val="none" w:sz="0" w:space="0" w:color="auto"/>
                                        <w:right w:val="none" w:sz="0" w:space="0" w:color="auto"/>
                                      </w:divBdr>
                                      <w:divsChild>
                                        <w:div w:id="1811626797">
                                          <w:marLeft w:val="0"/>
                                          <w:marRight w:val="0"/>
                                          <w:marTop w:val="0"/>
                                          <w:marBottom w:val="0"/>
                                          <w:divBdr>
                                            <w:top w:val="none" w:sz="0" w:space="0" w:color="auto"/>
                                            <w:left w:val="none" w:sz="0" w:space="0" w:color="auto"/>
                                            <w:bottom w:val="none" w:sz="0" w:space="0" w:color="auto"/>
                                            <w:right w:val="none" w:sz="0" w:space="0" w:color="auto"/>
                                          </w:divBdr>
                                          <w:divsChild>
                                            <w:div w:id="147288278">
                                              <w:marLeft w:val="0"/>
                                              <w:marRight w:val="0"/>
                                              <w:marTop w:val="0"/>
                                              <w:marBottom w:val="0"/>
                                              <w:divBdr>
                                                <w:top w:val="none" w:sz="0" w:space="0" w:color="auto"/>
                                                <w:left w:val="none" w:sz="0" w:space="0" w:color="auto"/>
                                                <w:bottom w:val="none" w:sz="0" w:space="0" w:color="auto"/>
                                                <w:right w:val="none" w:sz="0" w:space="0" w:color="auto"/>
                                              </w:divBdr>
                                              <w:divsChild>
                                                <w:div w:id="15276588">
                                                  <w:marLeft w:val="0"/>
                                                  <w:marRight w:val="0"/>
                                                  <w:marTop w:val="225"/>
                                                  <w:marBottom w:val="300"/>
                                                  <w:divBdr>
                                                    <w:top w:val="none" w:sz="0" w:space="0" w:color="auto"/>
                                                    <w:left w:val="none" w:sz="0" w:space="0" w:color="auto"/>
                                                    <w:bottom w:val="none" w:sz="0" w:space="0" w:color="auto"/>
                                                    <w:right w:val="none" w:sz="0" w:space="0" w:color="auto"/>
                                                  </w:divBdr>
                                                  <w:divsChild>
                                                    <w:div w:id="1370062333">
                                                      <w:marLeft w:val="0"/>
                                                      <w:marRight w:val="0"/>
                                                      <w:marTop w:val="0"/>
                                                      <w:marBottom w:val="30"/>
                                                      <w:divBdr>
                                                        <w:top w:val="single" w:sz="6" w:space="0" w:color="E5E5E5"/>
                                                        <w:left w:val="single" w:sz="6" w:space="0" w:color="E5E5E5"/>
                                                        <w:bottom w:val="single" w:sz="6" w:space="0" w:color="E5E5E5"/>
                                                        <w:right w:val="single" w:sz="6" w:space="0" w:color="E5E5E5"/>
                                                      </w:divBdr>
                                                      <w:divsChild>
                                                        <w:div w:id="431703597">
                                                          <w:marLeft w:val="0"/>
                                                          <w:marRight w:val="0"/>
                                                          <w:marTop w:val="0"/>
                                                          <w:marBottom w:val="0"/>
                                                          <w:divBdr>
                                                            <w:top w:val="none" w:sz="0" w:space="0" w:color="auto"/>
                                                            <w:left w:val="none" w:sz="0" w:space="0" w:color="auto"/>
                                                            <w:bottom w:val="none" w:sz="0" w:space="0" w:color="auto"/>
                                                            <w:right w:val="none" w:sz="0" w:space="0" w:color="auto"/>
                                                          </w:divBdr>
                                                          <w:divsChild>
                                                            <w:div w:id="248467629">
                                                              <w:marLeft w:val="0"/>
                                                              <w:marRight w:val="0"/>
                                                              <w:marTop w:val="0"/>
                                                              <w:marBottom w:val="0"/>
                                                              <w:divBdr>
                                                                <w:top w:val="single" w:sz="6" w:space="7" w:color="E5E5E5"/>
                                                                <w:left w:val="none" w:sz="0" w:space="0" w:color="auto"/>
                                                                <w:bottom w:val="none" w:sz="0" w:space="0" w:color="auto"/>
                                                                <w:right w:val="none" w:sz="0" w:space="0" w:color="auto"/>
                                                              </w:divBdr>
                                                            </w:div>
                                                          </w:divsChild>
                                                        </w:div>
                                                        <w:div w:id="18980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496495">
      <w:bodyDiv w:val="1"/>
      <w:marLeft w:val="0"/>
      <w:marRight w:val="0"/>
      <w:marTop w:val="0"/>
      <w:marBottom w:val="0"/>
      <w:divBdr>
        <w:top w:val="none" w:sz="0" w:space="0" w:color="auto"/>
        <w:left w:val="none" w:sz="0" w:space="0" w:color="auto"/>
        <w:bottom w:val="none" w:sz="0" w:space="0" w:color="auto"/>
        <w:right w:val="none" w:sz="0" w:space="0" w:color="auto"/>
      </w:divBdr>
      <w:divsChild>
        <w:div w:id="549457052">
          <w:marLeft w:val="0"/>
          <w:marRight w:val="0"/>
          <w:marTop w:val="0"/>
          <w:marBottom w:val="0"/>
          <w:divBdr>
            <w:top w:val="none" w:sz="0" w:space="0" w:color="auto"/>
            <w:left w:val="none" w:sz="0" w:space="0" w:color="auto"/>
            <w:bottom w:val="none" w:sz="0" w:space="0" w:color="auto"/>
            <w:right w:val="none" w:sz="0" w:space="0" w:color="auto"/>
          </w:divBdr>
          <w:divsChild>
            <w:div w:id="2008819869">
              <w:marLeft w:val="0"/>
              <w:marRight w:val="0"/>
              <w:marTop w:val="0"/>
              <w:marBottom w:val="0"/>
              <w:divBdr>
                <w:top w:val="none" w:sz="0" w:space="0" w:color="auto"/>
                <w:left w:val="none" w:sz="0" w:space="0" w:color="auto"/>
                <w:bottom w:val="none" w:sz="0" w:space="0" w:color="auto"/>
                <w:right w:val="none" w:sz="0" w:space="0" w:color="auto"/>
              </w:divBdr>
              <w:divsChild>
                <w:div w:id="1848596966">
                  <w:marLeft w:val="0"/>
                  <w:marRight w:val="0"/>
                  <w:marTop w:val="0"/>
                  <w:marBottom w:val="0"/>
                  <w:divBdr>
                    <w:top w:val="none" w:sz="0" w:space="0" w:color="auto"/>
                    <w:left w:val="none" w:sz="0" w:space="0" w:color="auto"/>
                    <w:bottom w:val="none" w:sz="0" w:space="0" w:color="auto"/>
                    <w:right w:val="none" w:sz="0" w:space="0" w:color="auto"/>
                  </w:divBdr>
                  <w:divsChild>
                    <w:div w:id="1020857918">
                      <w:marLeft w:val="0"/>
                      <w:marRight w:val="0"/>
                      <w:marTop w:val="0"/>
                      <w:marBottom w:val="0"/>
                      <w:divBdr>
                        <w:top w:val="none" w:sz="0" w:space="0" w:color="auto"/>
                        <w:left w:val="none" w:sz="0" w:space="0" w:color="auto"/>
                        <w:bottom w:val="none" w:sz="0" w:space="0" w:color="auto"/>
                        <w:right w:val="none" w:sz="0" w:space="0" w:color="auto"/>
                      </w:divBdr>
                      <w:divsChild>
                        <w:div w:id="1025867743">
                          <w:marLeft w:val="0"/>
                          <w:marRight w:val="0"/>
                          <w:marTop w:val="0"/>
                          <w:marBottom w:val="0"/>
                          <w:divBdr>
                            <w:top w:val="none" w:sz="0" w:space="0" w:color="auto"/>
                            <w:left w:val="none" w:sz="0" w:space="0" w:color="auto"/>
                            <w:bottom w:val="none" w:sz="0" w:space="0" w:color="auto"/>
                            <w:right w:val="none" w:sz="0" w:space="0" w:color="auto"/>
                          </w:divBdr>
                          <w:divsChild>
                            <w:div w:id="555287410">
                              <w:marLeft w:val="0"/>
                              <w:marRight w:val="0"/>
                              <w:marTop w:val="0"/>
                              <w:marBottom w:val="0"/>
                              <w:divBdr>
                                <w:top w:val="none" w:sz="0" w:space="0" w:color="auto"/>
                                <w:left w:val="none" w:sz="0" w:space="0" w:color="auto"/>
                                <w:bottom w:val="none" w:sz="0" w:space="0" w:color="auto"/>
                                <w:right w:val="none" w:sz="0" w:space="0" w:color="auto"/>
                              </w:divBdr>
                              <w:divsChild>
                                <w:div w:id="1147430506">
                                  <w:marLeft w:val="0"/>
                                  <w:marRight w:val="0"/>
                                  <w:marTop w:val="0"/>
                                  <w:marBottom w:val="0"/>
                                  <w:divBdr>
                                    <w:top w:val="none" w:sz="0" w:space="0" w:color="auto"/>
                                    <w:left w:val="none" w:sz="0" w:space="0" w:color="auto"/>
                                    <w:bottom w:val="none" w:sz="0" w:space="0" w:color="auto"/>
                                    <w:right w:val="none" w:sz="0" w:space="0" w:color="auto"/>
                                  </w:divBdr>
                                  <w:divsChild>
                                    <w:div w:id="317805789">
                                      <w:marLeft w:val="0"/>
                                      <w:marRight w:val="0"/>
                                      <w:marTop w:val="0"/>
                                      <w:marBottom w:val="0"/>
                                      <w:divBdr>
                                        <w:top w:val="none" w:sz="0" w:space="0" w:color="auto"/>
                                        <w:left w:val="none" w:sz="0" w:space="0" w:color="auto"/>
                                        <w:bottom w:val="none" w:sz="0" w:space="0" w:color="auto"/>
                                        <w:right w:val="none" w:sz="0" w:space="0" w:color="auto"/>
                                      </w:divBdr>
                                      <w:divsChild>
                                        <w:div w:id="814030293">
                                          <w:marLeft w:val="0"/>
                                          <w:marRight w:val="0"/>
                                          <w:marTop w:val="0"/>
                                          <w:marBottom w:val="0"/>
                                          <w:divBdr>
                                            <w:top w:val="none" w:sz="0" w:space="0" w:color="auto"/>
                                            <w:left w:val="none" w:sz="0" w:space="0" w:color="auto"/>
                                            <w:bottom w:val="none" w:sz="0" w:space="0" w:color="auto"/>
                                            <w:right w:val="none" w:sz="0" w:space="0" w:color="auto"/>
                                          </w:divBdr>
                                          <w:divsChild>
                                            <w:div w:id="98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661731">
      <w:bodyDiv w:val="1"/>
      <w:marLeft w:val="0"/>
      <w:marRight w:val="0"/>
      <w:marTop w:val="0"/>
      <w:marBottom w:val="0"/>
      <w:divBdr>
        <w:top w:val="none" w:sz="0" w:space="0" w:color="auto"/>
        <w:left w:val="none" w:sz="0" w:space="0" w:color="auto"/>
        <w:bottom w:val="none" w:sz="0" w:space="0" w:color="auto"/>
        <w:right w:val="none" w:sz="0" w:space="0" w:color="auto"/>
      </w:divBdr>
      <w:divsChild>
        <w:div w:id="1433741653">
          <w:marLeft w:val="0"/>
          <w:marRight w:val="0"/>
          <w:marTop w:val="0"/>
          <w:marBottom w:val="0"/>
          <w:divBdr>
            <w:top w:val="none" w:sz="0" w:space="0" w:color="auto"/>
            <w:left w:val="none" w:sz="0" w:space="0" w:color="auto"/>
            <w:bottom w:val="none" w:sz="0" w:space="0" w:color="auto"/>
            <w:right w:val="none" w:sz="0" w:space="0" w:color="auto"/>
          </w:divBdr>
          <w:divsChild>
            <w:div w:id="1605766310">
              <w:marLeft w:val="0"/>
              <w:marRight w:val="0"/>
              <w:marTop w:val="0"/>
              <w:marBottom w:val="0"/>
              <w:divBdr>
                <w:top w:val="none" w:sz="0" w:space="0" w:color="auto"/>
                <w:left w:val="none" w:sz="0" w:space="0" w:color="auto"/>
                <w:bottom w:val="none" w:sz="0" w:space="0" w:color="auto"/>
                <w:right w:val="none" w:sz="0" w:space="0" w:color="auto"/>
              </w:divBdr>
              <w:divsChild>
                <w:div w:id="840316484">
                  <w:marLeft w:val="0"/>
                  <w:marRight w:val="0"/>
                  <w:marTop w:val="0"/>
                  <w:marBottom w:val="0"/>
                  <w:divBdr>
                    <w:top w:val="none" w:sz="0" w:space="0" w:color="auto"/>
                    <w:left w:val="none" w:sz="0" w:space="0" w:color="auto"/>
                    <w:bottom w:val="none" w:sz="0" w:space="0" w:color="auto"/>
                    <w:right w:val="none" w:sz="0" w:space="0" w:color="auto"/>
                  </w:divBdr>
                  <w:divsChild>
                    <w:div w:id="588658526">
                      <w:marLeft w:val="0"/>
                      <w:marRight w:val="0"/>
                      <w:marTop w:val="0"/>
                      <w:marBottom w:val="0"/>
                      <w:divBdr>
                        <w:top w:val="none" w:sz="0" w:space="0" w:color="auto"/>
                        <w:left w:val="none" w:sz="0" w:space="0" w:color="auto"/>
                        <w:bottom w:val="none" w:sz="0" w:space="0" w:color="auto"/>
                        <w:right w:val="none" w:sz="0" w:space="0" w:color="auto"/>
                      </w:divBdr>
                      <w:divsChild>
                        <w:div w:id="1615552172">
                          <w:marLeft w:val="0"/>
                          <w:marRight w:val="0"/>
                          <w:marTop w:val="0"/>
                          <w:marBottom w:val="0"/>
                          <w:divBdr>
                            <w:top w:val="none" w:sz="0" w:space="0" w:color="auto"/>
                            <w:left w:val="none" w:sz="0" w:space="0" w:color="auto"/>
                            <w:bottom w:val="none" w:sz="0" w:space="0" w:color="auto"/>
                            <w:right w:val="none" w:sz="0" w:space="0" w:color="auto"/>
                          </w:divBdr>
                          <w:divsChild>
                            <w:div w:id="811139838">
                              <w:marLeft w:val="0"/>
                              <w:marRight w:val="0"/>
                              <w:marTop w:val="0"/>
                              <w:marBottom w:val="0"/>
                              <w:divBdr>
                                <w:top w:val="none" w:sz="0" w:space="0" w:color="auto"/>
                                <w:left w:val="none" w:sz="0" w:space="0" w:color="auto"/>
                                <w:bottom w:val="none" w:sz="0" w:space="0" w:color="auto"/>
                                <w:right w:val="none" w:sz="0" w:space="0" w:color="auto"/>
                              </w:divBdr>
                              <w:divsChild>
                                <w:div w:id="199972191">
                                  <w:marLeft w:val="0"/>
                                  <w:marRight w:val="0"/>
                                  <w:marTop w:val="0"/>
                                  <w:marBottom w:val="0"/>
                                  <w:divBdr>
                                    <w:top w:val="none" w:sz="0" w:space="0" w:color="auto"/>
                                    <w:left w:val="none" w:sz="0" w:space="0" w:color="auto"/>
                                    <w:bottom w:val="none" w:sz="0" w:space="0" w:color="auto"/>
                                    <w:right w:val="none" w:sz="0" w:space="0" w:color="auto"/>
                                  </w:divBdr>
                                  <w:divsChild>
                                    <w:div w:id="792675293">
                                      <w:marLeft w:val="0"/>
                                      <w:marRight w:val="0"/>
                                      <w:marTop w:val="0"/>
                                      <w:marBottom w:val="0"/>
                                      <w:divBdr>
                                        <w:top w:val="none" w:sz="0" w:space="0" w:color="auto"/>
                                        <w:left w:val="none" w:sz="0" w:space="0" w:color="auto"/>
                                        <w:bottom w:val="none" w:sz="0" w:space="0" w:color="auto"/>
                                        <w:right w:val="none" w:sz="0" w:space="0" w:color="auto"/>
                                      </w:divBdr>
                                      <w:divsChild>
                                        <w:div w:id="1853447829">
                                          <w:marLeft w:val="0"/>
                                          <w:marRight w:val="0"/>
                                          <w:marTop w:val="0"/>
                                          <w:marBottom w:val="0"/>
                                          <w:divBdr>
                                            <w:top w:val="none" w:sz="0" w:space="0" w:color="auto"/>
                                            <w:left w:val="none" w:sz="0" w:space="0" w:color="auto"/>
                                            <w:bottom w:val="none" w:sz="0" w:space="0" w:color="auto"/>
                                            <w:right w:val="none" w:sz="0" w:space="0" w:color="auto"/>
                                          </w:divBdr>
                                          <w:divsChild>
                                            <w:div w:id="1884635719">
                                              <w:marLeft w:val="0"/>
                                              <w:marRight w:val="0"/>
                                              <w:marTop w:val="0"/>
                                              <w:marBottom w:val="0"/>
                                              <w:divBdr>
                                                <w:top w:val="none" w:sz="0" w:space="0" w:color="auto"/>
                                                <w:left w:val="none" w:sz="0" w:space="0" w:color="auto"/>
                                                <w:bottom w:val="none" w:sz="0" w:space="0" w:color="auto"/>
                                                <w:right w:val="none" w:sz="0" w:space="0" w:color="auto"/>
                                              </w:divBdr>
                                              <w:divsChild>
                                                <w:div w:id="420834111">
                                                  <w:marLeft w:val="0"/>
                                                  <w:marRight w:val="0"/>
                                                  <w:marTop w:val="0"/>
                                                  <w:marBottom w:val="0"/>
                                                  <w:divBdr>
                                                    <w:top w:val="none" w:sz="0" w:space="0" w:color="auto"/>
                                                    <w:left w:val="none" w:sz="0" w:space="0" w:color="auto"/>
                                                    <w:bottom w:val="none" w:sz="0" w:space="0" w:color="auto"/>
                                                    <w:right w:val="none" w:sz="0" w:space="0" w:color="auto"/>
                                                  </w:divBdr>
                                                </w:div>
                                                <w:div w:id="8560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280597">
      <w:bodyDiv w:val="1"/>
      <w:marLeft w:val="0"/>
      <w:marRight w:val="0"/>
      <w:marTop w:val="0"/>
      <w:marBottom w:val="0"/>
      <w:divBdr>
        <w:top w:val="none" w:sz="0" w:space="0" w:color="auto"/>
        <w:left w:val="none" w:sz="0" w:space="0" w:color="auto"/>
        <w:bottom w:val="none" w:sz="0" w:space="0" w:color="auto"/>
        <w:right w:val="none" w:sz="0" w:space="0" w:color="auto"/>
      </w:divBdr>
      <w:divsChild>
        <w:div w:id="1385718866">
          <w:marLeft w:val="0"/>
          <w:marRight w:val="0"/>
          <w:marTop w:val="0"/>
          <w:marBottom w:val="0"/>
          <w:divBdr>
            <w:top w:val="none" w:sz="0" w:space="0" w:color="auto"/>
            <w:left w:val="none" w:sz="0" w:space="0" w:color="auto"/>
            <w:bottom w:val="none" w:sz="0" w:space="0" w:color="auto"/>
            <w:right w:val="none" w:sz="0" w:space="0" w:color="auto"/>
          </w:divBdr>
          <w:divsChild>
            <w:div w:id="143550023">
              <w:marLeft w:val="0"/>
              <w:marRight w:val="0"/>
              <w:marTop w:val="0"/>
              <w:marBottom w:val="0"/>
              <w:divBdr>
                <w:top w:val="none" w:sz="0" w:space="0" w:color="auto"/>
                <w:left w:val="none" w:sz="0" w:space="0" w:color="auto"/>
                <w:bottom w:val="none" w:sz="0" w:space="0" w:color="auto"/>
                <w:right w:val="none" w:sz="0" w:space="0" w:color="auto"/>
              </w:divBdr>
              <w:divsChild>
                <w:div w:id="1193491614">
                  <w:marLeft w:val="0"/>
                  <w:marRight w:val="0"/>
                  <w:marTop w:val="0"/>
                  <w:marBottom w:val="0"/>
                  <w:divBdr>
                    <w:top w:val="none" w:sz="0" w:space="0" w:color="auto"/>
                    <w:left w:val="none" w:sz="0" w:space="0" w:color="auto"/>
                    <w:bottom w:val="none" w:sz="0" w:space="0" w:color="auto"/>
                    <w:right w:val="none" w:sz="0" w:space="0" w:color="auto"/>
                  </w:divBdr>
                  <w:divsChild>
                    <w:div w:id="423691446">
                      <w:marLeft w:val="0"/>
                      <w:marRight w:val="0"/>
                      <w:marTop w:val="0"/>
                      <w:marBottom w:val="0"/>
                      <w:divBdr>
                        <w:top w:val="none" w:sz="0" w:space="0" w:color="auto"/>
                        <w:left w:val="none" w:sz="0" w:space="0" w:color="auto"/>
                        <w:bottom w:val="none" w:sz="0" w:space="0" w:color="auto"/>
                        <w:right w:val="none" w:sz="0" w:space="0" w:color="auto"/>
                      </w:divBdr>
                      <w:divsChild>
                        <w:div w:id="871307169">
                          <w:marLeft w:val="0"/>
                          <w:marRight w:val="0"/>
                          <w:marTop w:val="0"/>
                          <w:marBottom w:val="0"/>
                          <w:divBdr>
                            <w:top w:val="none" w:sz="0" w:space="0" w:color="auto"/>
                            <w:left w:val="none" w:sz="0" w:space="0" w:color="auto"/>
                            <w:bottom w:val="none" w:sz="0" w:space="0" w:color="auto"/>
                            <w:right w:val="none" w:sz="0" w:space="0" w:color="auto"/>
                          </w:divBdr>
                          <w:divsChild>
                            <w:div w:id="1003970841">
                              <w:marLeft w:val="0"/>
                              <w:marRight w:val="0"/>
                              <w:marTop w:val="0"/>
                              <w:marBottom w:val="0"/>
                              <w:divBdr>
                                <w:top w:val="none" w:sz="0" w:space="0" w:color="auto"/>
                                <w:left w:val="none" w:sz="0" w:space="0" w:color="auto"/>
                                <w:bottom w:val="none" w:sz="0" w:space="0" w:color="auto"/>
                                <w:right w:val="none" w:sz="0" w:space="0" w:color="auto"/>
                              </w:divBdr>
                              <w:divsChild>
                                <w:div w:id="976956410">
                                  <w:marLeft w:val="0"/>
                                  <w:marRight w:val="0"/>
                                  <w:marTop w:val="0"/>
                                  <w:marBottom w:val="0"/>
                                  <w:divBdr>
                                    <w:top w:val="none" w:sz="0" w:space="0" w:color="auto"/>
                                    <w:left w:val="none" w:sz="0" w:space="0" w:color="auto"/>
                                    <w:bottom w:val="none" w:sz="0" w:space="0" w:color="auto"/>
                                    <w:right w:val="none" w:sz="0" w:space="0" w:color="auto"/>
                                  </w:divBdr>
                                  <w:divsChild>
                                    <w:div w:id="856961382">
                                      <w:marLeft w:val="0"/>
                                      <w:marRight w:val="0"/>
                                      <w:marTop w:val="0"/>
                                      <w:marBottom w:val="0"/>
                                      <w:divBdr>
                                        <w:top w:val="none" w:sz="0" w:space="0" w:color="auto"/>
                                        <w:left w:val="none" w:sz="0" w:space="0" w:color="auto"/>
                                        <w:bottom w:val="none" w:sz="0" w:space="0" w:color="auto"/>
                                        <w:right w:val="none" w:sz="0" w:space="0" w:color="auto"/>
                                      </w:divBdr>
                                      <w:divsChild>
                                        <w:div w:id="1950578968">
                                          <w:marLeft w:val="0"/>
                                          <w:marRight w:val="0"/>
                                          <w:marTop w:val="0"/>
                                          <w:marBottom w:val="0"/>
                                          <w:divBdr>
                                            <w:top w:val="none" w:sz="0" w:space="0" w:color="auto"/>
                                            <w:left w:val="none" w:sz="0" w:space="0" w:color="auto"/>
                                            <w:bottom w:val="none" w:sz="0" w:space="0" w:color="auto"/>
                                            <w:right w:val="none" w:sz="0" w:space="0" w:color="auto"/>
                                          </w:divBdr>
                                          <w:divsChild>
                                            <w:div w:id="1819104772">
                                              <w:marLeft w:val="0"/>
                                              <w:marRight w:val="0"/>
                                              <w:marTop w:val="0"/>
                                              <w:marBottom w:val="0"/>
                                              <w:divBdr>
                                                <w:top w:val="none" w:sz="0" w:space="0" w:color="auto"/>
                                                <w:left w:val="none" w:sz="0" w:space="0" w:color="auto"/>
                                                <w:bottom w:val="none" w:sz="0" w:space="0" w:color="auto"/>
                                                <w:right w:val="none" w:sz="0" w:space="0" w:color="auto"/>
                                              </w:divBdr>
                                              <w:divsChild>
                                                <w:div w:id="404957987">
                                                  <w:marLeft w:val="0"/>
                                                  <w:marRight w:val="0"/>
                                                  <w:marTop w:val="225"/>
                                                  <w:marBottom w:val="300"/>
                                                  <w:divBdr>
                                                    <w:top w:val="none" w:sz="0" w:space="0" w:color="auto"/>
                                                    <w:left w:val="none" w:sz="0" w:space="0" w:color="auto"/>
                                                    <w:bottom w:val="none" w:sz="0" w:space="0" w:color="auto"/>
                                                    <w:right w:val="none" w:sz="0" w:space="0" w:color="auto"/>
                                                  </w:divBdr>
                                                  <w:divsChild>
                                                    <w:div w:id="724254768">
                                                      <w:marLeft w:val="0"/>
                                                      <w:marRight w:val="0"/>
                                                      <w:marTop w:val="0"/>
                                                      <w:marBottom w:val="30"/>
                                                      <w:divBdr>
                                                        <w:top w:val="single" w:sz="6" w:space="0" w:color="E5E5E5"/>
                                                        <w:left w:val="single" w:sz="6" w:space="0" w:color="E5E5E5"/>
                                                        <w:bottom w:val="single" w:sz="6" w:space="0" w:color="E5E5E5"/>
                                                        <w:right w:val="single" w:sz="6" w:space="0" w:color="E5E5E5"/>
                                                      </w:divBdr>
                                                      <w:divsChild>
                                                        <w:div w:id="384528833">
                                                          <w:marLeft w:val="0"/>
                                                          <w:marRight w:val="0"/>
                                                          <w:marTop w:val="0"/>
                                                          <w:marBottom w:val="0"/>
                                                          <w:divBdr>
                                                            <w:top w:val="none" w:sz="0" w:space="0" w:color="auto"/>
                                                            <w:left w:val="none" w:sz="0" w:space="0" w:color="auto"/>
                                                            <w:bottom w:val="none" w:sz="0" w:space="0" w:color="auto"/>
                                                            <w:right w:val="none" w:sz="0" w:space="0" w:color="auto"/>
                                                          </w:divBdr>
                                                          <w:divsChild>
                                                            <w:div w:id="1560751575">
                                                              <w:marLeft w:val="0"/>
                                                              <w:marRight w:val="0"/>
                                                              <w:marTop w:val="0"/>
                                                              <w:marBottom w:val="0"/>
                                                              <w:divBdr>
                                                                <w:top w:val="single" w:sz="6" w:space="7" w:color="E5E5E5"/>
                                                                <w:left w:val="none" w:sz="0" w:space="0" w:color="auto"/>
                                                                <w:bottom w:val="none" w:sz="0" w:space="0" w:color="auto"/>
                                                                <w:right w:val="none" w:sz="0" w:space="0" w:color="auto"/>
                                                              </w:divBdr>
                                                            </w:div>
                                                          </w:divsChild>
                                                        </w:div>
                                                        <w:div w:id="8826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7523574">
      <w:bodyDiv w:val="1"/>
      <w:marLeft w:val="0"/>
      <w:marRight w:val="0"/>
      <w:marTop w:val="0"/>
      <w:marBottom w:val="0"/>
      <w:divBdr>
        <w:top w:val="none" w:sz="0" w:space="0" w:color="auto"/>
        <w:left w:val="none" w:sz="0" w:space="0" w:color="auto"/>
        <w:bottom w:val="none" w:sz="0" w:space="0" w:color="auto"/>
        <w:right w:val="none" w:sz="0" w:space="0" w:color="auto"/>
      </w:divBdr>
      <w:divsChild>
        <w:div w:id="936791344">
          <w:marLeft w:val="0"/>
          <w:marRight w:val="0"/>
          <w:marTop w:val="0"/>
          <w:marBottom w:val="0"/>
          <w:divBdr>
            <w:top w:val="none" w:sz="0" w:space="0" w:color="auto"/>
            <w:left w:val="none" w:sz="0" w:space="0" w:color="auto"/>
            <w:bottom w:val="none" w:sz="0" w:space="0" w:color="auto"/>
            <w:right w:val="none" w:sz="0" w:space="0" w:color="auto"/>
          </w:divBdr>
          <w:divsChild>
            <w:div w:id="1602639499">
              <w:marLeft w:val="0"/>
              <w:marRight w:val="0"/>
              <w:marTop w:val="0"/>
              <w:marBottom w:val="0"/>
              <w:divBdr>
                <w:top w:val="none" w:sz="0" w:space="0" w:color="auto"/>
                <w:left w:val="none" w:sz="0" w:space="0" w:color="auto"/>
                <w:bottom w:val="none" w:sz="0" w:space="0" w:color="auto"/>
                <w:right w:val="none" w:sz="0" w:space="0" w:color="auto"/>
              </w:divBdr>
              <w:divsChild>
                <w:div w:id="918707269">
                  <w:marLeft w:val="0"/>
                  <w:marRight w:val="0"/>
                  <w:marTop w:val="0"/>
                  <w:marBottom w:val="0"/>
                  <w:divBdr>
                    <w:top w:val="none" w:sz="0" w:space="0" w:color="auto"/>
                    <w:left w:val="none" w:sz="0" w:space="0" w:color="auto"/>
                    <w:bottom w:val="none" w:sz="0" w:space="0" w:color="auto"/>
                    <w:right w:val="none" w:sz="0" w:space="0" w:color="auto"/>
                  </w:divBdr>
                  <w:divsChild>
                    <w:div w:id="20474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6292">
      <w:bodyDiv w:val="1"/>
      <w:marLeft w:val="0"/>
      <w:marRight w:val="0"/>
      <w:marTop w:val="0"/>
      <w:marBottom w:val="0"/>
      <w:divBdr>
        <w:top w:val="none" w:sz="0" w:space="0" w:color="auto"/>
        <w:left w:val="none" w:sz="0" w:space="0" w:color="auto"/>
        <w:bottom w:val="none" w:sz="0" w:space="0" w:color="auto"/>
        <w:right w:val="none" w:sz="0" w:space="0" w:color="auto"/>
      </w:divBdr>
      <w:divsChild>
        <w:div w:id="332686395">
          <w:marLeft w:val="0"/>
          <w:marRight w:val="0"/>
          <w:marTop w:val="0"/>
          <w:marBottom w:val="0"/>
          <w:divBdr>
            <w:top w:val="none" w:sz="0" w:space="0" w:color="auto"/>
            <w:left w:val="none" w:sz="0" w:space="0" w:color="auto"/>
            <w:bottom w:val="none" w:sz="0" w:space="0" w:color="auto"/>
            <w:right w:val="none" w:sz="0" w:space="0" w:color="auto"/>
          </w:divBdr>
          <w:divsChild>
            <w:div w:id="1025056961">
              <w:marLeft w:val="0"/>
              <w:marRight w:val="0"/>
              <w:marTop w:val="0"/>
              <w:marBottom w:val="0"/>
              <w:divBdr>
                <w:top w:val="none" w:sz="0" w:space="0" w:color="auto"/>
                <w:left w:val="none" w:sz="0" w:space="0" w:color="auto"/>
                <w:bottom w:val="none" w:sz="0" w:space="0" w:color="auto"/>
                <w:right w:val="none" w:sz="0" w:space="0" w:color="auto"/>
              </w:divBdr>
              <w:divsChild>
                <w:div w:id="1730641647">
                  <w:marLeft w:val="0"/>
                  <w:marRight w:val="0"/>
                  <w:marTop w:val="0"/>
                  <w:marBottom w:val="0"/>
                  <w:divBdr>
                    <w:top w:val="none" w:sz="0" w:space="0" w:color="auto"/>
                    <w:left w:val="none" w:sz="0" w:space="0" w:color="auto"/>
                    <w:bottom w:val="none" w:sz="0" w:space="0" w:color="auto"/>
                    <w:right w:val="none" w:sz="0" w:space="0" w:color="auto"/>
                  </w:divBdr>
                  <w:divsChild>
                    <w:div w:id="20274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4862">
      <w:bodyDiv w:val="1"/>
      <w:marLeft w:val="0"/>
      <w:marRight w:val="0"/>
      <w:marTop w:val="0"/>
      <w:marBottom w:val="0"/>
      <w:divBdr>
        <w:top w:val="none" w:sz="0" w:space="0" w:color="auto"/>
        <w:left w:val="none" w:sz="0" w:space="0" w:color="auto"/>
        <w:bottom w:val="none" w:sz="0" w:space="0" w:color="auto"/>
        <w:right w:val="none" w:sz="0" w:space="0" w:color="auto"/>
      </w:divBdr>
      <w:divsChild>
        <w:div w:id="742726496">
          <w:marLeft w:val="0"/>
          <w:marRight w:val="0"/>
          <w:marTop w:val="0"/>
          <w:marBottom w:val="0"/>
          <w:divBdr>
            <w:top w:val="none" w:sz="0" w:space="0" w:color="auto"/>
            <w:left w:val="none" w:sz="0" w:space="0" w:color="auto"/>
            <w:bottom w:val="none" w:sz="0" w:space="0" w:color="auto"/>
            <w:right w:val="none" w:sz="0" w:space="0" w:color="auto"/>
          </w:divBdr>
          <w:divsChild>
            <w:div w:id="994069480">
              <w:marLeft w:val="0"/>
              <w:marRight w:val="0"/>
              <w:marTop w:val="0"/>
              <w:marBottom w:val="0"/>
              <w:divBdr>
                <w:top w:val="none" w:sz="0" w:space="0" w:color="auto"/>
                <w:left w:val="none" w:sz="0" w:space="0" w:color="auto"/>
                <w:bottom w:val="none" w:sz="0" w:space="0" w:color="auto"/>
                <w:right w:val="none" w:sz="0" w:space="0" w:color="auto"/>
              </w:divBdr>
              <w:divsChild>
                <w:div w:id="100879794">
                  <w:marLeft w:val="0"/>
                  <w:marRight w:val="0"/>
                  <w:marTop w:val="0"/>
                  <w:marBottom w:val="0"/>
                  <w:divBdr>
                    <w:top w:val="none" w:sz="0" w:space="0" w:color="auto"/>
                    <w:left w:val="none" w:sz="0" w:space="0" w:color="auto"/>
                    <w:bottom w:val="none" w:sz="0" w:space="0" w:color="auto"/>
                    <w:right w:val="none" w:sz="0" w:space="0" w:color="auto"/>
                  </w:divBdr>
                  <w:divsChild>
                    <w:div w:id="16603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99283">
      <w:bodyDiv w:val="1"/>
      <w:marLeft w:val="0"/>
      <w:marRight w:val="0"/>
      <w:marTop w:val="0"/>
      <w:marBottom w:val="0"/>
      <w:divBdr>
        <w:top w:val="none" w:sz="0" w:space="0" w:color="auto"/>
        <w:left w:val="none" w:sz="0" w:space="0" w:color="auto"/>
        <w:bottom w:val="none" w:sz="0" w:space="0" w:color="auto"/>
        <w:right w:val="none" w:sz="0" w:space="0" w:color="auto"/>
      </w:divBdr>
      <w:divsChild>
        <w:div w:id="1795712683">
          <w:marLeft w:val="0"/>
          <w:marRight w:val="0"/>
          <w:marTop w:val="0"/>
          <w:marBottom w:val="0"/>
          <w:divBdr>
            <w:top w:val="none" w:sz="0" w:space="0" w:color="auto"/>
            <w:left w:val="none" w:sz="0" w:space="0" w:color="auto"/>
            <w:bottom w:val="none" w:sz="0" w:space="0" w:color="auto"/>
            <w:right w:val="none" w:sz="0" w:space="0" w:color="auto"/>
          </w:divBdr>
          <w:divsChild>
            <w:div w:id="1341004781">
              <w:marLeft w:val="0"/>
              <w:marRight w:val="0"/>
              <w:marTop w:val="0"/>
              <w:marBottom w:val="0"/>
              <w:divBdr>
                <w:top w:val="none" w:sz="0" w:space="0" w:color="auto"/>
                <w:left w:val="none" w:sz="0" w:space="0" w:color="auto"/>
                <w:bottom w:val="none" w:sz="0" w:space="0" w:color="auto"/>
                <w:right w:val="none" w:sz="0" w:space="0" w:color="auto"/>
              </w:divBdr>
              <w:divsChild>
                <w:div w:id="1586768044">
                  <w:marLeft w:val="0"/>
                  <w:marRight w:val="0"/>
                  <w:marTop w:val="0"/>
                  <w:marBottom w:val="0"/>
                  <w:divBdr>
                    <w:top w:val="none" w:sz="0" w:space="0" w:color="auto"/>
                    <w:left w:val="none" w:sz="0" w:space="0" w:color="auto"/>
                    <w:bottom w:val="none" w:sz="0" w:space="0" w:color="auto"/>
                    <w:right w:val="none" w:sz="0" w:space="0" w:color="auto"/>
                  </w:divBdr>
                  <w:divsChild>
                    <w:div w:id="2010448942">
                      <w:marLeft w:val="0"/>
                      <w:marRight w:val="0"/>
                      <w:marTop w:val="0"/>
                      <w:marBottom w:val="0"/>
                      <w:divBdr>
                        <w:top w:val="none" w:sz="0" w:space="0" w:color="auto"/>
                        <w:left w:val="none" w:sz="0" w:space="0" w:color="auto"/>
                        <w:bottom w:val="none" w:sz="0" w:space="0" w:color="auto"/>
                        <w:right w:val="none" w:sz="0" w:space="0" w:color="auto"/>
                      </w:divBdr>
                      <w:divsChild>
                        <w:div w:id="88813541">
                          <w:marLeft w:val="0"/>
                          <w:marRight w:val="0"/>
                          <w:marTop w:val="0"/>
                          <w:marBottom w:val="0"/>
                          <w:divBdr>
                            <w:top w:val="none" w:sz="0" w:space="0" w:color="auto"/>
                            <w:left w:val="none" w:sz="0" w:space="0" w:color="auto"/>
                            <w:bottom w:val="none" w:sz="0" w:space="0" w:color="auto"/>
                            <w:right w:val="none" w:sz="0" w:space="0" w:color="auto"/>
                          </w:divBdr>
                          <w:divsChild>
                            <w:div w:id="1650162787">
                              <w:marLeft w:val="0"/>
                              <w:marRight w:val="0"/>
                              <w:marTop w:val="0"/>
                              <w:marBottom w:val="0"/>
                              <w:divBdr>
                                <w:top w:val="none" w:sz="0" w:space="0" w:color="auto"/>
                                <w:left w:val="none" w:sz="0" w:space="0" w:color="auto"/>
                                <w:bottom w:val="none" w:sz="0" w:space="0" w:color="auto"/>
                                <w:right w:val="none" w:sz="0" w:space="0" w:color="auto"/>
                              </w:divBdr>
                              <w:divsChild>
                                <w:div w:id="941063176">
                                  <w:marLeft w:val="0"/>
                                  <w:marRight w:val="0"/>
                                  <w:marTop w:val="0"/>
                                  <w:marBottom w:val="0"/>
                                  <w:divBdr>
                                    <w:top w:val="none" w:sz="0" w:space="0" w:color="auto"/>
                                    <w:left w:val="none" w:sz="0" w:space="0" w:color="auto"/>
                                    <w:bottom w:val="none" w:sz="0" w:space="0" w:color="auto"/>
                                    <w:right w:val="none" w:sz="0" w:space="0" w:color="auto"/>
                                  </w:divBdr>
                                  <w:divsChild>
                                    <w:div w:id="6685244">
                                      <w:marLeft w:val="0"/>
                                      <w:marRight w:val="0"/>
                                      <w:marTop w:val="0"/>
                                      <w:marBottom w:val="0"/>
                                      <w:divBdr>
                                        <w:top w:val="none" w:sz="0" w:space="0" w:color="auto"/>
                                        <w:left w:val="none" w:sz="0" w:space="0" w:color="auto"/>
                                        <w:bottom w:val="none" w:sz="0" w:space="0" w:color="auto"/>
                                        <w:right w:val="none" w:sz="0" w:space="0" w:color="auto"/>
                                      </w:divBdr>
                                      <w:divsChild>
                                        <w:div w:id="1423454735">
                                          <w:marLeft w:val="0"/>
                                          <w:marRight w:val="0"/>
                                          <w:marTop w:val="0"/>
                                          <w:marBottom w:val="0"/>
                                          <w:divBdr>
                                            <w:top w:val="none" w:sz="0" w:space="0" w:color="auto"/>
                                            <w:left w:val="none" w:sz="0" w:space="0" w:color="auto"/>
                                            <w:bottom w:val="none" w:sz="0" w:space="0" w:color="auto"/>
                                            <w:right w:val="none" w:sz="0" w:space="0" w:color="auto"/>
                                          </w:divBdr>
                                          <w:divsChild>
                                            <w:div w:id="7789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452639">
      <w:bodyDiv w:val="1"/>
      <w:marLeft w:val="0"/>
      <w:marRight w:val="0"/>
      <w:marTop w:val="0"/>
      <w:marBottom w:val="0"/>
      <w:divBdr>
        <w:top w:val="none" w:sz="0" w:space="0" w:color="auto"/>
        <w:left w:val="none" w:sz="0" w:space="0" w:color="auto"/>
        <w:bottom w:val="none" w:sz="0" w:space="0" w:color="auto"/>
        <w:right w:val="none" w:sz="0" w:space="0" w:color="auto"/>
      </w:divBdr>
      <w:divsChild>
        <w:div w:id="2083287460">
          <w:marLeft w:val="0"/>
          <w:marRight w:val="0"/>
          <w:marTop w:val="0"/>
          <w:marBottom w:val="0"/>
          <w:divBdr>
            <w:top w:val="none" w:sz="0" w:space="0" w:color="auto"/>
            <w:left w:val="none" w:sz="0" w:space="0" w:color="auto"/>
            <w:bottom w:val="none" w:sz="0" w:space="0" w:color="auto"/>
            <w:right w:val="none" w:sz="0" w:space="0" w:color="auto"/>
          </w:divBdr>
          <w:divsChild>
            <w:div w:id="520630972">
              <w:marLeft w:val="0"/>
              <w:marRight w:val="0"/>
              <w:marTop w:val="0"/>
              <w:marBottom w:val="0"/>
              <w:divBdr>
                <w:top w:val="none" w:sz="0" w:space="0" w:color="auto"/>
                <w:left w:val="none" w:sz="0" w:space="0" w:color="auto"/>
                <w:bottom w:val="none" w:sz="0" w:space="0" w:color="auto"/>
                <w:right w:val="none" w:sz="0" w:space="0" w:color="auto"/>
              </w:divBdr>
              <w:divsChild>
                <w:div w:id="289289340">
                  <w:marLeft w:val="0"/>
                  <w:marRight w:val="0"/>
                  <w:marTop w:val="0"/>
                  <w:marBottom w:val="0"/>
                  <w:divBdr>
                    <w:top w:val="none" w:sz="0" w:space="0" w:color="auto"/>
                    <w:left w:val="none" w:sz="0" w:space="0" w:color="auto"/>
                    <w:bottom w:val="none" w:sz="0" w:space="0" w:color="auto"/>
                    <w:right w:val="none" w:sz="0" w:space="0" w:color="auto"/>
                  </w:divBdr>
                  <w:divsChild>
                    <w:div w:id="2064130881">
                      <w:marLeft w:val="0"/>
                      <w:marRight w:val="0"/>
                      <w:marTop w:val="0"/>
                      <w:marBottom w:val="0"/>
                      <w:divBdr>
                        <w:top w:val="none" w:sz="0" w:space="0" w:color="auto"/>
                        <w:left w:val="none" w:sz="0" w:space="0" w:color="auto"/>
                        <w:bottom w:val="none" w:sz="0" w:space="0" w:color="auto"/>
                        <w:right w:val="none" w:sz="0" w:space="0" w:color="auto"/>
                      </w:divBdr>
                      <w:divsChild>
                        <w:div w:id="1198591467">
                          <w:marLeft w:val="0"/>
                          <w:marRight w:val="0"/>
                          <w:marTop w:val="0"/>
                          <w:marBottom w:val="0"/>
                          <w:divBdr>
                            <w:top w:val="none" w:sz="0" w:space="0" w:color="auto"/>
                            <w:left w:val="none" w:sz="0" w:space="0" w:color="auto"/>
                            <w:bottom w:val="none" w:sz="0" w:space="0" w:color="auto"/>
                            <w:right w:val="none" w:sz="0" w:space="0" w:color="auto"/>
                          </w:divBdr>
                          <w:divsChild>
                            <w:div w:id="349380735">
                              <w:marLeft w:val="0"/>
                              <w:marRight w:val="0"/>
                              <w:marTop w:val="0"/>
                              <w:marBottom w:val="0"/>
                              <w:divBdr>
                                <w:top w:val="none" w:sz="0" w:space="0" w:color="auto"/>
                                <w:left w:val="none" w:sz="0" w:space="0" w:color="auto"/>
                                <w:bottom w:val="none" w:sz="0" w:space="0" w:color="auto"/>
                                <w:right w:val="none" w:sz="0" w:space="0" w:color="auto"/>
                              </w:divBdr>
                              <w:divsChild>
                                <w:div w:id="748504843">
                                  <w:marLeft w:val="0"/>
                                  <w:marRight w:val="0"/>
                                  <w:marTop w:val="0"/>
                                  <w:marBottom w:val="0"/>
                                  <w:divBdr>
                                    <w:top w:val="none" w:sz="0" w:space="0" w:color="auto"/>
                                    <w:left w:val="none" w:sz="0" w:space="0" w:color="auto"/>
                                    <w:bottom w:val="none" w:sz="0" w:space="0" w:color="auto"/>
                                    <w:right w:val="none" w:sz="0" w:space="0" w:color="auto"/>
                                  </w:divBdr>
                                  <w:divsChild>
                                    <w:div w:id="517892011">
                                      <w:marLeft w:val="0"/>
                                      <w:marRight w:val="0"/>
                                      <w:marTop w:val="0"/>
                                      <w:marBottom w:val="0"/>
                                      <w:divBdr>
                                        <w:top w:val="none" w:sz="0" w:space="0" w:color="auto"/>
                                        <w:left w:val="none" w:sz="0" w:space="0" w:color="auto"/>
                                        <w:bottom w:val="none" w:sz="0" w:space="0" w:color="auto"/>
                                        <w:right w:val="none" w:sz="0" w:space="0" w:color="auto"/>
                                      </w:divBdr>
                                      <w:divsChild>
                                        <w:div w:id="1691835162">
                                          <w:marLeft w:val="0"/>
                                          <w:marRight w:val="0"/>
                                          <w:marTop w:val="0"/>
                                          <w:marBottom w:val="0"/>
                                          <w:divBdr>
                                            <w:top w:val="none" w:sz="0" w:space="0" w:color="auto"/>
                                            <w:left w:val="none" w:sz="0" w:space="0" w:color="auto"/>
                                            <w:bottom w:val="none" w:sz="0" w:space="0" w:color="auto"/>
                                            <w:right w:val="none" w:sz="0" w:space="0" w:color="auto"/>
                                          </w:divBdr>
                                          <w:divsChild>
                                            <w:div w:id="572157856">
                                              <w:marLeft w:val="0"/>
                                              <w:marRight w:val="0"/>
                                              <w:marTop w:val="0"/>
                                              <w:marBottom w:val="0"/>
                                              <w:divBdr>
                                                <w:top w:val="none" w:sz="0" w:space="0" w:color="auto"/>
                                                <w:left w:val="none" w:sz="0" w:space="0" w:color="auto"/>
                                                <w:bottom w:val="none" w:sz="0" w:space="0" w:color="auto"/>
                                                <w:right w:val="none" w:sz="0" w:space="0" w:color="auto"/>
                                              </w:divBdr>
                                              <w:divsChild>
                                                <w:div w:id="127863012">
                                                  <w:marLeft w:val="0"/>
                                                  <w:marRight w:val="0"/>
                                                  <w:marTop w:val="225"/>
                                                  <w:marBottom w:val="300"/>
                                                  <w:divBdr>
                                                    <w:top w:val="none" w:sz="0" w:space="0" w:color="auto"/>
                                                    <w:left w:val="none" w:sz="0" w:space="0" w:color="auto"/>
                                                    <w:bottom w:val="none" w:sz="0" w:space="0" w:color="auto"/>
                                                    <w:right w:val="none" w:sz="0" w:space="0" w:color="auto"/>
                                                  </w:divBdr>
                                                  <w:divsChild>
                                                    <w:div w:id="1045838692">
                                                      <w:marLeft w:val="0"/>
                                                      <w:marRight w:val="0"/>
                                                      <w:marTop w:val="0"/>
                                                      <w:marBottom w:val="30"/>
                                                      <w:divBdr>
                                                        <w:top w:val="single" w:sz="6" w:space="0" w:color="E5E5E5"/>
                                                        <w:left w:val="single" w:sz="6" w:space="0" w:color="E5E5E5"/>
                                                        <w:bottom w:val="single" w:sz="6" w:space="0" w:color="E5E5E5"/>
                                                        <w:right w:val="single" w:sz="6" w:space="0" w:color="E5E5E5"/>
                                                      </w:divBdr>
                                                      <w:divsChild>
                                                        <w:div w:id="301010072">
                                                          <w:marLeft w:val="0"/>
                                                          <w:marRight w:val="0"/>
                                                          <w:marTop w:val="0"/>
                                                          <w:marBottom w:val="0"/>
                                                          <w:divBdr>
                                                            <w:top w:val="none" w:sz="0" w:space="0" w:color="auto"/>
                                                            <w:left w:val="none" w:sz="0" w:space="0" w:color="auto"/>
                                                            <w:bottom w:val="none" w:sz="0" w:space="0" w:color="auto"/>
                                                            <w:right w:val="none" w:sz="0" w:space="0" w:color="auto"/>
                                                          </w:divBdr>
                                                        </w:div>
                                                        <w:div w:id="483547050">
                                                          <w:marLeft w:val="0"/>
                                                          <w:marRight w:val="0"/>
                                                          <w:marTop w:val="0"/>
                                                          <w:marBottom w:val="0"/>
                                                          <w:divBdr>
                                                            <w:top w:val="none" w:sz="0" w:space="0" w:color="auto"/>
                                                            <w:left w:val="none" w:sz="0" w:space="0" w:color="auto"/>
                                                            <w:bottom w:val="none" w:sz="0" w:space="0" w:color="auto"/>
                                                            <w:right w:val="none" w:sz="0" w:space="0" w:color="auto"/>
                                                          </w:divBdr>
                                                          <w:divsChild>
                                                            <w:div w:id="2486946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78450">
      <w:bodyDiv w:val="1"/>
      <w:marLeft w:val="0"/>
      <w:marRight w:val="0"/>
      <w:marTop w:val="0"/>
      <w:marBottom w:val="0"/>
      <w:divBdr>
        <w:top w:val="none" w:sz="0" w:space="0" w:color="auto"/>
        <w:left w:val="none" w:sz="0" w:space="0" w:color="auto"/>
        <w:bottom w:val="none" w:sz="0" w:space="0" w:color="auto"/>
        <w:right w:val="none" w:sz="0" w:space="0" w:color="auto"/>
      </w:divBdr>
      <w:divsChild>
        <w:div w:id="2074698901">
          <w:marLeft w:val="0"/>
          <w:marRight w:val="0"/>
          <w:marTop w:val="0"/>
          <w:marBottom w:val="0"/>
          <w:divBdr>
            <w:top w:val="none" w:sz="0" w:space="0" w:color="auto"/>
            <w:left w:val="none" w:sz="0" w:space="0" w:color="auto"/>
            <w:bottom w:val="none" w:sz="0" w:space="0" w:color="auto"/>
            <w:right w:val="none" w:sz="0" w:space="0" w:color="auto"/>
          </w:divBdr>
          <w:divsChild>
            <w:div w:id="828523248">
              <w:marLeft w:val="0"/>
              <w:marRight w:val="0"/>
              <w:marTop w:val="0"/>
              <w:marBottom w:val="0"/>
              <w:divBdr>
                <w:top w:val="none" w:sz="0" w:space="0" w:color="auto"/>
                <w:left w:val="none" w:sz="0" w:space="0" w:color="auto"/>
                <w:bottom w:val="none" w:sz="0" w:space="0" w:color="auto"/>
                <w:right w:val="none" w:sz="0" w:space="0" w:color="auto"/>
              </w:divBdr>
              <w:divsChild>
                <w:div w:id="711073438">
                  <w:marLeft w:val="0"/>
                  <w:marRight w:val="0"/>
                  <w:marTop w:val="0"/>
                  <w:marBottom w:val="0"/>
                  <w:divBdr>
                    <w:top w:val="none" w:sz="0" w:space="0" w:color="auto"/>
                    <w:left w:val="none" w:sz="0" w:space="0" w:color="auto"/>
                    <w:bottom w:val="none" w:sz="0" w:space="0" w:color="auto"/>
                    <w:right w:val="none" w:sz="0" w:space="0" w:color="auto"/>
                  </w:divBdr>
                  <w:divsChild>
                    <w:div w:id="965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69934">
      <w:bodyDiv w:val="1"/>
      <w:marLeft w:val="0"/>
      <w:marRight w:val="0"/>
      <w:marTop w:val="0"/>
      <w:marBottom w:val="0"/>
      <w:divBdr>
        <w:top w:val="none" w:sz="0" w:space="0" w:color="auto"/>
        <w:left w:val="none" w:sz="0" w:space="0" w:color="auto"/>
        <w:bottom w:val="none" w:sz="0" w:space="0" w:color="auto"/>
        <w:right w:val="none" w:sz="0" w:space="0" w:color="auto"/>
      </w:divBdr>
      <w:divsChild>
        <w:div w:id="2147354667">
          <w:marLeft w:val="0"/>
          <w:marRight w:val="0"/>
          <w:marTop w:val="0"/>
          <w:marBottom w:val="0"/>
          <w:divBdr>
            <w:top w:val="none" w:sz="0" w:space="0" w:color="auto"/>
            <w:left w:val="none" w:sz="0" w:space="0" w:color="auto"/>
            <w:bottom w:val="none" w:sz="0" w:space="0" w:color="auto"/>
            <w:right w:val="none" w:sz="0" w:space="0" w:color="auto"/>
          </w:divBdr>
          <w:divsChild>
            <w:div w:id="1214543814">
              <w:marLeft w:val="0"/>
              <w:marRight w:val="0"/>
              <w:marTop w:val="0"/>
              <w:marBottom w:val="0"/>
              <w:divBdr>
                <w:top w:val="none" w:sz="0" w:space="0" w:color="auto"/>
                <w:left w:val="none" w:sz="0" w:space="0" w:color="auto"/>
                <w:bottom w:val="none" w:sz="0" w:space="0" w:color="auto"/>
                <w:right w:val="none" w:sz="0" w:space="0" w:color="auto"/>
              </w:divBdr>
              <w:divsChild>
                <w:div w:id="698164011">
                  <w:marLeft w:val="0"/>
                  <w:marRight w:val="0"/>
                  <w:marTop w:val="0"/>
                  <w:marBottom w:val="0"/>
                  <w:divBdr>
                    <w:top w:val="none" w:sz="0" w:space="0" w:color="auto"/>
                    <w:left w:val="none" w:sz="0" w:space="0" w:color="auto"/>
                    <w:bottom w:val="none" w:sz="0" w:space="0" w:color="auto"/>
                    <w:right w:val="none" w:sz="0" w:space="0" w:color="auto"/>
                  </w:divBdr>
                  <w:divsChild>
                    <w:div w:id="2000647314">
                      <w:marLeft w:val="0"/>
                      <w:marRight w:val="0"/>
                      <w:marTop w:val="0"/>
                      <w:marBottom w:val="0"/>
                      <w:divBdr>
                        <w:top w:val="none" w:sz="0" w:space="0" w:color="auto"/>
                        <w:left w:val="none" w:sz="0" w:space="0" w:color="auto"/>
                        <w:bottom w:val="none" w:sz="0" w:space="0" w:color="auto"/>
                        <w:right w:val="none" w:sz="0" w:space="0" w:color="auto"/>
                      </w:divBdr>
                      <w:divsChild>
                        <w:div w:id="2014919160">
                          <w:marLeft w:val="0"/>
                          <w:marRight w:val="0"/>
                          <w:marTop w:val="0"/>
                          <w:marBottom w:val="0"/>
                          <w:divBdr>
                            <w:top w:val="none" w:sz="0" w:space="0" w:color="auto"/>
                            <w:left w:val="none" w:sz="0" w:space="0" w:color="auto"/>
                            <w:bottom w:val="none" w:sz="0" w:space="0" w:color="auto"/>
                            <w:right w:val="none" w:sz="0" w:space="0" w:color="auto"/>
                          </w:divBdr>
                          <w:divsChild>
                            <w:div w:id="498153712">
                              <w:marLeft w:val="0"/>
                              <w:marRight w:val="0"/>
                              <w:marTop w:val="0"/>
                              <w:marBottom w:val="0"/>
                              <w:divBdr>
                                <w:top w:val="none" w:sz="0" w:space="0" w:color="auto"/>
                                <w:left w:val="none" w:sz="0" w:space="0" w:color="auto"/>
                                <w:bottom w:val="none" w:sz="0" w:space="0" w:color="auto"/>
                                <w:right w:val="none" w:sz="0" w:space="0" w:color="auto"/>
                              </w:divBdr>
                              <w:divsChild>
                                <w:div w:id="1283148335">
                                  <w:marLeft w:val="0"/>
                                  <w:marRight w:val="0"/>
                                  <w:marTop w:val="0"/>
                                  <w:marBottom w:val="0"/>
                                  <w:divBdr>
                                    <w:top w:val="none" w:sz="0" w:space="0" w:color="auto"/>
                                    <w:left w:val="none" w:sz="0" w:space="0" w:color="auto"/>
                                    <w:bottom w:val="none" w:sz="0" w:space="0" w:color="auto"/>
                                    <w:right w:val="none" w:sz="0" w:space="0" w:color="auto"/>
                                  </w:divBdr>
                                  <w:divsChild>
                                    <w:div w:id="555118999">
                                      <w:marLeft w:val="0"/>
                                      <w:marRight w:val="0"/>
                                      <w:marTop w:val="0"/>
                                      <w:marBottom w:val="0"/>
                                      <w:divBdr>
                                        <w:top w:val="none" w:sz="0" w:space="0" w:color="auto"/>
                                        <w:left w:val="none" w:sz="0" w:space="0" w:color="auto"/>
                                        <w:bottom w:val="none" w:sz="0" w:space="0" w:color="auto"/>
                                        <w:right w:val="none" w:sz="0" w:space="0" w:color="auto"/>
                                      </w:divBdr>
                                      <w:divsChild>
                                        <w:div w:id="481851371">
                                          <w:marLeft w:val="0"/>
                                          <w:marRight w:val="0"/>
                                          <w:marTop w:val="0"/>
                                          <w:marBottom w:val="0"/>
                                          <w:divBdr>
                                            <w:top w:val="none" w:sz="0" w:space="0" w:color="auto"/>
                                            <w:left w:val="none" w:sz="0" w:space="0" w:color="auto"/>
                                            <w:bottom w:val="none" w:sz="0" w:space="0" w:color="auto"/>
                                            <w:right w:val="none" w:sz="0" w:space="0" w:color="auto"/>
                                          </w:divBdr>
                                          <w:divsChild>
                                            <w:div w:id="1175608470">
                                              <w:marLeft w:val="0"/>
                                              <w:marRight w:val="0"/>
                                              <w:marTop w:val="0"/>
                                              <w:marBottom w:val="0"/>
                                              <w:divBdr>
                                                <w:top w:val="none" w:sz="0" w:space="0" w:color="auto"/>
                                                <w:left w:val="none" w:sz="0" w:space="0" w:color="auto"/>
                                                <w:bottom w:val="none" w:sz="0" w:space="0" w:color="auto"/>
                                                <w:right w:val="none" w:sz="0" w:space="0" w:color="auto"/>
                                              </w:divBdr>
                                              <w:divsChild>
                                                <w:div w:id="864828288">
                                                  <w:marLeft w:val="0"/>
                                                  <w:marRight w:val="0"/>
                                                  <w:marTop w:val="225"/>
                                                  <w:marBottom w:val="300"/>
                                                  <w:divBdr>
                                                    <w:top w:val="none" w:sz="0" w:space="0" w:color="auto"/>
                                                    <w:left w:val="none" w:sz="0" w:space="0" w:color="auto"/>
                                                    <w:bottom w:val="none" w:sz="0" w:space="0" w:color="auto"/>
                                                    <w:right w:val="none" w:sz="0" w:space="0" w:color="auto"/>
                                                  </w:divBdr>
                                                  <w:divsChild>
                                                    <w:div w:id="1477840815">
                                                      <w:marLeft w:val="0"/>
                                                      <w:marRight w:val="0"/>
                                                      <w:marTop w:val="0"/>
                                                      <w:marBottom w:val="30"/>
                                                      <w:divBdr>
                                                        <w:top w:val="single" w:sz="6" w:space="0" w:color="E5E5E5"/>
                                                        <w:left w:val="single" w:sz="6" w:space="0" w:color="E5E5E5"/>
                                                        <w:bottom w:val="single" w:sz="6" w:space="0" w:color="E5E5E5"/>
                                                        <w:right w:val="single" w:sz="6" w:space="0" w:color="E5E5E5"/>
                                                      </w:divBdr>
                                                      <w:divsChild>
                                                        <w:div w:id="254560443">
                                                          <w:marLeft w:val="0"/>
                                                          <w:marRight w:val="0"/>
                                                          <w:marTop w:val="0"/>
                                                          <w:marBottom w:val="0"/>
                                                          <w:divBdr>
                                                            <w:top w:val="none" w:sz="0" w:space="0" w:color="auto"/>
                                                            <w:left w:val="none" w:sz="0" w:space="0" w:color="auto"/>
                                                            <w:bottom w:val="none" w:sz="0" w:space="0" w:color="auto"/>
                                                            <w:right w:val="none" w:sz="0" w:space="0" w:color="auto"/>
                                                          </w:divBdr>
                                                          <w:divsChild>
                                                            <w:div w:id="744645816">
                                                              <w:marLeft w:val="0"/>
                                                              <w:marRight w:val="0"/>
                                                              <w:marTop w:val="0"/>
                                                              <w:marBottom w:val="0"/>
                                                              <w:divBdr>
                                                                <w:top w:val="single" w:sz="6" w:space="7" w:color="E5E5E5"/>
                                                                <w:left w:val="none" w:sz="0" w:space="0" w:color="auto"/>
                                                                <w:bottom w:val="none" w:sz="0" w:space="0" w:color="auto"/>
                                                                <w:right w:val="none" w:sz="0" w:space="0" w:color="auto"/>
                                                              </w:divBdr>
                                                            </w:div>
                                                          </w:divsChild>
                                                        </w:div>
                                                        <w:div w:id="793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091907">
      <w:bodyDiv w:val="1"/>
      <w:marLeft w:val="0"/>
      <w:marRight w:val="0"/>
      <w:marTop w:val="0"/>
      <w:marBottom w:val="0"/>
      <w:divBdr>
        <w:top w:val="none" w:sz="0" w:space="0" w:color="auto"/>
        <w:left w:val="none" w:sz="0" w:space="0" w:color="auto"/>
        <w:bottom w:val="none" w:sz="0" w:space="0" w:color="auto"/>
        <w:right w:val="none" w:sz="0" w:space="0" w:color="auto"/>
      </w:divBdr>
      <w:divsChild>
        <w:div w:id="2084834707">
          <w:marLeft w:val="0"/>
          <w:marRight w:val="0"/>
          <w:marTop w:val="0"/>
          <w:marBottom w:val="0"/>
          <w:divBdr>
            <w:top w:val="none" w:sz="0" w:space="0" w:color="auto"/>
            <w:left w:val="none" w:sz="0" w:space="0" w:color="auto"/>
            <w:bottom w:val="none" w:sz="0" w:space="0" w:color="auto"/>
            <w:right w:val="none" w:sz="0" w:space="0" w:color="auto"/>
          </w:divBdr>
          <w:divsChild>
            <w:div w:id="1727143237">
              <w:marLeft w:val="0"/>
              <w:marRight w:val="0"/>
              <w:marTop w:val="0"/>
              <w:marBottom w:val="0"/>
              <w:divBdr>
                <w:top w:val="none" w:sz="0" w:space="0" w:color="auto"/>
                <w:left w:val="none" w:sz="0" w:space="0" w:color="auto"/>
                <w:bottom w:val="none" w:sz="0" w:space="0" w:color="auto"/>
                <w:right w:val="none" w:sz="0" w:space="0" w:color="auto"/>
              </w:divBdr>
              <w:divsChild>
                <w:div w:id="1434277243">
                  <w:marLeft w:val="0"/>
                  <w:marRight w:val="0"/>
                  <w:marTop w:val="0"/>
                  <w:marBottom w:val="0"/>
                  <w:divBdr>
                    <w:top w:val="none" w:sz="0" w:space="0" w:color="auto"/>
                    <w:left w:val="none" w:sz="0" w:space="0" w:color="auto"/>
                    <w:bottom w:val="none" w:sz="0" w:space="0" w:color="auto"/>
                    <w:right w:val="none" w:sz="0" w:space="0" w:color="auto"/>
                  </w:divBdr>
                  <w:divsChild>
                    <w:div w:id="705066511">
                      <w:marLeft w:val="0"/>
                      <w:marRight w:val="0"/>
                      <w:marTop w:val="0"/>
                      <w:marBottom w:val="0"/>
                      <w:divBdr>
                        <w:top w:val="none" w:sz="0" w:space="0" w:color="auto"/>
                        <w:left w:val="none" w:sz="0" w:space="0" w:color="auto"/>
                        <w:bottom w:val="none" w:sz="0" w:space="0" w:color="auto"/>
                        <w:right w:val="none" w:sz="0" w:space="0" w:color="auto"/>
                      </w:divBdr>
                      <w:divsChild>
                        <w:div w:id="1113328035">
                          <w:marLeft w:val="0"/>
                          <w:marRight w:val="0"/>
                          <w:marTop w:val="0"/>
                          <w:marBottom w:val="0"/>
                          <w:divBdr>
                            <w:top w:val="none" w:sz="0" w:space="0" w:color="auto"/>
                            <w:left w:val="none" w:sz="0" w:space="0" w:color="auto"/>
                            <w:bottom w:val="none" w:sz="0" w:space="0" w:color="auto"/>
                            <w:right w:val="none" w:sz="0" w:space="0" w:color="auto"/>
                          </w:divBdr>
                          <w:divsChild>
                            <w:div w:id="1716194370">
                              <w:marLeft w:val="0"/>
                              <w:marRight w:val="0"/>
                              <w:marTop w:val="0"/>
                              <w:marBottom w:val="0"/>
                              <w:divBdr>
                                <w:top w:val="none" w:sz="0" w:space="0" w:color="auto"/>
                                <w:left w:val="none" w:sz="0" w:space="0" w:color="auto"/>
                                <w:bottom w:val="none" w:sz="0" w:space="0" w:color="auto"/>
                                <w:right w:val="none" w:sz="0" w:space="0" w:color="auto"/>
                              </w:divBdr>
                              <w:divsChild>
                                <w:div w:id="1648702350">
                                  <w:marLeft w:val="0"/>
                                  <w:marRight w:val="0"/>
                                  <w:marTop w:val="0"/>
                                  <w:marBottom w:val="0"/>
                                  <w:divBdr>
                                    <w:top w:val="none" w:sz="0" w:space="0" w:color="auto"/>
                                    <w:left w:val="none" w:sz="0" w:space="0" w:color="auto"/>
                                    <w:bottom w:val="none" w:sz="0" w:space="0" w:color="auto"/>
                                    <w:right w:val="none" w:sz="0" w:space="0" w:color="auto"/>
                                  </w:divBdr>
                                  <w:divsChild>
                                    <w:div w:id="1999920804">
                                      <w:marLeft w:val="0"/>
                                      <w:marRight w:val="0"/>
                                      <w:marTop w:val="0"/>
                                      <w:marBottom w:val="0"/>
                                      <w:divBdr>
                                        <w:top w:val="none" w:sz="0" w:space="0" w:color="auto"/>
                                        <w:left w:val="none" w:sz="0" w:space="0" w:color="auto"/>
                                        <w:bottom w:val="none" w:sz="0" w:space="0" w:color="auto"/>
                                        <w:right w:val="none" w:sz="0" w:space="0" w:color="auto"/>
                                      </w:divBdr>
                                      <w:divsChild>
                                        <w:div w:id="1858035318">
                                          <w:marLeft w:val="0"/>
                                          <w:marRight w:val="0"/>
                                          <w:marTop w:val="0"/>
                                          <w:marBottom w:val="0"/>
                                          <w:divBdr>
                                            <w:top w:val="none" w:sz="0" w:space="0" w:color="auto"/>
                                            <w:left w:val="none" w:sz="0" w:space="0" w:color="auto"/>
                                            <w:bottom w:val="none" w:sz="0" w:space="0" w:color="auto"/>
                                            <w:right w:val="none" w:sz="0" w:space="0" w:color="auto"/>
                                          </w:divBdr>
                                          <w:divsChild>
                                            <w:div w:id="30347678">
                                              <w:marLeft w:val="0"/>
                                              <w:marRight w:val="0"/>
                                              <w:marTop w:val="0"/>
                                              <w:marBottom w:val="0"/>
                                              <w:divBdr>
                                                <w:top w:val="none" w:sz="0" w:space="0" w:color="auto"/>
                                                <w:left w:val="none" w:sz="0" w:space="0" w:color="auto"/>
                                                <w:bottom w:val="none" w:sz="0" w:space="0" w:color="auto"/>
                                                <w:right w:val="none" w:sz="0" w:space="0" w:color="auto"/>
                                              </w:divBdr>
                                              <w:divsChild>
                                                <w:div w:id="1192375967">
                                                  <w:marLeft w:val="0"/>
                                                  <w:marRight w:val="0"/>
                                                  <w:marTop w:val="225"/>
                                                  <w:marBottom w:val="300"/>
                                                  <w:divBdr>
                                                    <w:top w:val="none" w:sz="0" w:space="0" w:color="auto"/>
                                                    <w:left w:val="none" w:sz="0" w:space="0" w:color="auto"/>
                                                    <w:bottom w:val="none" w:sz="0" w:space="0" w:color="auto"/>
                                                    <w:right w:val="none" w:sz="0" w:space="0" w:color="auto"/>
                                                  </w:divBdr>
                                                  <w:divsChild>
                                                    <w:div w:id="231278788">
                                                      <w:marLeft w:val="0"/>
                                                      <w:marRight w:val="0"/>
                                                      <w:marTop w:val="0"/>
                                                      <w:marBottom w:val="30"/>
                                                      <w:divBdr>
                                                        <w:top w:val="single" w:sz="6" w:space="0" w:color="E5E5E5"/>
                                                        <w:left w:val="single" w:sz="6" w:space="0" w:color="E5E5E5"/>
                                                        <w:bottom w:val="single" w:sz="6" w:space="0" w:color="E5E5E5"/>
                                                        <w:right w:val="single" w:sz="6" w:space="0" w:color="E5E5E5"/>
                                                      </w:divBdr>
                                                      <w:divsChild>
                                                        <w:div w:id="1319070075">
                                                          <w:marLeft w:val="0"/>
                                                          <w:marRight w:val="0"/>
                                                          <w:marTop w:val="0"/>
                                                          <w:marBottom w:val="0"/>
                                                          <w:divBdr>
                                                            <w:top w:val="none" w:sz="0" w:space="0" w:color="auto"/>
                                                            <w:left w:val="none" w:sz="0" w:space="0" w:color="auto"/>
                                                            <w:bottom w:val="none" w:sz="0" w:space="0" w:color="auto"/>
                                                            <w:right w:val="none" w:sz="0" w:space="0" w:color="auto"/>
                                                          </w:divBdr>
                                                        </w:div>
                                                        <w:div w:id="1541628725">
                                                          <w:marLeft w:val="0"/>
                                                          <w:marRight w:val="0"/>
                                                          <w:marTop w:val="0"/>
                                                          <w:marBottom w:val="0"/>
                                                          <w:divBdr>
                                                            <w:top w:val="none" w:sz="0" w:space="0" w:color="auto"/>
                                                            <w:left w:val="none" w:sz="0" w:space="0" w:color="auto"/>
                                                            <w:bottom w:val="none" w:sz="0" w:space="0" w:color="auto"/>
                                                            <w:right w:val="none" w:sz="0" w:space="0" w:color="auto"/>
                                                          </w:divBdr>
                                                          <w:divsChild>
                                                            <w:div w:id="106136578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442099">
      <w:bodyDiv w:val="1"/>
      <w:marLeft w:val="0"/>
      <w:marRight w:val="0"/>
      <w:marTop w:val="0"/>
      <w:marBottom w:val="0"/>
      <w:divBdr>
        <w:top w:val="none" w:sz="0" w:space="0" w:color="auto"/>
        <w:left w:val="none" w:sz="0" w:space="0" w:color="auto"/>
        <w:bottom w:val="none" w:sz="0" w:space="0" w:color="auto"/>
        <w:right w:val="none" w:sz="0" w:space="0" w:color="auto"/>
      </w:divBdr>
      <w:divsChild>
        <w:div w:id="317080713">
          <w:marLeft w:val="0"/>
          <w:marRight w:val="0"/>
          <w:marTop w:val="0"/>
          <w:marBottom w:val="0"/>
          <w:divBdr>
            <w:top w:val="none" w:sz="0" w:space="0" w:color="auto"/>
            <w:left w:val="none" w:sz="0" w:space="0" w:color="auto"/>
            <w:bottom w:val="none" w:sz="0" w:space="0" w:color="auto"/>
            <w:right w:val="none" w:sz="0" w:space="0" w:color="auto"/>
          </w:divBdr>
          <w:divsChild>
            <w:div w:id="1759056531">
              <w:marLeft w:val="0"/>
              <w:marRight w:val="0"/>
              <w:marTop w:val="0"/>
              <w:marBottom w:val="0"/>
              <w:divBdr>
                <w:top w:val="none" w:sz="0" w:space="0" w:color="auto"/>
                <w:left w:val="none" w:sz="0" w:space="0" w:color="auto"/>
                <w:bottom w:val="none" w:sz="0" w:space="0" w:color="auto"/>
                <w:right w:val="none" w:sz="0" w:space="0" w:color="auto"/>
              </w:divBdr>
              <w:divsChild>
                <w:div w:id="1973092455">
                  <w:marLeft w:val="0"/>
                  <w:marRight w:val="0"/>
                  <w:marTop w:val="0"/>
                  <w:marBottom w:val="0"/>
                  <w:divBdr>
                    <w:top w:val="none" w:sz="0" w:space="0" w:color="auto"/>
                    <w:left w:val="none" w:sz="0" w:space="0" w:color="auto"/>
                    <w:bottom w:val="none" w:sz="0" w:space="0" w:color="auto"/>
                    <w:right w:val="none" w:sz="0" w:space="0" w:color="auto"/>
                  </w:divBdr>
                  <w:divsChild>
                    <w:div w:id="67190218">
                      <w:marLeft w:val="0"/>
                      <w:marRight w:val="0"/>
                      <w:marTop w:val="0"/>
                      <w:marBottom w:val="0"/>
                      <w:divBdr>
                        <w:top w:val="none" w:sz="0" w:space="0" w:color="auto"/>
                        <w:left w:val="none" w:sz="0" w:space="0" w:color="auto"/>
                        <w:bottom w:val="none" w:sz="0" w:space="0" w:color="auto"/>
                        <w:right w:val="none" w:sz="0" w:space="0" w:color="auto"/>
                      </w:divBdr>
                      <w:divsChild>
                        <w:div w:id="2057460949">
                          <w:marLeft w:val="0"/>
                          <w:marRight w:val="0"/>
                          <w:marTop w:val="0"/>
                          <w:marBottom w:val="0"/>
                          <w:divBdr>
                            <w:top w:val="none" w:sz="0" w:space="0" w:color="auto"/>
                            <w:left w:val="none" w:sz="0" w:space="0" w:color="auto"/>
                            <w:bottom w:val="none" w:sz="0" w:space="0" w:color="auto"/>
                            <w:right w:val="none" w:sz="0" w:space="0" w:color="auto"/>
                          </w:divBdr>
                          <w:divsChild>
                            <w:div w:id="1062559363">
                              <w:marLeft w:val="0"/>
                              <w:marRight w:val="0"/>
                              <w:marTop w:val="0"/>
                              <w:marBottom w:val="0"/>
                              <w:divBdr>
                                <w:top w:val="none" w:sz="0" w:space="0" w:color="auto"/>
                                <w:left w:val="none" w:sz="0" w:space="0" w:color="auto"/>
                                <w:bottom w:val="none" w:sz="0" w:space="0" w:color="auto"/>
                                <w:right w:val="none" w:sz="0" w:space="0" w:color="auto"/>
                              </w:divBdr>
                              <w:divsChild>
                                <w:div w:id="1351102986">
                                  <w:marLeft w:val="0"/>
                                  <w:marRight w:val="0"/>
                                  <w:marTop w:val="0"/>
                                  <w:marBottom w:val="0"/>
                                  <w:divBdr>
                                    <w:top w:val="none" w:sz="0" w:space="0" w:color="auto"/>
                                    <w:left w:val="none" w:sz="0" w:space="0" w:color="auto"/>
                                    <w:bottom w:val="none" w:sz="0" w:space="0" w:color="auto"/>
                                    <w:right w:val="none" w:sz="0" w:space="0" w:color="auto"/>
                                  </w:divBdr>
                                  <w:divsChild>
                                    <w:div w:id="1759132918">
                                      <w:marLeft w:val="0"/>
                                      <w:marRight w:val="0"/>
                                      <w:marTop w:val="0"/>
                                      <w:marBottom w:val="0"/>
                                      <w:divBdr>
                                        <w:top w:val="none" w:sz="0" w:space="0" w:color="auto"/>
                                        <w:left w:val="none" w:sz="0" w:space="0" w:color="auto"/>
                                        <w:bottom w:val="none" w:sz="0" w:space="0" w:color="auto"/>
                                        <w:right w:val="none" w:sz="0" w:space="0" w:color="auto"/>
                                      </w:divBdr>
                                      <w:divsChild>
                                        <w:div w:id="604701185">
                                          <w:marLeft w:val="0"/>
                                          <w:marRight w:val="0"/>
                                          <w:marTop w:val="0"/>
                                          <w:marBottom w:val="0"/>
                                          <w:divBdr>
                                            <w:top w:val="none" w:sz="0" w:space="0" w:color="auto"/>
                                            <w:left w:val="none" w:sz="0" w:space="0" w:color="auto"/>
                                            <w:bottom w:val="none" w:sz="0" w:space="0" w:color="auto"/>
                                            <w:right w:val="none" w:sz="0" w:space="0" w:color="auto"/>
                                          </w:divBdr>
                                          <w:divsChild>
                                            <w:div w:id="882984856">
                                              <w:marLeft w:val="0"/>
                                              <w:marRight w:val="0"/>
                                              <w:marTop w:val="0"/>
                                              <w:marBottom w:val="0"/>
                                              <w:divBdr>
                                                <w:top w:val="none" w:sz="0" w:space="0" w:color="auto"/>
                                                <w:left w:val="none" w:sz="0" w:space="0" w:color="auto"/>
                                                <w:bottom w:val="none" w:sz="0" w:space="0" w:color="auto"/>
                                                <w:right w:val="none" w:sz="0" w:space="0" w:color="auto"/>
                                              </w:divBdr>
                                              <w:divsChild>
                                                <w:div w:id="902957171">
                                                  <w:marLeft w:val="0"/>
                                                  <w:marRight w:val="0"/>
                                                  <w:marTop w:val="225"/>
                                                  <w:marBottom w:val="300"/>
                                                  <w:divBdr>
                                                    <w:top w:val="none" w:sz="0" w:space="0" w:color="auto"/>
                                                    <w:left w:val="none" w:sz="0" w:space="0" w:color="auto"/>
                                                    <w:bottom w:val="none" w:sz="0" w:space="0" w:color="auto"/>
                                                    <w:right w:val="none" w:sz="0" w:space="0" w:color="auto"/>
                                                  </w:divBdr>
                                                  <w:divsChild>
                                                    <w:div w:id="838691655">
                                                      <w:marLeft w:val="0"/>
                                                      <w:marRight w:val="0"/>
                                                      <w:marTop w:val="0"/>
                                                      <w:marBottom w:val="30"/>
                                                      <w:divBdr>
                                                        <w:top w:val="single" w:sz="6" w:space="0" w:color="E5E5E5"/>
                                                        <w:left w:val="single" w:sz="6" w:space="0" w:color="E5E5E5"/>
                                                        <w:bottom w:val="single" w:sz="6" w:space="0" w:color="E5E5E5"/>
                                                        <w:right w:val="single" w:sz="6" w:space="0" w:color="E5E5E5"/>
                                                      </w:divBdr>
                                                      <w:divsChild>
                                                        <w:div w:id="202326839">
                                                          <w:marLeft w:val="0"/>
                                                          <w:marRight w:val="0"/>
                                                          <w:marTop w:val="0"/>
                                                          <w:marBottom w:val="0"/>
                                                          <w:divBdr>
                                                            <w:top w:val="none" w:sz="0" w:space="0" w:color="auto"/>
                                                            <w:left w:val="none" w:sz="0" w:space="0" w:color="auto"/>
                                                            <w:bottom w:val="none" w:sz="0" w:space="0" w:color="auto"/>
                                                            <w:right w:val="none" w:sz="0" w:space="0" w:color="auto"/>
                                                          </w:divBdr>
                                                          <w:divsChild>
                                                            <w:div w:id="1623999977">
                                                              <w:marLeft w:val="0"/>
                                                              <w:marRight w:val="0"/>
                                                              <w:marTop w:val="0"/>
                                                              <w:marBottom w:val="0"/>
                                                              <w:divBdr>
                                                                <w:top w:val="single" w:sz="6" w:space="7" w:color="E5E5E5"/>
                                                                <w:left w:val="none" w:sz="0" w:space="0" w:color="auto"/>
                                                                <w:bottom w:val="none" w:sz="0" w:space="0" w:color="auto"/>
                                                                <w:right w:val="none" w:sz="0" w:space="0" w:color="auto"/>
                                                              </w:divBdr>
                                                            </w:div>
                                                          </w:divsChild>
                                                        </w:div>
                                                        <w:div w:id="13617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874466">
      <w:bodyDiv w:val="1"/>
      <w:marLeft w:val="0"/>
      <w:marRight w:val="0"/>
      <w:marTop w:val="0"/>
      <w:marBottom w:val="0"/>
      <w:divBdr>
        <w:top w:val="none" w:sz="0" w:space="0" w:color="auto"/>
        <w:left w:val="none" w:sz="0" w:space="0" w:color="auto"/>
        <w:bottom w:val="none" w:sz="0" w:space="0" w:color="auto"/>
        <w:right w:val="none" w:sz="0" w:space="0" w:color="auto"/>
      </w:divBdr>
      <w:divsChild>
        <w:div w:id="144276067">
          <w:marLeft w:val="0"/>
          <w:marRight w:val="0"/>
          <w:marTop w:val="0"/>
          <w:marBottom w:val="0"/>
          <w:divBdr>
            <w:top w:val="none" w:sz="0" w:space="0" w:color="auto"/>
            <w:left w:val="none" w:sz="0" w:space="0" w:color="auto"/>
            <w:bottom w:val="none" w:sz="0" w:space="0" w:color="auto"/>
            <w:right w:val="none" w:sz="0" w:space="0" w:color="auto"/>
          </w:divBdr>
          <w:divsChild>
            <w:div w:id="780105109">
              <w:marLeft w:val="0"/>
              <w:marRight w:val="0"/>
              <w:marTop w:val="0"/>
              <w:marBottom w:val="0"/>
              <w:divBdr>
                <w:top w:val="none" w:sz="0" w:space="0" w:color="auto"/>
                <w:left w:val="none" w:sz="0" w:space="0" w:color="auto"/>
                <w:bottom w:val="none" w:sz="0" w:space="0" w:color="auto"/>
                <w:right w:val="none" w:sz="0" w:space="0" w:color="auto"/>
              </w:divBdr>
              <w:divsChild>
                <w:div w:id="60442477">
                  <w:marLeft w:val="0"/>
                  <w:marRight w:val="0"/>
                  <w:marTop w:val="0"/>
                  <w:marBottom w:val="0"/>
                  <w:divBdr>
                    <w:top w:val="none" w:sz="0" w:space="0" w:color="auto"/>
                    <w:left w:val="none" w:sz="0" w:space="0" w:color="auto"/>
                    <w:bottom w:val="none" w:sz="0" w:space="0" w:color="auto"/>
                    <w:right w:val="none" w:sz="0" w:space="0" w:color="auto"/>
                  </w:divBdr>
                  <w:divsChild>
                    <w:div w:id="21116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20642">
      <w:bodyDiv w:val="1"/>
      <w:marLeft w:val="0"/>
      <w:marRight w:val="0"/>
      <w:marTop w:val="0"/>
      <w:marBottom w:val="0"/>
      <w:divBdr>
        <w:top w:val="none" w:sz="0" w:space="0" w:color="auto"/>
        <w:left w:val="none" w:sz="0" w:space="0" w:color="auto"/>
        <w:bottom w:val="none" w:sz="0" w:space="0" w:color="auto"/>
        <w:right w:val="none" w:sz="0" w:space="0" w:color="auto"/>
      </w:divBdr>
      <w:divsChild>
        <w:div w:id="707950896">
          <w:marLeft w:val="0"/>
          <w:marRight w:val="0"/>
          <w:marTop w:val="0"/>
          <w:marBottom w:val="0"/>
          <w:divBdr>
            <w:top w:val="none" w:sz="0" w:space="0" w:color="auto"/>
            <w:left w:val="none" w:sz="0" w:space="0" w:color="auto"/>
            <w:bottom w:val="none" w:sz="0" w:space="0" w:color="auto"/>
            <w:right w:val="none" w:sz="0" w:space="0" w:color="auto"/>
          </w:divBdr>
          <w:divsChild>
            <w:div w:id="363940420">
              <w:marLeft w:val="0"/>
              <w:marRight w:val="0"/>
              <w:marTop w:val="0"/>
              <w:marBottom w:val="0"/>
              <w:divBdr>
                <w:top w:val="none" w:sz="0" w:space="0" w:color="auto"/>
                <w:left w:val="none" w:sz="0" w:space="0" w:color="auto"/>
                <w:bottom w:val="none" w:sz="0" w:space="0" w:color="auto"/>
                <w:right w:val="none" w:sz="0" w:space="0" w:color="auto"/>
              </w:divBdr>
              <w:divsChild>
                <w:div w:id="250436371">
                  <w:marLeft w:val="0"/>
                  <w:marRight w:val="0"/>
                  <w:marTop w:val="0"/>
                  <w:marBottom w:val="0"/>
                  <w:divBdr>
                    <w:top w:val="none" w:sz="0" w:space="0" w:color="auto"/>
                    <w:left w:val="none" w:sz="0" w:space="0" w:color="auto"/>
                    <w:bottom w:val="none" w:sz="0" w:space="0" w:color="auto"/>
                    <w:right w:val="none" w:sz="0" w:space="0" w:color="auto"/>
                  </w:divBdr>
                  <w:divsChild>
                    <w:div w:id="9439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50069">
      <w:bodyDiv w:val="1"/>
      <w:marLeft w:val="0"/>
      <w:marRight w:val="0"/>
      <w:marTop w:val="0"/>
      <w:marBottom w:val="0"/>
      <w:divBdr>
        <w:top w:val="none" w:sz="0" w:space="0" w:color="auto"/>
        <w:left w:val="none" w:sz="0" w:space="0" w:color="auto"/>
        <w:bottom w:val="none" w:sz="0" w:space="0" w:color="auto"/>
        <w:right w:val="none" w:sz="0" w:space="0" w:color="auto"/>
      </w:divBdr>
      <w:divsChild>
        <w:div w:id="1259829095">
          <w:marLeft w:val="0"/>
          <w:marRight w:val="0"/>
          <w:marTop w:val="0"/>
          <w:marBottom w:val="0"/>
          <w:divBdr>
            <w:top w:val="none" w:sz="0" w:space="0" w:color="auto"/>
            <w:left w:val="none" w:sz="0" w:space="0" w:color="auto"/>
            <w:bottom w:val="none" w:sz="0" w:space="0" w:color="auto"/>
            <w:right w:val="none" w:sz="0" w:space="0" w:color="auto"/>
          </w:divBdr>
          <w:divsChild>
            <w:div w:id="1740052614">
              <w:marLeft w:val="0"/>
              <w:marRight w:val="0"/>
              <w:marTop w:val="0"/>
              <w:marBottom w:val="0"/>
              <w:divBdr>
                <w:top w:val="none" w:sz="0" w:space="0" w:color="auto"/>
                <w:left w:val="none" w:sz="0" w:space="0" w:color="auto"/>
                <w:bottom w:val="none" w:sz="0" w:space="0" w:color="auto"/>
                <w:right w:val="none" w:sz="0" w:space="0" w:color="auto"/>
              </w:divBdr>
              <w:divsChild>
                <w:div w:id="1232303562">
                  <w:marLeft w:val="0"/>
                  <w:marRight w:val="0"/>
                  <w:marTop w:val="0"/>
                  <w:marBottom w:val="0"/>
                  <w:divBdr>
                    <w:top w:val="none" w:sz="0" w:space="0" w:color="auto"/>
                    <w:left w:val="none" w:sz="0" w:space="0" w:color="auto"/>
                    <w:bottom w:val="none" w:sz="0" w:space="0" w:color="auto"/>
                    <w:right w:val="none" w:sz="0" w:space="0" w:color="auto"/>
                  </w:divBdr>
                  <w:divsChild>
                    <w:div w:id="658576070">
                      <w:marLeft w:val="0"/>
                      <w:marRight w:val="0"/>
                      <w:marTop w:val="0"/>
                      <w:marBottom w:val="0"/>
                      <w:divBdr>
                        <w:top w:val="none" w:sz="0" w:space="0" w:color="auto"/>
                        <w:left w:val="none" w:sz="0" w:space="0" w:color="auto"/>
                        <w:bottom w:val="none" w:sz="0" w:space="0" w:color="auto"/>
                        <w:right w:val="none" w:sz="0" w:space="0" w:color="auto"/>
                      </w:divBdr>
                      <w:divsChild>
                        <w:div w:id="169292901">
                          <w:marLeft w:val="0"/>
                          <w:marRight w:val="0"/>
                          <w:marTop w:val="0"/>
                          <w:marBottom w:val="0"/>
                          <w:divBdr>
                            <w:top w:val="none" w:sz="0" w:space="0" w:color="auto"/>
                            <w:left w:val="none" w:sz="0" w:space="0" w:color="auto"/>
                            <w:bottom w:val="none" w:sz="0" w:space="0" w:color="auto"/>
                            <w:right w:val="none" w:sz="0" w:space="0" w:color="auto"/>
                          </w:divBdr>
                          <w:divsChild>
                            <w:div w:id="1462118366">
                              <w:marLeft w:val="0"/>
                              <w:marRight w:val="0"/>
                              <w:marTop w:val="0"/>
                              <w:marBottom w:val="0"/>
                              <w:divBdr>
                                <w:top w:val="none" w:sz="0" w:space="0" w:color="auto"/>
                                <w:left w:val="none" w:sz="0" w:space="0" w:color="auto"/>
                                <w:bottom w:val="none" w:sz="0" w:space="0" w:color="auto"/>
                                <w:right w:val="none" w:sz="0" w:space="0" w:color="auto"/>
                              </w:divBdr>
                              <w:divsChild>
                                <w:div w:id="1602371944">
                                  <w:marLeft w:val="0"/>
                                  <w:marRight w:val="0"/>
                                  <w:marTop w:val="0"/>
                                  <w:marBottom w:val="0"/>
                                  <w:divBdr>
                                    <w:top w:val="none" w:sz="0" w:space="0" w:color="auto"/>
                                    <w:left w:val="none" w:sz="0" w:space="0" w:color="auto"/>
                                    <w:bottom w:val="none" w:sz="0" w:space="0" w:color="auto"/>
                                    <w:right w:val="none" w:sz="0" w:space="0" w:color="auto"/>
                                  </w:divBdr>
                                  <w:divsChild>
                                    <w:div w:id="747658656">
                                      <w:marLeft w:val="0"/>
                                      <w:marRight w:val="0"/>
                                      <w:marTop w:val="0"/>
                                      <w:marBottom w:val="0"/>
                                      <w:divBdr>
                                        <w:top w:val="none" w:sz="0" w:space="0" w:color="auto"/>
                                        <w:left w:val="none" w:sz="0" w:space="0" w:color="auto"/>
                                        <w:bottom w:val="none" w:sz="0" w:space="0" w:color="auto"/>
                                        <w:right w:val="none" w:sz="0" w:space="0" w:color="auto"/>
                                      </w:divBdr>
                                      <w:divsChild>
                                        <w:div w:id="323047517">
                                          <w:marLeft w:val="0"/>
                                          <w:marRight w:val="0"/>
                                          <w:marTop w:val="0"/>
                                          <w:marBottom w:val="0"/>
                                          <w:divBdr>
                                            <w:top w:val="none" w:sz="0" w:space="0" w:color="auto"/>
                                            <w:left w:val="none" w:sz="0" w:space="0" w:color="auto"/>
                                            <w:bottom w:val="none" w:sz="0" w:space="0" w:color="auto"/>
                                            <w:right w:val="none" w:sz="0" w:space="0" w:color="auto"/>
                                          </w:divBdr>
                                          <w:divsChild>
                                            <w:div w:id="1689525614">
                                              <w:marLeft w:val="0"/>
                                              <w:marRight w:val="0"/>
                                              <w:marTop w:val="0"/>
                                              <w:marBottom w:val="0"/>
                                              <w:divBdr>
                                                <w:top w:val="none" w:sz="0" w:space="0" w:color="auto"/>
                                                <w:left w:val="none" w:sz="0" w:space="0" w:color="auto"/>
                                                <w:bottom w:val="none" w:sz="0" w:space="0" w:color="auto"/>
                                                <w:right w:val="none" w:sz="0" w:space="0" w:color="auto"/>
                                              </w:divBdr>
                                              <w:divsChild>
                                                <w:div w:id="2123302675">
                                                  <w:marLeft w:val="0"/>
                                                  <w:marRight w:val="0"/>
                                                  <w:marTop w:val="225"/>
                                                  <w:marBottom w:val="300"/>
                                                  <w:divBdr>
                                                    <w:top w:val="none" w:sz="0" w:space="0" w:color="auto"/>
                                                    <w:left w:val="none" w:sz="0" w:space="0" w:color="auto"/>
                                                    <w:bottom w:val="none" w:sz="0" w:space="0" w:color="auto"/>
                                                    <w:right w:val="none" w:sz="0" w:space="0" w:color="auto"/>
                                                  </w:divBdr>
                                                  <w:divsChild>
                                                    <w:div w:id="1532179910">
                                                      <w:marLeft w:val="0"/>
                                                      <w:marRight w:val="0"/>
                                                      <w:marTop w:val="0"/>
                                                      <w:marBottom w:val="30"/>
                                                      <w:divBdr>
                                                        <w:top w:val="single" w:sz="6" w:space="0" w:color="E5E5E5"/>
                                                        <w:left w:val="single" w:sz="6" w:space="0" w:color="E5E5E5"/>
                                                        <w:bottom w:val="single" w:sz="6" w:space="0" w:color="E5E5E5"/>
                                                        <w:right w:val="single" w:sz="6" w:space="0" w:color="E5E5E5"/>
                                                      </w:divBdr>
                                                      <w:divsChild>
                                                        <w:div w:id="1498350918">
                                                          <w:marLeft w:val="0"/>
                                                          <w:marRight w:val="0"/>
                                                          <w:marTop w:val="0"/>
                                                          <w:marBottom w:val="0"/>
                                                          <w:divBdr>
                                                            <w:top w:val="none" w:sz="0" w:space="0" w:color="auto"/>
                                                            <w:left w:val="none" w:sz="0" w:space="0" w:color="auto"/>
                                                            <w:bottom w:val="none" w:sz="0" w:space="0" w:color="auto"/>
                                                            <w:right w:val="none" w:sz="0" w:space="0" w:color="auto"/>
                                                          </w:divBdr>
                                                          <w:divsChild>
                                                            <w:div w:id="815679505">
                                                              <w:marLeft w:val="0"/>
                                                              <w:marRight w:val="0"/>
                                                              <w:marTop w:val="0"/>
                                                              <w:marBottom w:val="0"/>
                                                              <w:divBdr>
                                                                <w:top w:val="single" w:sz="6" w:space="7" w:color="E5E5E5"/>
                                                                <w:left w:val="none" w:sz="0" w:space="0" w:color="auto"/>
                                                                <w:bottom w:val="none" w:sz="0" w:space="0" w:color="auto"/>
                                                                <w:right w:val="none" w:sz="0" w:space="0" w:color="auto"/>
                                                              </w:divBdr>
                                                            </w:div>
                                                          </w:divsChild>
                                                        </w:div>
                                                        <w:div w:id="17341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804556">
      <w:bodyDiv w:val="1"/>
      <w:marLeft w:val="0"/>
      <w:marRight w:val="0"/>
      <w:marTop w:val="0"/>
      <w:marBottom w:val="0"/>
      <w:divBdr>
        <w:top w:val="none" w:sz="0" w:space="0" w:color="auto"/>
        <w:left w:val="none" w:sz="0" w:space="0" w:color="auto"/>
        <w:bottom w:val="none" w:sz="0" w:space="0" w:color="auto"/>
        <w:right w:val="none" w:sz="0" w:space="0" w:color="auto"/>
      </w:divBdr>
      <w:divsChild>
        <w:div w:id="874997910">
          <w:marLeft w:val="0"/>
          <w:marRight w:val="0"/>
          <w:marTop w:val="0"/>
          <w:marBottom w:val="0"/>
          <w:divBdr>
            <w:top w:val="none" w:sz="0" w:space="0" w:color="auto"/>
            <w:left w:val="none" w:sz="0" w:space="0" w:color="auto"/>
            <w:bottom w:val="none" w:sz="0" w:space="0" w:color="auto"/>
            <w:right w:val="none" w:sz="0" w:space="0" w:color="auto"/>
          </w:divBdr>
          <w:divsChild>
            <w:div w:id="137841974">
              <w:marLeft w:val="0"/>
              <w:marRight w:val="0"/>
              <w:marTop w:val="0"/>
              <w:marBottom w:val="0"/>
              <w:divBdr>
                <w:top w:val="none" w:sz="0" w:space="0" w:color="auto"/>
                <w:left w:val="none" w:sz="0" w:space="0" w:color="auto"/>
                <w:bottom w:val="none" w:sz="0" w:space="0" w:color="auto"/>
                <w:right w:val="none" w:sz="0" w:space="0" w:color="auto"/>
              </w:divBdr>
              <w:divsChild>
                <w:div w:id="1380737688">
                  <w:marLeft w:val="0"/>
                  <w:marRight w:val="0"/>
                  <w:marTop w:val="0"/>
                  <w:marBottom w:val="0"/>
                  <w:divBdr>
                    <w:top w:val="none" w:sz="0" w:space="0" w:color="auto"/>
                    <w:left w:val="none" w:sz="0" w:space="0" w:color="auto"/>
                    <w:bottom w:val="none" w:sz="0" w:space="0" w:color="auto"/>
                    <w:right w:val="none" w:sz="0" w:space="0" w:color="auto"/>
                  </w:divBdr>
                  <w:divsChild>
                    <w:div w:id="1902905293">
                      <w:marLeft w:val="0"/>
                      <w:marRight w:val="0"/>
                      <w:marTop w:val="0"/>
                      <w:marBottom w:val="0"/>
                      <w:divBdr>
                        <w:top w:val="none" w:sz="0" w:space="0" w:color="auto"/>
                        <w:left w:val="none" w:sz="0" w:space="0" w:color="auto"/>
                        <w:bottom w:val="none" w:sz="0" w:space="0" w:color="auto"/>
                        <w:right w:val="none" w:sz="0" w:space="0" w:color="auto"/>
                      </w:divBdr>
                      <w:divsChild>
                        <w:div w:id="206452883">
                          <w:marLeft w:val="0"/>
                          <w:marRight w:val="0"/>
                          <w:marTop w:val="0"/>
                          <w:marBottom w:val="0"/>
                          <w:divBdr>
                            <w:top w:val="none" w:sz="0" w:space="0" w:color="auto"/>
                            <w:left w:val="none" w:sz="0" w:space="0" w:color="auto"/>
                            <w:bottom w:val="none" w:sz="0" w:space="0" w:color="auto"/>
                            <w:right w:val="none" w:sz="0" w:space="0" w:color="auto"/>
                          </w:divBdr>
                          <w:divsChild>
                            <w:div w:id="1975670340">
                              <w:marLeft w:val="0"/>
                              <w:marRight w:val="0"/>
                              <w:marTop w:val="0"/>
                              <w:marBottom w:val="0"/>
                              <w:divBdr>
                                <w:top w:val="none" w:sz="0" w:space="0" w:color="auto"/>
                                <w:left w:val="none" w:sz="0" w:space="0" w:color="auto"/>
                                <w:bottom w:val="none" w:sz="0" w:space="0" w:color="auto"/>
                                <w:right w:val="none" w:sz="0" w:space="0" w:color="auto"/>
                              </w:divBdr>
                              <w:divsChild>
                                <w:div w:id="102725343">
                                  <w:marLeft w:val="0"/>
                                  <w:marRight w:val="0"/>
                                  <w:marTop w:val="0"/>
                                  <w:marBottom w:val="0"/>
                                  <w:divBdr>
                                    <w:top w:val="none" w:sz="0" w:space="0" w:color="auto"/>
                                    <w:left w:val="none" w:sz="0" w:space="0" w:color="auto"/>
                                    <w:bottom w:val="none" w:sz="0" w:space="0" w:color="auto"/>
                                    <w:right w:val="none" w:sz="0" w:space="0" w:color="auto"/>
                                  </w:divBdr>
                                  <w:divsChild>
                                    <w:div w:id="1415276368">
                                      <w:marLeft w:val="0"/>
                                      <w:marRight w:val="0"/>
                                      <w:marTop w:val="0"/>
                                      <w:marBottom w:val="0"/>
                                      <w:divBdr>
                                        <w:top w:val="none" w:sz="0" w:space="0" w:color="auto"/>
                                        <w:left w:val="none" w:sz="0" w:space="0" w:color="auto"/>
                                        <w:bottom w:val="none" w:sz="0" w:space="0" w:color="auto"/>
                                        <w:right w:val="none" w:sz="0" w:space="0" w:color="auto"/>
                                      </w:divBdr>
                                      <w:divsChild>
                                        <w:div w:id="711078150">
                                          <w:marLeft w:val="0"/>
                                          <w:marRight w:val="0"/>
                                          <w:marTop w:val="0"/>
                                          <w:marBottom w:val="0"/>
                                          <w:divBdr>
                                            <w:top w:val="none" w:sz="0" w:space="0" w:color="auto"/>
                                            <w:left w:val="none" w:sz="0" w:space="0" w:color="auto"/>
                                            <w:bottom w:val="none" w:sz="0" w:space="0" w:color="auto"/>
                                            <w:right w:val="none" w:sz="0" w:space="0" w:color="auto"/>
                                          </w:divBdr>
                                          <w:divsChild>
                                            <w:div w:id="1096485838">
                                              <w:marLeft w:val="0"/>
                                              <w:marRight w:val="0"/>
                                              <w:marTop w:val="0"/>
                                              <w:marBottom w:val="0"/>
                                              <w:divBdr>
                                                <w:top w:val="none" w:sz="0" w:space="0" w:color="auto"/>
                                                <w:left w:val="none" w:sz="0" w:space="0" w:color="auto"/>
                                                <w:bottom w:val="none" w:sz="0" w:space="0" w:color="auto"/>
                                                <w:right w:val="none" w:sz="0" w:space="0" w:color="auto"/>
                                              </w:divBdr>
                                              <w:divsChild>
                                                <w:div w:id="1094595537">
                                                  <w:marLeft w:val="0"/>
                                                  <w:marRight w:val="0"/>
                                                  <w:marTop w:val="0"/>
                                                  <w:marBottom w:val="0"/>
                                                  <w:divBdr>
                                                    <w:top w:val="none" w:sz="0" w:space="0" w:color="auto"/>
                                                    <w:left w:val="none" w:sz="0" w:space="0" w:color="auto"/>
                                                    <w:bottom w:val="none" w:sz="0" w:space="0" w:color="auto"/>
                                                    <w:right w:val="none" w:sz="0" w:space="0" w:color="auto"/>
                                                  </w:divBdr>
                                                </w:div>
                                                <w:div w:id="15521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4789">
      <w:bodyDiv w:val="1"/>
      <w:marLeft w:val="0"/>
      <w:marRight w:val="0"/>
      <w:marTop w:val="0"/>
      <w:marBottom w:val="0"/>
      <w:divBdr>
        <w:top w:val="none" w:sz="0" w:space="0" w:color="auto"/>
        <w:left w:val="none" w:sz="0" w:space="0" w:color="auto"/>
        <w:bottom w:val="none" w:sz="0" w:space="0" w:color="auto"/>
        <w:right w:val="none" w:sz="0" w:space="0" w:color="auto"/>
      </w:divBdr>
      <w:divsChild>
        <w:div w:id="543442921">
          <w:marLeft w:val="0"/>
          <w:marRight w:val="0"/>
          <w:marTop w:val="0"/>
          <w:marBottom w:val="0"/>
          <w:divBdr>
            <w:top w:val="none" w:sz="0" w:space="0" w:color="auto"/>
            <w:left w:val="none" w:sz="0" w:space="0" w:color="auto"/>
            <w:bottom w:val="none" w:sz="0" w:space="0" w:color="auto"/>
            <w:right w:val="none" w:sz="0" w:space="0" w:color="auto"/>
          </w:divBdr>
          <w:divsChild>
            <w:div w:id="514730588">
              <w:marLeft w:val="0"/>
              <w:marRight w:val="0"/>
              <w:marTop w:val="0"/>
              <w:marBottom w:val="0"/>
              <w:divBdr>
                <w:top w:val="none" w:sz="0" w:space="0" w:color="auto"/>
                <w:left w:val="none" w:sz="0" w:space="0" w:color="auto"/>
                <w:bottom w:val="none" w:sz="0" w:space="0" w:color="auto"/>
                <w:right w:val="none" w:sz="0" w:space="0" w:color="auto"/>
              </w:divBdr>
              <w:divsChild>
                <w:div w:id="413286539">
                  <w:marLeft w:val="0"/>
                  <w:marRight w:val="0"/>
                  <w:marTop w:val="0"/>
                  <w:marBottom w:val="0"/>
                  <w:divBdr>
                    <w:top w:val="none" w:sz="0" w:space="0" w:color="auto"/>
                    <w:left w:val="none" w:sz="0" w:space="0" w:color="auto"/>
                    <w:bottom w:val="none" w:sz="0" w:space="0" w:color="auto"/>
                    <w:right w:val="none" w:sz="0" w:space="0" w:color="auto"/>
                  </w:divBdr>
                  <w:divsChild>
                    <w:div w:id="1311206408">
                      <w:marLeft w:val="0"/>
                      <w:marRight w:val="0"/>
                      <w:marTop w:val="0"/>
                      <w:marBottom w:val="0"/>
                      <w:divBdr>
                        <w:top w:val="none" w:sz="0" w:space="0" w:color="auto"/>
                        <w:left w:val="none" w:sz="0" w:space="0" w:color="auto"/>
                        <w:bottom w:val="none" w:sz="0" w:space="0" w:color="auto"/>
                        <w:right w:val="none" w:sz="0" w:space="0" w:color="auto"/>
                      </w:divBdr>
                      <w:divsChild>
                        <w:div w:id="1983389753">
                          <w:marLeft w:val="0"/>
                          <w:marRight w:val="0"/>
                          <w:marTop w:val="0"/>
                          <w:marBottom w:val="0"/>
                          <w:divBdr>
                            <w:top w:val="none" w:sz="0" w:space="0" w:color="auto"/>
                            <w:left w:val="none" w:sz="0" w:space="0" w:color="auto"/>
                            <w:bottom w:val="none" w:sz="0" w:space="0" w:color="auto"/>
                            <w:right w:val="none" w:sz="0" w:space="0" w:color="auto"/>
                          </w:divBdr>
                          <w:divsChild>
                            <w:div w:id="1663461423">
                              <w:marLeft w:val="0"/>
                              <w:marRight w:val="0"/>
                              <w:marTop w:val="0"/>
                              <w:marBottom w:val="0"/>
                              <w:divBdr>
                                <w:top w:val="none" w:sz="0" w:space="0" w:color="auto"/>
                                <w:left w:val="none" w:sz="0" w:space="0" w:color="auto"/>
                                <w:bottom w:val="none" w:sz="0" w:space="0" w:color="auto"/>
                                <w:right w:val="none" w:sz="0" w:space="0" w:color="auto"/>
                              </w:divBdr>
                              <w:divsChild>
                                <w:div w:id="1437939578">
                                  <w:marLeft w:val="0"/>
                                  <w:marRight w:val="0"/>
                                  <w:marTop w:val="0"/>
                                  <w:marBottom w:val="0"/>
                                  <w:divBdr>
                                    <w:top w:val="none" w:sz="0" w:space="0" w:color="auto"/>
                                    <w:left w:val="none" w:sz="0" w:space="0" w:color="auto"/>
                                    <w:bottom w:val="none" w:sz="0" w:space="0" w:color="auto"/>
                                    <w:right w:val="none" w:sz="0" w:space="0" w:color="auto"/>
                                  </w:divBdr>
                                  <w:divsChild>
                                    <w:div w:id="1709914041">
                                      <w:marLeft w:val="0"/>
                                      <w:marRight w:val="0"/>
                                      <w:marTop w:val="0"/>
                                      <w:marBottom w:val="0"/>
                                      <w:divBdr>
                                        <w:top w:val="none" w:sz="0" w:space="0" w:color="auto"/>
                                        <w:left w:val="none" w:sz="0" w:space="0" w:color="auto"/>
                                        <w:bottom w:val="none" w:sz="0" w:space="0" w:color="auto"/>
                                        <w:right w:val="none" w:sz="0" w:space="0" w:color="auto"/>
                                      </w:divBdr>
                                      <w:divsChild>
                                        <w:div w:id="161504992">
                                          <w:marLeft w:val="0"/>
                                          <w:marRight w:val="0"/>
                                          <w:marTop w:val="0"/>
                                          <w:marBottom w:val="0"/>
                                          <w:divBdr>
                                            <w:top w:val="none" w:sz="0" w:space="0" w:color="auto"/>
                                            <w:left w:val="none" w:sz="0" w:space="0" w:color="auto"/>
                                            <w:bottom w:val="none" w:sz="0" w:space="0" w:color="auto"/>
                                            <w:right w:val="none" w:sz="0" w:space="0" w:color="auto"/>
                                          </w:divBdr>
                                          <w:divsChild>
                                            <w:div w:id="1476222075">
                                              <w:marLeft w:val="0"/>
                                              <w:marRight w:val="0"/>
                                              <w:marTop w:val="0"/>
                                              <w:marBottom w:val="0"/>
                                              <w:divBdr>
                                                <w:top w:val="none" w:sz="0" w:space="0" w:color="auto"/>
                                                <w:left w:val="none" w:sz="0" w:space="0" w:color="auto"/>
                                                <w:bottom w:val="none" w:sz="0" w:space="0" w:color="auto"/>
                                                <w:right w:val="none" w:sz="0" w:space="0" w:color="auto"/>
                                              </w:divBdr>
                                              <w:divsChild>
                                                <w:div w:id="1014914894">
                                                  <w:marLeft w:val="0"/>
                                                  <w:marRight w:val="0"/>
                                                  <w:marTop w:val="225"/>
                                                  <w:marBottom w:val="300"/>
                                                  <w:divBdr>
                                                    <w:top w:val="none" w:sz="0" w:space="0" w:color="auto"/>
                                                    <w:left w:val="none" w:sz="0" w:space="0" w:color="auto"/>
                                                    <w:bottom w:val="none" w:sz="0" w:space="0" w:color="auto"/>
                                                    <w:right w:val="none" w:sz="0" w:space="0" w:color="auto"/>
                                                  </w:divBdr>
                                                  <w:divsChild>
                                                    <w:div w:id="768812303">
                                                      <w:marLeft w:val="0"/>
                                                      <w:marRight w:val="0"/>
                                                      <w:marTop w:val="0"/>
                                                      <w:marBottom w:val="30"/>
                                                      <w:divBdr>
                                                        <w:top w:val="single" w:sz="6" w:space="0" w:color="E5E5E5"/>
                                                        <w:left w:val="single" w:sz="6" w:space="0" w:color="E5E5E5"/>
                                                        <w:bottom w:val="single" w:sz="6" w:space="0" w:color="E5E5E5"/>
                                                        <w:right w:val="single" w:sz="6" w:space="0" w:color="E5E5E5"/>
                                                      </w:divBdr>
                                                      <w:divsChild>
                                                        <w:div w:id="881671864">
                                                          <w:marLeft w:val="0"/>
                                                          <w:marRight w:val="0"/>
                                                          <w:marTop w:val="0"/>
                                                          <w:marBottom w:val="0"/>
                                                          <w:divBdr>
                                                            <w:top w:val="none" w:sz="0" w:space="0" w:color="auto"/>
                                                            <w:left w:val="none" w:sz="0" w:space="0" w:color="auto"/>
                                                            <w:bottom w:val="none" w:sz="0" w:space="0" w:color="auto"/>
                                                            <w:right w:val="none" w:sz="0" w:space="0" w:color="auto"/>
                                                          </w:divBdr>
                                                          <w:divsChild>
                                                            <w:div w:id="2524768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008721">
      <w:bodyDiv w:val="1"/>
      <w:marLeft w:val="0"/>
      <w:marRight w:val="0"/>
      <w:marTop w:val="0"/>
      <w:marBottom w:val="0"/>
      <w:divBdr>
        <w:top w:val="none" w:sz="0" w:space="0" w:color="auto"/>
        <w:left w:val="none" w:sz="0" w:space="0" w:color="auto"/>
        <w:bottom w:val="none" w:sz="0" w:space="0" w:color="auto"/>
        <w:right w:val="none" w:sz="0" w:space="0" w:color="auto"/>
      </w:divBdr>
      <w:divsChild>
        <w:div w:id="2103140454">
          <w:marLeft w:val="0"/>
          <w:marRight w:val="0"/>
          <w:marTop w:val="0"/>
          <w:marBottom w:val="0"/>
          <w:divBdr>
            <w:top w:val="none" w:sz="0" w:space="0" w:color="auto"/>
            <w:left w:val="none" w:sz="0" w:space="0" w:color="auto"/>
            <w:bottom w:val="none" w:sz="0" w:space="0" w:color="auto"/>
            <w:right w:val="none" w:sz="0" w:space="0" w:color="auto"/>
          </w:divBdr>
          <w:divsChild>
            <w:div w:id="1178616990">
              <w:marLeft w:val="0"/>
              <w:marRight w:val="0"/>
              <w:marTop w:val="0"/>
              <w:marBottom w:val="0"/>
              <w:divBdr>
                <w:top w:val="none" w:sz="0" w:space="0" w:color="auto"/>
                <w:left w:val="none" w:sz="0" w:space="0" w:color="auto"/>
                <w:bottom w:val="none" w:sz="0" w:space="0" w:color="auto"/>
                <w:right w:val="none" w:sz="0" w:space="0" w:color="auto"/>
              </w:divBdr>
              <w:divsChild>
                <w:div w:id="706685753">
                  <w:marLeft w:val="0"/>
                  <w:marRight w:val="0"/>
                  <w:marTop w:val="0"/>
                  <w:marBottom w:val="0"/>
                  <w:divBdr>
                    <w:top w:val="none" w:sz="0" w:space="0" w:color="auto"/>
                    <w:left w:val="none" w:sz="0" w:space="0" w:color="auto"/>
                    <w:bottom w:val="none" w:sz="0" w:space="0" w:color="auto"/>
                    <w:right w:val="none" w:sz="0" w:space="0" w:color="auto"/>
                  </w:divBdr>
                  <w:divsChild>
                    <w:div w:id="89786313">
                      <w:marLeft w:val="0"/>
                      <w:marRight w:val="0"/>
                      <w:marTop w:val="0"/>
                      <w:marBottom w:val="0"/>
                      <w:divBdr>
                        <w:top w:val="none" w:sz="0" w:space="0" w:color="auto"/>
                        <w:left w:val="none" w:sz="0" w:space="0" w:color="auto"/>
                        <w:bottom w:val="none" w:sz="0" w:space="0" w:color="auto"/>
                        <w:right w:val="none" w:sz="0" w:space="0" w:color="auto"/>
                      </w:divBdr>
                      <w:divsChild>
                        <w:div w:id="575938479">
                          <w:marLeft w:val="0"/>
                          <w:marRight w:val="0"/>
                          <w:marTop w:val="0"/>
                          <w:marBottom w:val="0"/>
                          <w:divBdr>
                            <w:top w:val="none" w:sz="0" w:space="0" w:color="auto"/>
                            <w:left w:val="none" w:sz="0" w:space="0" w:color="auto"/>
                            <w:bottom w:val="none" w:sz="0" w:space="0" w:color="auto"/>
                            <w:right w:val="none" w:sz="0" w:space="0" w:color="auto"/>
                          </w:divBdr>
                          <w:divsChild>
                            <w:div w:id="1347512071">
                              <w:marLeft w:val="0"/>
                              <w:marRight w:val="0"/>
                              <w:marTop w:val="0"/>
                              <w:marBottom w:val="0"/>
                              <w:divBdr>
                                <w:top w:val="none" w:sz="0" w:space="0" w:color="auto"/>
                                <w:left w:val="none" w:sz="0" w:space="0" w:color="auto"/>
                                <w:bottom w:val="none" w:sz="0" w:space="0" w:color="auto"/>
                                <w:right w:val="none" w:sz="0" w:space="0" w:color="auto"/>
                              </w:divBdr>
                              <w:divsChild>
                                <w:div w:id="387459634">
                                  <w:marLeft w:val="0"/>
                                  <w:marRight w:val="0"/>
                                  <w:marTop w:val="0"/>
                                  <w:marBottom w:val="0"/>
                                  <w:divBdr>
                                    <w:top w:val="none" w:sz="0" w:space="0" w:color="auto"/>
                                    <w:left w:val="none" w:sz="0" w:space="0" w:color="auto"/>
                                    <w:bottom w:val="none" w:sz="0" w:space="0" w:color="auto"/>
                                    <w:right w:val="none" w:sz="0" w:space="0" w:color="auto"/>
                                  </w:divBdr>
                                  <w:divsChild>
                                    <w:div w:id="1250891635">
                                      <w:marLeft w:val="0"/>
                                      <w:marRight w:val="0"/>
                                      <w:marTop w:val="0"/>
                                      <w:marBottom w:val="0"/>
                                      <w:divBdr>
                                        <w:top w:val="none" w:sz="0" w:space="0" w:color="auto"/>
                                        <w:left w:val="none" w:sz="0" w:space="0" w:color="auto"/>
                                        <w:bottom w:val="none" w:sz="0" w:space="0" w:color="auto"/>
                                        <w:right w:val="none" w:sz="0" w:space="0" w:color="auto"/>
                                      </w:divBdr>
                                      <w:divsChild>
                                        <w:div w:id="2137553900">
                                          <w:marLeft w:val="0"/>
                                          <w:marRight w:val="0"/>
                                          <w:marTop w:val="0"/>
                                          <w:marBottom w:val="0"/>
                                          <w:divBdr>
                                            <w:top w:val="none" w:sz="0" w:space="0" w:color="auto"/>
                                            <w:left w:val="none" w:sz="0" w:space="0" w:color="auto"/>
                                            <w:bottom w:val="none" w:sz="0" w:space="0" w:color="auto"/>
                                            <w:right w:val="none" w:sz="0" w:space="0" w:color="auto"/>
                                          </w:divBdr>
                                          <w:divsChild>
                                            <w:div w:id="1266309029">
                                              <w:marLeft w:val="0"/>
                                              <w:marRight w:val="0"/>
                                              <w:marTop w:val="0"/>
                                              <w:marBottom w:val="0"/>
                                              <w:divBdr>
                                                <w:top w:val="none" w:sz="0" w:space="0" w:color="auto"/>
                                                <w:left w:val="none" w:sz="0" w:space="0" w:color="auto"/>
                                                <w:bottom w:val="none" w:sz="0" w:space="0" w:color="auto"/>
                                                <w:right w:val="none" w:sz="0" w:space="0" w:color="auto"/>
                                              </w:divBdr>
                                              <w:divsChild>
                                                <w:div w:id="61561968">
                                                  <w:marLeft w:val="0"/>
                                                  <w:marRight w:val="0"/>
                                                  <w:marTop w:val="225"/>
                                                  <w:marBottom w:val="300"/>
                                                  <w:divBdr>
                                                    <w:top w:val="none" w:sz="0" w:space="0" w:color="auto"/>
                                                    <w:left w:val="none" w:sz="0" w:space="0" w:color="auto"/>
                                                    <w:bottom w:val="none" w:sz="0" w:space="0" w:color="auto"/>
                                                    <w:right w:val="none" w:sz="0" w:space="0" w:color="auto"/>
                                                  </w:divBdr>
                                                  <w:divsChild>
                                                    <w:div w:id="1376738797">
                                                      <w:marLeft w:val="0"/>
                                                      <w:marRight w:val="0"/>
                                                      <w:marTop w:val="0"/>
                                                      <w:marBottom w:val="30"/>
                                                      <w:divBdr>
                                                        <w:top w:val="single" w:sz="6" w:space="0" w:color="E5E5E5"/>
                                                        <w:left w:val="single" w:sz="6" w:space="0" w:color="E5E5E5"/>
                                                        <w:bottom w:val="single" w:sz="6" w:space="0" w:color="E5E5E5"/>
                                                        <w:right w:val="single" w:sz="6" w:space="0" w:color="E5E5E5"/>
                                                      </w:divBdr>
                                                      <w:divsChild>
                                                        <w:div w:id="423694201">
                                                          <w:marLeft w:val="0"/>
                                                          <w:marRight w:val="0"/>
                                                          <w:marTop w:val="0"/>
                                                          <w:marBottom w:val="0"/>
                                                          <w:divBdr>
                                                            <w:top w:val="none" w:sz="0" w:space="0" w:color="auto"/>
                                                            <w:left w:val="none" w:sz="0" w:space="0" w:color="auto"/>
                                                            <w:bottom w:val="none" w:sz="0" w:space="0" w:color="auto"/>
                                                            <w:right w:val="none" w:sz="0" w:space="0" w:color="auto"/>
                                                          </w:divBdr>
                                                        </w:div>
                                                        <w:div w:id="2049602116">
                                                          <w:marLeft w:val="0"/>
                                                          <w:marRight w:val="0"/>
                                                          <w:marTop w:val="0"/>
                                                          <w:marBottom w:val="0"/>
                                                          <w:divBdr>
                                                            <w:top w:val="none" w:sz="0" w:space="0" w:color="auto"/>
                                                            <w:left w:val="none" w:sz="0" w:space="0" w:color="auto"/>
                                                            <w:bottom w:val="none" w:sz="0" w:space="0" w:color="auto"/>
                                                            <w:right w:val="none" w:sz="0" w:space="0" w:color="auto"/>
                                                          </w:divBdr>
                                                          <w:divsChild>
                                                            <w:div w:id="10845695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797886">
      <w:bodyDiv w:val="1"/>
      <w:marLeft w:val="0"/>
      <w:marRight w:val="0"/>
      <w:marTop w:val="0"/>
      <w:marBottom w:val="0"/>
      <w:divBdr>
        <w:top w:val="none" w:sz="0" w:space="0" w:color="auto"/>
        <w:left w:val="none" w:sz="0" w:space="0" w:color="auto"/>
        <w:bottom w:val="none" w:sz="0" w:space="0" w:color="auto"/>
        <w:right w:val="none" w:sz="0" w:space="0" w:color="auto"/>
      </w:divBdr>
      <w:divsChild>
        <w:div w:id="1031228390">
          <w:marLeft w:val="0"/>
          <w:marRight w:val="0"/>
          <w:marTop w:val="0"/>
          <w:marBottom w:val="0"/>
          <w:divBdr>
            <w:top w:val="none" w:sz="0" w:space="0" w:color="auto"/>
            <w:left w:val="none" w:sz="0" w:space="0" w:color="auto"/>
            <w:bottom w:val="none" w:sz="0" w:space="0" w:color="auto"/>
            <w:right w:val="none" w:sz="0" w:space="0" w:color="auto"/>
          </w:divBdr>
          <w:divsChild>
            <w:div w:id="669870382">
              <w:marLeft w:val="0"/>
              <w:marRight w:val="0"/>
              <w:marTop w:val="0"/>
              <w:marBottom w:val="0"/>
              <w:divBdr>
                <w:top w:val="none" w:sz="0" w:space="0" w:color="auto"/>
                <w:left w:val="none" w:sz="0" w:space="0" w:color="auto"/>
                <w:bottom w:val="none" w:sz="0" w:space="0" w:color="auto"/>
                <w:right w:val="none" w:sz="0" w:space="0" w:color="auto"/>
              </w:divBdr>
              <w:divsChild>
                <w:div w:id="1098015879">
                  <w:marLeft w:val="0"/>
                  <w:marRight w:val="0"/>
                  <w:marTop w:val="0"/>
                  <w:marBottom w:val="0"/>
                  <w:divBdr>
                    <w:top w:val="none" w:sz="0" w:space="0" w:color="auto"/>
                    <w:left w:val="none" w:sz="0" w:space="0" w:color="auto"/>
                    <w:bottom w:val="none" w:sz="0" w:space="0" w:color="auto"/>
                    <w:right w:val="none" w:sz="0" w:space="0" w:color="auto"/>
                  </w:divBdr>
                  <w:divsChild>
                    <w:div w:id="76099746">
                      <w:marLeft w:val="0"/>
                      <w:marRight w:val="0"/>
                      <w:marTop w:val="0"/>
                      <w:marBottom w:val="0"/>
                      <w:divBdr>
                        <w:top w:val="none" w:sz="0" w:space="0" w:color="auto"/>
                        <w:left w:val="none" w:sz="0" w:space="0" w:color="auto"/>
                        <w:bottom w:val="none" w:sz="0" w:space="0" w:color="auto"/>
                        <w:right w:val="none" w:sz="0" w:space="0" w:color="auto"/>
                      </w:divBdr>
                      <w:divsChild>
                        <w:div w:id="1840122500">
                          <w:marLeft w:val="0"/>
                          <w:marRight w:val="0"/>
                          <w:marTop w:val="0"/>
                          <w:marBottom w:val="0"/>
                          <w:divBdr>
                            <w:top w:val="none" w:sz="0" w:space="0" w:color="auto"/>
                            <w:left w:val="none" w:sz="0" w:space="0" w:color="auto"/>
                            <w:bottom w:val="none" w:sz="0" w:space="0" w:color="auto"/>
                            <w:right w:val="none" w:sz="0" w:space="0" w:color="auto"/>
                          </w:divBdr>
                          <w:divsChild>
                            <w:div w:id="75520406">
                              <w:marLeft w:val="0"/>
                              <w:marRight w:val="0"/>
                              <w:marTop w:val="0"/>
                              <w:marBottom w:val="0"/>
                              <w:divBdr>
                                <w:top w:val="none" w:sz="0" w:space="0" w:color="auto"/>
                                <w:left w:val="none" w:sz="0" w:space="0" w:color="auto"/>
                                <w:bottom w:val="none" w:sz="0" w:space="0" w:color="auto"/>
                                <w:right w:val="none" w:sz="0" w:space="0" w:color="auto"/>
                              </w:divBdr>
                              <w:divsChild>
                                <w:div w:id="1787042281">
                                  <w:marLeft w:val="0"/>
                                  <w:marRight w:val="0"/>
                                  <w:marTop w:val="0"/>
                                  <w:marBottom w:val="0"/>
                                  <w:divBdr>
                                    <w:top w:val="none" w:sz="0" w:space="0" w:color="auto"/>
                                    <w:left w:val="none" w:sz="0" w:space="0" w:color="auto"/>
                                    <w:bottom w:val="none" w:sz="0" w:space="0" w:color="auto"/>
                                    <w:right w:val="none" w:sz="0" w:space="0" w:color="auto"/>
                                  </w:divBdr>
                                  <w:divsChild>
                                    <w:div w:id="617835440">
                                      <w:marLeft w:val="0"/>
                                      <w:marRight w:val="0"/>
                                      <w:marTop w:val="0"/>
                                      <w:marBottom w:val="0"/>
                                      <w:divBdr>
                                        <w:top w:val="none" w:sz="0" w:space="0" w:color="auto"/>
                                        <w:left w:val="none" w:sz="0" w:space="0" w:color="auto"/>
                                        <w:bottom w:val="none" w:sz="0" w:space="0" w:color="auto"/>
                                        <w:right w:val="none" w:sz="0" w:space="0" w:color="auto"/>
                                      </w:divBdr>
                                      <w:divsChild>
                                        <w:div w:id="1536194573">
                                          <w:marLeft w:val="0"/>
                                          <w:marRight w:val="0"/>
                                          <w:marTop w:val="0"/>
                                          <w:marBottom w:val="0"/>
                                          <w:divBdr>
                                            <w:top w:val="none" w:sz="0" w:space="0" w:color="auto"/>
                                            <w:left w:val="none" w:sz="0" w:space="0" w:color="auto"/>
                                            <w:bottom w:val="none" w:sz="0" w:space="0" w:color="auto"/>
                                            <w:right w:val="none" w:sz="0" w:space="0" w:color="auto"/>
                                          </w:divBdr>
                                          <w:divsChild>
                                            <w:div w:id="1485858258">
                                              <w:marLeft w:val="0"/>
                                              <w:marRight w:val="0"/>
                                              <w:marTop w:val="0"/>
                                              <w:marBottom w:val="0"/>
                                              <w:divBdr>
                                                <w:top w:val="none" w:sz="0" w:space="0" w:color="auto"/>
                                                <w:left w:val="none" w:sz="0" w:space="0" w:color="auto"/>
                                                <w:bottom w:val="none" w:sz="0" w:space="0" w:color="auto"/>
                                                <w:right w:val="none" w:sz="0" w:space="0" w:color="auto"/>
                                              </w:divBdr>
                                              <w:divsChild>
                                                <w:div w:id="2116247794">
                                                  <w:marLeft w:val="0"/>
                                                  <w:marRight w:val="0"/>
                                                  <w:marTop w:val="225"/>
                                                  <w:marBottom w:val="300"/>
                                                  <w:divBdr>
                                                    <w:top w:val="none" w:sz="0" w:space="0" w:color="auto"/>
                                                    <w:left w:val="none" w:sz="0" w:space="0" w:color="auto"/>
                                                    <w:bottom w:val="none" w:sz="0" w:space="0" w:color="auto"/>
                                                    <w:right w:val="none" w:sz="0" w:space="0" w:color="auto"/>
                                                  </w:divBdr>
                                                  <w:divsChild>
                                                    <w:div w:id="1405373545">
                                                      <w:marLeft w:val="0"/>
                                                      <w:marRight w:val="0"/>
                                                      <w:marTop w:val="0"/>
                                                      <w:marBottom w:val="30"/>
                                                      <w:divBdr>
                                                        <w:top w:val="single" w:sz="6" w:space="0" w:color="E5E5E5"/>
                                                        <w:left w:val="single" w:sz="6" w:space="0" w:color="E5E5E5"/>
                                                        <w:bottom w:val="single" w:sz="6" w:space="0" w:color="E5E5E5"/>
                                                        <w:right w:val="single" w:sz="6" w:space="0" w:color="E5E5E5"/>
                                                      </w:divBdr>
                                                      <w:divsChild>
                                                        <w:div w:id="1588879145">
                                                          <w:marLeft w:val="0"/>
                                                          <w:marRight w:val="0"/>
                                                          <w:marTop w:val="0"/>
                                                          <w:marBottom w:val="0"/>
                                                          <w:divBdr>
                                                            <w:top w:val="none" w:sz="0" w:space="0" w:color="auto"/>
                                                            <w:left w:val="none" w:sz="0" w:space="0" w:color="auto"/>
                                                            <w:bottom w:val="none" w:sz="0" w:space="0" w:color="auto"/>
                                                            <w:right w:val="none" w:sz="0" w:space="0" w:color="auto"/>
                                                          </w:divBdr>
                                                          <w:divsChild>
                                                            <w:div w:id="1238057401">
                                                              <w:marLeft w:val="0"/>
                                                              <w:marRight w:val="0"/>
                                                              <w:marTop w:val="0"/>
                                                              <w:marBottom w:val="0"/>
                                                              <w:divBdr>
                                                                <w:top w:val="single" w:sz="6" w:space="7" w:color="E5E5E5"/>
                                                                <w:left w:val="none" w:sz="0" w:space="0" w:color="auto"/>
                                                                <w:bottom w:val="none" w:sz="0" w:space="0" w:color="auto"/>
                                                                <w:right w:val="none" w:sz="0" w:space="0" w:color="auto"/>
                                                              </w:divBdr>
                                                            </w:div>
                                                          </w:divsChild>
                                                        </w:div>
                                                        <w:div w:id="17938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607741">
      <w:bodyDiv w:val="1"/>
      <w:marLeft w:val="0"/>
      <w:marRight w:val="0"/>
      <w:marTop w:val="0"/>
      <w:marBottom w:val="0"/>
      <w:divBdr>
        <w:top w:val="none" w:sz="0" w:space="0" w:color="auto"/>
        <w:left w:val="none" w:sz="0" w:space="0" w:color="auto"/>
        <w:bottom w:val="none" w:sz="0" w:space="0" w:color="auto"/>
        <w:right w:val="none" w:sz="0" w:space="0" w:color="auto"/>
      </w:divBdr>
      <w:divsChild>
        <w:div w:id="1781752247">
          <w:marLeft w:val="0"/>
          <w:marRight w:val="0"/>
          <w:marTop w:val="0"/>
          <w:marBottom w:val="0"/>
          <w:divBdr>
            <w:top w:val="none" w:sz="0" w:space="0" w:color="auto"/>
            <w:left w:val="none" w:sz="0" w:space="0" w:color="auto"/>
            <w:bottom w:val="none" w:sz="0" w:space="0" w:color="auto"/>
            <w:right w:val="none" w:sz="0" w:space="0" w:color="auto"/>
          </w:divBdr>
          <w:divsChild>
            <w:div w:id="750784632">
              <w:marLeft w:val="0"/>
              <w:marRight w:val="0"/>
              <w:marTop w:val="0"/>
              <w:marBottom w:val="0"/>
              <w:divBdr>
                <w:top w:val="none" w:sz="0" w:space="0" w:color="auto"/>
                <w:left w:val="none" w:sz="0" w:space="0" w:color="auto"/>
                <w:bottom w:val="none" w:sz="0" w:space="0" w:color="auto"/>
                <w:right w:val="none" w:sz="0" w:space="0" w:color="auto"/>
              </w:divBdr>
              <w:divsChild>
                <w:div w:id="1823084266">
                  <w:marLeft w:val="0"/>
                  <w:marRight w:val="0"/>
                  <w:marTop w:val="0"/>
                  <w:marBottom w:val="0"/>
                  <w:divBdr>
                    <w:top w:val="none" w:sz="0" w:space="0" w:color="auto"/>
                    <w:left w:val="none" w:sz="0" w:space="0" w:color="auto"/>
                    <w:bottom w:val="none" w:sz="0" w:space="0" w:color="auto"/>
                    <w:right w:val="none" w:sz="0" w:space="0" w:color="auto"/>
                  </w:divBdr>
                  <w:divsChild>
                    <w:div w:id="1991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18982">
      <w:bodyDiv w:val="1"/>
      <w:marLeft w:val="0"/>
      <w:marRight w:val="0"/>
      <w:marTop w:val="0"/>
      <w:marBottom w:val="0"/>
      <w:divBdr>
        <w:top w:val="none" w:sz="0" w:space="0" w:color="auto"/>
        <w:left w:val="none" w:sz="0" w:space="0" w:color="auto"/>
        <w:bottom w:val="none" w:sz="0" w:space="0" w:color="auto"/>
        <w:right w:val="none" w:sz="0" w:space="0" w:color="auto"/>
      </w:divBdr>
      <w:divsChild>
        <w:div w:id="1766537362">
          <w:marLeft w:val="0"/>
          <w:marRight w:val="0"/>
          <w:marTop w:val="0"/>
          <w:marBottom w:val="0"/>
          <w:divBdr>
            <w:top w:val="none" w:sz="0" w:space="0" w:color="auto"/>
            <w:left w:val="none" w:sz="0" w:space="0" w:color="auto"/>
            <w:bottom w:val="none" w:sz="0" w:space="0" w:color="auto"/>
            <w:right w:val="none" w:sz="0" w:space="0" w:color="auto"/>
          </w:divBdr>
          <w:divsChild>
            <w:div w:id="1625622698">
              <w:marLeft w:val="0"/>
              <w:marRight w:val="0"/>
              <w:marTop w:val="0"/>
              <w:marBottom w:val="0"/>
              <w:divBdr>
                <w:top w:val="none" w:sz="0" w:space="0" w:color="auto"/>
                <w:left w:val="none" w:sz="0" w:space="0" w:color="auto"/>
                <w:bottom w:val="none" w:sz="0" w:space="0" w:color="auto"/>
                <w:right w:val="none" w:sz="0" w:space="0" w:color="auto"/>
              </w:divBdr>
              <w:divsChild>
                <w:div w:id="497037488">
                  <w:marLeft w:val="0"/>
                  <w:marRight w:val="0"/>
                  <w:marTop w:val="0"/>
                  <w:marBottom w:val="0"/>
                  <w:divBdr>
                    <w:top w:val="none" w:sz="0" w:space="0" w:color="auto"/>
                    <w:left w:val="none" w:sz="0" w:space="0" w:color="auto"/>
                    <w:bottom w:val="none" w:sz="0" w:space="0" w:color="auto"/>
                    <w:right w:val="none" w:sz="0" w:space="0" w:color="auto"/>
                  </w:divBdr>
                  <w:divsChild>
                    <w:div w:id="474832560">
                      <w:marLeft w:val="0"/>
                      <w:marRight w:val="0"/>
                      <w:marTop w:val="0"/>
                      <w:marBottom w:val="0"/>
                      <w:divBdr>
                        <w:top w:val="none" w:sz="0" w:space="0" w:color="auto"/>
                        <w:left w:val="none" w:sz="0" w:space="0" w:color="auto"/>
                        <w:bottom w:val="none" w:sz="0" w:space="0" w:color="auto"/>
                        <w:right w:val="none" w:sz="0" w:space="0" w:color="auto"/>
                      </w:divBdr>
                      <w:divsChild>
                        <w:div w:id="686562557">
                          <w:marLeft w:val="0"/>
                          <w:marRight w:val="0"/>
                          <w:marTop w:val="0"/>
                          <w:marBottom w:val="0"/>
                          <w:divBdr>
                            <w:top w:val="none" w:sz="0" w:space="0" w:color="auto"/>
                            <w:left w:val="none" w:sz="0" w:space="0" w:color="auto"/>
                            <w:bottom w:val="none" w:sz="0" w:space="0" w:color="auto"/>
                            <w:right w:val="none" w:sz="0" w:space="0" w:color="auto"/>
                          </w:divBdr>
                          <w:divsChild>
                            <w:div w:id="346712382">
                              <w:marLeft w:val="0"/>
                              <w:marRight w:val="0"/>
                              <w:marTop w:val="0"/>
                              <w:marBottom w:val="0"/>
                              <w:divBdr>
                                <w:top w:val="none" w:sz="0" w:space="0" w:color="auto"/>
                                <w:left w:val="none" w:sz="0" w:space="0" w:color="auto"/>
                                <w:bottom w:val="none" w:sz="0" w:space="0" w:color="auto"/>
                                <w:right w:val="none" w:sz="0" w:space="0" w:color="auto"/>
                              </w:divBdr>
                              <w:divsChild>
                                <w:div w:id="1902670550">
                                  <w:marLeft w:val="0"/>
                                  <w:marRight w:val="0"/>
                                  <w:marTop w:val="0"/>
                                  <w:marBottom w:val="0"/>
                                  <w:divBdr>
                                    <w:top w:val="none" w:sz="0" w:space="0" w:color="auto"/>
                                    <w:left w:val="none" w:sz="0" w:space="0" w:color="auto"/>
                                    <w:bottom w:val="none" w:sz="0" w:space="0" w:color="auto"/>
                                    <w:right w:val="none" w:sz="0" w:space="0" w:color="auto"/>
                                  </w:divBdr>
                                  <w:divsChild>
                                    <w:div w:id="1031228524">
                                      <w:marLeft w:val="0"/>
                                      <w:marRight w:val="0"/>
                                      <w:marTop w:val="0"/>
                                      <w:marBottom w:val="0"/>
                                      <w:divBdr>
                                        <w:top w:val="none" w:sz="0" w:space="0" w:color="auto"/>
                                        <w:left w:val="none" w:sz="0" w:space="0" w:color="auto"/>
                                        <w:bottom w:val="none" w:sz="0" w:space="0" w:color="auto"/>
                                        <w:right w:val="none" w:sz="0" w:space="0" w:color="auto"/>
                                      </w:divBdr>
                                      <w:divsChild>
                                        <w:div w:id="1058939945">
                                          <w:marLeft w:val="0"/>
                                          <w:marRight w:val="0"/>
                                          <w:marTop w:val="0"/>
                                          <w:marBottom w:val="0"/>
                                          <w:divBdr>
                                            <w:top w:val="none" w:sz="0" w:space="0" w:color="auto"/>
                                            <w:left w:val="none" w:sz="0" w:space="0" w:color="auto"/>
                                            <w:bottom w:val="none" w:sz="0" w:space="0" w:color="auto"/>
                                            <w:right w:val="none" w:sz="0" w:space="0" w:color="auto"/>
                                          </w:divBdr>
                                          <w:divsChild>
                                            <w:div w:id="1317339816">
                                              <w:marLeft w:val="0"/>
                                              <w:marRight w:val="0"/>
                                              <w:marTop w:val="0"/>
                                              <w:marBottom w:val="0"/>
                                              <w:divBdr>
                                                <w:top w:val="none" w:sz="0" w:space="0" w:color="auto"/>
                                                <w:left w:val="none" w:sz="0" w:space="0" w:color="auto"/>
                                                <w:bottom w:val="none" w:sz="0" w:space="0" w:color="auto"/>
                                                <w:right w:val="none" w:sz="0" w:space="0" w:color="auto"/>
                                              </w:divBdr>
                                              <w:divsChild>
                                                <w:div w:id="464812834">
                                                  <w:marLeft w:val="0"/>
                                                  <w:marRight w:val="0"/>
                                                  <w:marTop w:val="0"/>
                                                  <w:marBottom w:val="0"/>
                                                  <w:divBdr>
                                                    <w:top w:val="none" w:sz="0" w:space="0" w:color="auto"/>
                                                    <w:left w:val="none" w:sz="0" w:space="0" w:color="auto"/>
                                                    <w:bottom w:val="none" w:sz="0" w:space="0" w:color="auto"/>
                                                    <w:right w:val="none" w:sz="0" w:space="0" w:color="auto"/>
                                                  </w:divBdr>
                                                </w:div>
                                                <w:div w:id="19949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849320">
      <w:bodyDiv w:val="1"/>
      <w:marLeft w:val="0"/>
      <w:marRight w:val="0"/>
      <w:marTop w:val="0"/>
      <w:marBottom w:val="0"/>
      <w:divBdr>
        <w:top w:val="none" w:sz="0" w:space="0" w:color="auto"/>
        <w:left w:val="none" w:sz="0" w:space="0" w:color="auto"/>
        <w:bottom w:val="none" w:sz="0" w:space="0" w:color="auto"/>
        <w:right w:val="none" w:sz="0" w:space="0" w:color="auto"/>
      </w:divBdr>
      <w:divsChild>
        <w:div w:id="1709211616">
          <w:marLeft w:val="0"/>
          <w:marRight w:val="0"/>
          <w:marTop w:val="0"/>
          <w:marBottom w:val="0"/>
          <w:divBdr>
            <w:top w:val="none" w:sz="0" w:space="0" w:color="auto"/>
            <w:left w:val="none" w:sz="0" w:space="0" w:color="auto"/>
            <w:bottom w:val="none" w:sz="0" w:space="0" w:color="auto"/>
            <w:right w:val="none" w:sz="0" w:space="0" w:color="auto"/>
          </w:divBdr>
          <w:divsChild>
            <w:div w:id="1036540930">
              <w:marLeft w:val="0"/>
              <w:marRight w:val="0"/>
              <w:marTop w:val="0"/>
              <w:marBottom w:val="0"/>
              <w:divBdr>
                <w:top w:val="none" w:sz="0" w:space="0" w:color="auto"/>
                <w:left w:val="none" w:sz="0" w:space="0" w:color="auto"/>
                <w:bottom w:val="none" w:sz="0" w:space="0" w:color="auto"/>
                <w:right w:val="none" w:sz="0" w:space="0" w:color="auto"/>
              </w:divBdr>
              <w:divsChild>
                <w:div w:id="690764672">
                  <w:marLeft w:val="0"/>
                  <w:marRight w:val="0"/>
                  <w:marTop w:val="0"/>
                  <w:marBottom w:val="0"/>
                  <w:divBdr>
                    <w:top w:val="none" w:sz="0" w:space="0" w:color="auto"/>
                    <w:left w:val="none" w:sz="0" w:space="0" w:color="auto"/>
                    <w:bottom w:val="none" w:sz="0" w:space="0" w:color="auto"/>
                    <w:right w:val="none" w:sz="0" w:space="0" w:color="auto"/>
                  </w:divBdr>
                  <w:divsChild>
                    <w:div w:id="1573810011">
                      <w:marLeft w:val="0"/>
                      <w:marRight w:val="0"/>
                      <w:marTop w:val="0"/>
                      <w:marBottom w:val="0"/>
                      <w:divBdr>
                        <w:top w:val="none" w:sz="0" w:space="0" w:color="auto"/>
                        <w:left w:val="none" w:sz="0" w:space="0" w:color="auto"/>
                        <w:bottom w:val="none" w:sz="0" w:space="0" w:color="auto"/>
                        <w:right w:val="none" w:sz="0" w:space="0" w:color="auto"/>
                      </w:divBdr>
                      <w:divsChild>
                        <w:div w:id="1647662672">
                          <w:marLeft w:val="0"/>
                          <w:marRight w:val="0"/>
                          <w:marTop w:val="0"/>
                          <w:marBottom w:val="0"/>
                          <w:divBdr>
                            <w:top w:val="none" w:sz="0" w:space="0" w:color="auto"/>
                            <w:left w:val="none" w:sz="0" w:space="0" w:color="auto"/>
                            <w:bottom w:val="none" w:sz="0" w:space="0" w:color="auto"/>
                            <w:right w:val="none" w:sz="0" w:space="0" w:color="auto"/>
                          </w:divBdr>
                          <w:divsChild>
                            <w:div w:id="641229059">
                              <w:marLeft w:val="0"/>
                              <w:marRight w:val="0"/>
                              <w:marTop w:val="0"/>
                              <w:marBottom w:val="0"/>
                              <w:divBdr>
                                <w:top w:val="none" w:sz="0" w:space="0" w:color="auto"/>
                                <w:left w:val="none" w:sz="0" w:space="0" w:color="auto"/>
                                <w:bottom w:val="none" w:sz="0" w:space="0" w:color="auto"/>
                                <w:right w:val="none" w:sz="0" w:space="0" w:color="auto"/>
                              </w:divBdr>
                              <w:divsChild>
                                <w:div w:id="1912688223">
                                  <w:marLeft w:val="0"/>
                                  <w:marRight w:val="0"/>
                                  <w:marTop w:val="0"/>
                                  <w:marBottom w:val="0"/>
                                  <w:divBdr>
                                    <w:top w:val="none" w:sz="0" w:space="0" w:color="auto"/>
                                    <w:left w:val="none" w:sz="0" w:space="0" w:color="auto"/>
                                    <w:bottom w:val="none" w:sz="0" w:space="0" w:color="auto"/>
                                    <w:right w:val="none" w:sz="0" w:space="0" w:color="auto"/>
                                  </w:divBdr>
                                  <w:divsChild>
                                    <w:div w:id="140465745">
                                      <w:marLeft w:val="0"/>
                                      <w:marRight w:val="0"/>
                                      <w:marTop w:val="0"/>
                                      <w:marBottom w:val="0"/>
                                      <w:divBdr>
                                        <w:top w:val="none" w:sz="0" w:space="0" w:color="auto"/>
                                        <w:left w:val="none" w:sz="0" w:space="0" w:color="auto"/>
                                        <w:bottom w:val="none" w:sz="0" w:space="0" w:color="auto"/>
                                        <w:right w:val="none" w:sz="0" w:space="0" w:color="auto"/>
                                      </w:divBdr>
                                      <w:divsChild>
                                        <w:div w:id="1552376829">
                                          <w:marLeft w:val="0"/>
                                          <w:marRight w:val="0"/>
                                          <w:marTop w:val="0"/>
                                          <w:marBottom w:val="0"/>
                                          <w:divBdr>
                                            <w:top w:val="none" w:sz="0" w:space="0" w:color="auto"/>
                                            <w:left w:val="none" w:sz="0" w:space="0" w:color="auto"/>
                                            <w:bottom w:val="none" w:sz="0" w:space="0" w:color="auto"/>
                                            <w:right w:val="none" w:sz="0" w:space="0" w:color="auto"/>
                                          </w:divBdr>
                                          <w:divsChild>
                                            <w:div w:id="1152872412">
                                              <w:marLeft w:val="0"/>
                                              <w:marRight w:val="0"/>
                                              <w:marTop w:val="0"/>
                                              <w:marBottom w:val="0"/>
                                              <w:divBdr>
                                                <w:top w:val="none" w:sz="0" w:space="0" w:color="auto"/>
                                                <w:left w:val="none" w:sz="0" w:space="0" w:color="auto"/>
                                                <w:bottom w:val="none" w:sz="0" w:space="0" w:color="auto"/>
                                                <w:right w:val="none" w:sz="0" w:space="0" w:color="auto"/>
                                              </w:divBdr>
                                              <w:divsChild>
                                                <w:div w:id="1030105647">
                                                  <w:marLeft w:val="0"/>
                                                  <w:marRight w:val="0"/>
                                                  <w:marTop w:val="0"/>
                                                  <w:marBottom w:val="0"/>
                                                  <w:divBdr>
                                                    <w:top w:val="none" w:sz="0" w:space="0" w:color="auto"/>
                                                    <w:left w:val="none" w:sz="0" w:space="0" w:color="auto"/>
                                                    <w:bottom w:val="none" w:sz="0" w:space="0" w:color="auto"/>
                                                    <w:right w:val="none" w:sz="0" w:space="0" w:color="auto"/>
                                                  </w:divBdr>
                                                </w:div>
                                                <w:div w:id="15395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238677">
      <w:bodyDiv w:val="1"/>
      <w:marLeft w:val="0"/>
      <w:marRight w:val="0"/>
      <w:marTop w:val="0"/>
      <w:marBottom w:val="0"/>
      <w:divBdr>
        <w:top w:val="none" w:sz="0" w:space="0" w:color="auto"/>
        <w:left w:val="none" w:sz="0" w:space="0" w:color="auto"/>
        <w:bottom w:val="none" w:sz="0" w:space="0" w:color="auto"/>
        <w:right w:val="none" w:sz="0" w:space="0" w:color="auto"/>
      </w:divBdr>
      <w:divsChild>
        <w:div w:id="698509659">
          <w:marLeft w:val="0"/>
          <w:marRight w:val="0"/>
          <w:marTop w:val="0"/>
          <w:marBottom w:val="0"/>
          <w:divBdr>
            <w:top w:val="none" w:sz="0" w:space="0" w:color="auto"/>
            <w:left w:val="none" w:sz="0" w:space="0" w:color="auto"/>
            <w:bottom w:val="none" w:sz="0" w:space="0" w:color="auto"/>
            <w:right w:val="none" w:sz="0" w:space="0" w:color="auto"/>
          </w:divBdr>
          <w:divsChild>
            <w:div w:id="907113655">
              <w:marLeft w:val="0"/>
              <w:marRight w:val="0"/>
              <w:marTop w:val="0"/>
              <w:marBottom w:val="0"/>
              <w:divBdr>
                <w:top w:val="none" w:sz="0" w:space="0" w:color="auto"/>
                <w:left w:val="none" w:sz="0" w:space="0" w:color="auto"/>
                <w:bottom w:val="none" w:sz="0" w:space="0" w:color="auto"/>
                <w:right w:val="none" w:sz="0" w:space="0" w:color="auto"/>
              </w:divBdr>
              <w:divsChild>
                <w:div w:id="942037453">
                  <w:marLeft w:val="0"/>
                  <w:marRight w:val="0"/>
                  <w:marTop w:val="0"/>
                  <w:marBottom w:val="0"/>
                  <w:divBdr>
                    <w:top w:val="none" w:sz="0" w:space="0" w:color="auto"/>
                    <w:left w:val="none" w:sz="0" w:space="0" w:color="auto"/>
                    <w:bottom w:val="none" w:sz="0" w:space="0" w:color="auto"/>
                    <w:right w:val="none" w:sz="0" w:space="0" w:color="auto"/>
                  </w:divBdr>
                  <w:divsChild>
                    <w:div w:id="1653753782">
                      <w:marLeft w:val="0"/>
                      <w:marRight w:val="0"/>
                      <w:marTop w:val="0"/>
                      <w:marBottom w:val="0"/>
                      <w:divBdr>
                        <w:top w:val="none" w:sz="0" w:space="0" w:color="auto"/>
                        <w:left w:val="none" w:sz="0" w:space="0" w:color="auto"/>
                        <w:bottom w:val="none" w:sz="0" w:space="0" w:color="auto"/>
                        <w:right w:val="none" w:sz="0" w:space="0" w:color="auto"/>
                      </w:divBdr>
                      <w:divsChild>
                        <w:div w:id="1784304788">
                          <w:marLeft w:val="0"/>
                          <w:marRight w:val="0"/>
                          <w:marTop w:val="0"/>
                          <w:marBottom w:val="0"/>
                          <w:divBdr>
                            <w:top w:val="none" w:sz="0" w:space="0" w:color="auto"/>
                            <w:left w:val="none" w:sz="0" w:space="0" w:color="auto"/>
                            <w:bottom w:val="none" w:sz="0" w:space="0" w:color="auto"/>
                            <w:right w:val="none" w:sz="0" w:space="0" w:color="auto"/>
                          </w:divBdr>
                          <w:divsChild>
                            <w:div w:id="459803478">
                              <w:marLeft w:val="0"/>
                              <w:marRight w:val="0"/>
                              <w:marTop w:val="0"/>
                              <w:marBottom w:val="0"/>
                              <w:divBdr>
                                <w:top w:val="none" w:sz="0" w:space="0" w:color="auto"/>
                                <w:left w:val="none" w:sz="0" w:space="0" w:color="auto"/>
                                <w:bottom w:val="none" w:sz="0" w:space="0" w:color="auto"/>
                                <w:right w:val="none" w:sz="0" w:space="0" w:color="auto"/>
                              </w:divBdr>
                              <w:divsChild>
                                <w:div w:id="207108748">
                                  <w:marLeft w:val="0"/>
                                  <w:marRight w:val="0"/>
                                  <w:marTop w:val="0"/>
                                  <w:marBottom w:val="0"/>
                                  <w:divBdr>
                                    <w:top w:val="none" w:sz="0" w:space="0" w:color="auto"/>
                                    <w:left w:val="none" w:sz="0" w:space="0" w:color="auto"/>
                                    <w:bottom w:val="none" w:sz="0" w:space="0" w:color="auto"/>
                                    <w:right w:val="none" w:sz="0" w:space="0" w:color="auto"/>
                                  </w:divBdr>
                                  <w:divsChild>
                                    <w:div w:id="462624686">
                                      <w:marLeft w:val="0"/>
                                      <w:marRight w:val="0"/>
                                      <w:marTop w:val="0"/>
                                      <w:marBottom w:val="0"/>
                                      <w:divBdr>
                                        <w:top w:val="none" w:sz="0" w:space="0" w:color="auto"/>
                                        <w:left w:val="none" w:sz="0" w:space="0" w:color="auto"/>
                                        <w:bottom w:val="none" w:sz="0" w:space="0" w:color="auto"/>
                                        <w:right w:val="none" w:sz="0" w:space="0" w:color="auto"/>
                                      </w:divBdr>
                                      <w:divsChild>
                                        <w:div w:id="498085211">
                                          <w:marLeft w:val="0"/>
                                          <w:marRight w:val="0"/>
                                          <w:marTop w:val="0"/>
                                          <w:marBottom w:val="0"/>
                                          <w:divBdr>
                                            <w:top w:val="none" w:sz="0" w:space="0" w:color="auto"/>
                                            <w:left w:val="none" w:sz="0" w:space="0" w:color="auto"/>
                                            <w:bottom w:val="none" w:sz="0" w:space="0" w:color="auto"/>
                                            <w:right w:val="none" w:sz="0" w:space="0" w:color="auto"/>
                                          </w:divBdr>
                                          <w:divsChild>
                                            <w:div w:id="445006269">
                                              <w:marLeft w:val="0"/>
                                              <w:marRight w:val="0"/>
                                              <w:marTop w:val="0"/>
                                              <w:marBottom w:val="0"/>
                                              <w:divBdr>
                                                <w:top w:val="none" w:sz="0" w:space="0" w:color="auto"/>
                                                <w:left w:val="none" w:sz="0" w:space="0" w:color="auto"/>
                                                <w:bottom w:val="none" w:sz="0" w:space="0" w:color="auto"/>
                                                <w:right w:val="none" w:sz="0" w:space="0" w:color="auto"/>
                                              </w:divBdr>
                                              <w:divsChild>
                                                <w:div w:id="1895238661">
                                                  <w:marLeft w:val="0"/>
                                                  <w:marRight w:val="0"/>
                                                  <w:marTop w:val="225"/>
                                                  <w:marBottom w:val="300"/>
                                                  <w:divBdr>
                                                    <w:top w:val="none" w:sz="0" w:space="0" w:color="auto"/>
                                                    <w:left w:val="none" w:sz="0" w:space="0" w:color="auto"/>
                                                    <w:bottom w:val="none" w:sz="0" w:space="0" w:color="auto"/>
                                                    <w:right w:val="none" w:sz="0" w:space="0" w:color="auto"/>
                                                  </w:divBdr>
                                                  <w:divsChild>
                                                    <w:div w:id="1988509677">
                                                      <w:marLeft w:val="0"/>
                                                      <w:marRight w:val="0"/>
                                                      <w:marTop w:val="0"/>
                                                      <w:marBottom w:val="30"/>
                                                      <w:divBdr>
                                                        <w:top w:val="single" w:sz="6" w:space="0" w:color="E5E5E5"/>
                                                        <w:left w:val="single" w:sz="6" w:space="0" w:color="E5E5E5"/>
                                                        <w:bottom w:val="single" w:sz="6" w:space="0" w:color="E5E5E5"/>
                                                        <w:right w:val="single" w:sz="6" w:space="0" w:color="E5E5E5"/>
                                                      </w:divBdr>
                                                      <w:divsChild>
                                                        <w:div w:id="136805029">
                                                          <w:marLeft w:val="0"/>
                                                          <w:marRight w:val="0"/>
                                                          <w:marTop w:val="0"/>
                                                          <w:marBottom w:val="0"/>
                                                          <w:divBdr>
                                                            <w:top w:val="none" w:sz="0" w:space="0" w:color="auto"/>
                                                            <w:left w:val="none" w:sz="0" w:space="0" w:color="auto"/>
                                                            <w:bottom w:val="none" w:sz="0" w:space="0" w:color="auto"/>
                                                            <w:right w:val="none" w:sz="0" w:space="0" w:color="auto"/>
                                                          </w:divBdr>
                                                        </w:div>
                                                        <w:div w:id="1283417065">
                                                          <w:marLeft w:val="0"/>
                                                          <w:marRight w:val="0"/>
                                                          <w:marTop w:val="0"/>
                                                          <w:marBottom w:val="0"/>
                                                          <w:divBdr>
                                                            <w:top w:val="none" w:sz="0" w:space="0" w:color="auto"/>
                                                            <w:left w:val="none" w:sz="0" w:space="0" w:color="auto"/>
                                                            <w:bottom w:val="none" w:sz="0" w:space="0" w:color="auto"/>
                                                            <w:right w:val="none" w:sz="0" w:space="0" w:color="auto"/>
                                                          </w:divBdr>
                                                          <w:divsChild>
                                                            <w:div w:id="105893869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0101992">
      <w:bodyDiv w:val="1"/>
      <w:marLeft w:val="0"/>
      <w:marRight w:val="0"/>
      <w:marTop w:val="0"/>
      <w:marBottom w:val="0"/>
      <w:divBdr>
        <w:top w:val="none" w:sz="0" w:space="0" w:color="auto"/>
        <w:left w:val="none" w:sz="0" w:space="0" w:color="auto"/>
        <w:bottom w:val="none" w:sz="0" w:space="0" w:color="auto"/>
        <w:right w:val="none" w:sz="0" w:space="0" w:color="auto"/>
      </w:divBdr>
      <w:divsChild>
        <w:div w:id="1116800834">
          <w:marLeft w:val="0"/>
          <w:marRight w:val="0"/>
          <w:marTop w:val="0"/>
          <w:marBottom w:val="0"/>
          <w:divBdr>
            <w:top w:val="none" w:sz="0" w:space="0" w:color="auto"/>
            <w:left w:val="none" w:sz="0" w:space="0" w:color="auto"/>
            <w:bottom w:val="none" w:sz="0" w:space="0" w:color="auto"/>
            <w:right w:val="none" w:sz="0" w:space="0" w:color="auto"/>
          </w:divBdr>
          <w:divsChild>
            <w:div w:id="1989170988">
              <w:marLeft w:val="0"/>
              <w:marRight w:val="0"/>
              <w:marTop w:val="0"/>
              <w:marBottom w:val="0"/>
              <w:divBdr>
                <w:top w:val="none" w:sz="0" w:space="0" w:color="auto"/>
                <w:left w:val="none" w:sz="0" w:space="0" w:color="auto"/>
                <w:bottom w:val="none" w:sz="0" w:space="0" w:color="auto"/>
                <w:right w:val="none" w:sz="0" w:space="0" w:color="auto"/>
              </w:divBdr>
              <w:divsChild>
                <w:div w:id="1763144101">
                  <w:marLeft w:val="0"/>
                  <w:marRight w:val="0"/>
                  <w:marTop w:val="0"/>
                  <w:marBottom w:val="0"/>
                  <w:divBdr>
                    <w:top w:val="none" w:sz="0" w:space="0" w:color="auto"/>
                    <w:left w:val="none" w:sz="0" w:space="0" w:color="auto"/>
                    <w:bottom w:val="none" w:sz="0" w:space="0" w:color="auto"/>
                    <w:right w:val="none" w:sz="0" w:space="0" w:color="auto"/>
                  </w:divBdr>
                  <w:divsChild>
                    <w:div w:id="973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19863">
      <w:bodyDiv w:val="1"/>
      <w:marLeft w:val="0"/>
      <w:marRight w:val="0"/>
      <w:marTop w:val="0"/>
      <w:marBottom w:val="0"/>
      <w:divBdr>
        <w:top w:val="none" w:sz="0" w:space="0" w:color="auto"/>
        <w:left w:val="none" w:sz="0" w:space="0" w:color="auto"/>
        <w:bottom w:val="none" w:sz="0" w:space="0" w:color="auto"/>
        <w:right w:val="none" w:sz="0" w:space="0" w:color="auto"/>
      </w:divBdr>
      <w:divsChild>
        <w:div w:id="36778417">
          <w:marLeft w:val="0"/>
          <w:marRight w:val="0"/>
          <w:marTop w:val="0"/>
          <w:marBottom w:val="0"/>
          <w:divBdr>
            <w:top w:val="none" w:sz="0" w:space="0" w:color="auto"/>
            <w:left w:val="none" w:sz="0" w:space="0" w:color="auto"/>
            <w:bottom w:val="none" w:sz="0" w:space="0" w:color="auto"/>
            <w:right w:val="none" w:sz="0" w:space="0" w:color="auto"/>
          </w:divBdr>
          <w:divsChild>
            <w:div w:id="1651861474">
              <w:marLeft w:val="0"/>
              <w:marRight w:val="0"/>
              <w:marTop w:val="0"/>
              <w:marBottom w:val="0"/>
              <w:divBdr>
                <w:top w:val="none" w:sz="0" w:space="0" w:color="auto"/>
                <w:left w:val="none" w:sz="0" w:space="0" w:color="auto"/>
                <w:bottom w:val="none" w:sz="0" w:space="0" w:color="auto"/>
                <w:right w:val="none" w:sz="0" w:space="0" w:color="auto"/>
              </w:divBdr>
              <w:divsChild>
                <w:div w:id="1111438849">
                  <w:marLeft w:val="0"/>
                  <w:marRight w:val="0"/>
                  <w:marTop w:val="0"/>
                  <w:marBottom w:val="0"/>
                  <w:divBdr>
                    <w:top w:val="none" w:sz="0" w:space="0" w:color="auto"/>
                    <w:left w:val="none" w:sz="0" w:space="0" w:color="auto"/>
                    <w:bottom w:val="none" w:sz="0" w:space="0" w:color="auto"/>
                    <w:right w:val="none" w:sz="0" w:space="0" w:color="auto"/>
                  </w:divBdr>
                  <w:divsChild>
                    <w:div w:id="723675866">
                      <w:marLeft w:val="0"/>
                      <w:marRight w:val="0"/>
                      <w:marTop w:val="0"/>
                      <w:marBottom w:val="0"/>
                      <w:divBdr>
                        <w:top w:val="none" w:sz="0" w:space="0" w:color="auto"/>
                        <w:left w:val="none" w:sz="0" w:space="0" w:color="auto"/>
                        <w:bottom w:val="none" w:sz="0" w:space="0" w:color="auto"/>
                        <w:right w:val="none" w:sz="0" w:space="0" w:color="auto"/>
                      </w:divBdr>
                      <w:divsChild>
                        <w:div w:id="1722244510">
                          <w:marLeft w:val="0"/>
                          <w:marRight w:val="0"/>
                          <w:marTop w:val="0"/>
                          <w:marBottom w:val="0"/>
                          <w:divBdr>
                            <w:top w:val="none" w:sz="0" w:space="0" w:color="auto"/>
                            <w:left w:val="none" w:sz="0" w:space="0" w:color="auto"/>
                            <w:bottom w:val="none" w:sz="0" w:space="0" w:color="auto"/>
                            <w:right w:val="none" w:sz="0" w:space="0" w:color="auto"/>
                          </w:divBdr>
                          <w:divsChild>
                            <w:div w:id="2122068818">
                              <w:marLeft w:val="0"/>
                              <w:marRight w:val="0"/>
                              <w:marTop w:val="0"/>
                              <w:marBottom w:val="0"/>
                              <w:divBdr>
                                <w:top w:val="none" w:sz="0" w:space="0" w:color="auto"/>
                                <w:left w:val="none" w:sz="0" w:space="0" w:color="auto"/>
                                <w:bottom w:val="none" w:sz="0" w:space="0" w:color="auto"/>
                                <w:right w:val="none" w:sz="0" w:space="0" w:color="auto"/>
                              </w:divBdr>
                              <w:divsChild>
                                <w:div w:id="1977292825">
                                  <w:marLeft w:val="0"/>
                                  <w:marRight w:val="0"/>
                                  <w:marTop w:val="0"/>
                                  <w:marBottom w:val="0"/>
                                  <w:divBdr>
                                    <w:top w:val="none" w:sz="0" w:space="0" w:color="auto"/>
                                    <w:left w:val="none" w:sz="0" w:space="0" w:color="auto"/>
                                    <w:bottom w:val="none" w:sz="0" w:space="0" w:color="auto"/>
                                    <w:right w:val="none" w:sz="0" w:space="0" w:color="auto"/>
                                  </w:divBdr>
                                  <w:divsChild>
                                    <w:div w:id="1191140735">
                                      <w:marLeft w:val="0"/>
                                      <w:marRight w:val="0"/>
                                      <w:marTop w:val="0"/>
                                      <w:marBottom w:val="0"/>
                                      <w:divBdr>
                                        <w:top w:val="none" w:sz="0" w:space="0" w:color="auto"/>
                                        <w:left w:val="none" w:sz="0" w:space="0" w:color="auto"/>
                                        <w:bottom w:val="none" w:sz="0" w:space="0" w:color="auto"/>
                                        <w:right w:val="none" w:sz="0" w:space="0" w:color="auto"/>
                                      </w:divBdr>
                                      <w:divsChild>
                                        <w:div w:id="544104563">
                                          <w:marLeft w:val="0"/>
                                          <w:marRight w:val="0"/>
                                          <w:marTop w:val="0"/>
                                          <w:marBottom w:val="0"/>
                                          <w:divBdr>
                                            <w:top w:val="none" w:sz="0" w:space="0" w:color="auto"/>
                                            <w:left w:val="none" w:sz="0" w:space="0" w:color="auto"/>
                                            <w:bottom w:val="none" w:sz="0" w:space="0" w:color="auto"/>
                                            <w:right w:val="none" w:sz="0" w:space="0" w:color="auto"/>
                                          </w:divBdr>
                                          <w:divsChild>
                                            <w:div w:id="1192916180">
                                              <w:marLeft w:val="0"/>
                                              <w:marRight w:val="0"/>
                                              <w:marTop w:val="0"/>
                                              <w:marBottom w:val="0"/>
                                              <w:divBdr>
                                                <w:top w:val="none" w:sz="0" w:space="0" w:color="auto"/>
                                                <w:left w:val="none" w:sz="0" w:space="0" w:color="auto"/>
                                                <w:bottom w:val="none" w:sz="0" w:space="0" w:color="auto"/>
                                                <w:right w:val="none" w:sz="0" w:space="0" w:color="auto"/>
                                              </w:divBdr>
                                              <w:divsChild>
                                                <w:div w:id="456026872">
                                                  <w:marLeft w:val="0"/>
                                                  <w:marRight w:val="0"/>
                                                  <w:marTop w:val="225"/>
                                                  <w:marBottom w:val="300"/>
                                                  <w:divBdr>
                                                    <w:top w:val="none" w:sz="0" w:space="0" w:color="auto"/>
                                                    <w:left w:val="none" w:sz="0" w:space="0" w:color="auto"/>
                                                    <w:bottom w:val="none" w:sz="0" w:space="0" w:color="auto"/>
                                                    <w:right w:val="none" w:sz="0" w:space="0" w:color="auto"/>
                                                  </w:divBdr>
                                                  <w:divsChild>
                                                    <w:div w:id="1621182470">
                                                      <w:marLeft w:val="0"/>
                                                      <w:marRight w:val="0"/>
                                                      <w:marTop w:val="0"/>
                                                      <w:marBottom w:val="30"/>
                                                      <w:divBdr>
                                                        <w:top w:val="single" w:sz="6" w:space="0" w:color="E5E5E5"/>
                                                        <w:left w:val="single" w:sz="6" w:space="0" w:color="E5E5E5"/>
                                                        <w:bottom w:val="single" w:sz="6" w:space="0" w:color="E5E5E5"/>
                                                        <w:right w:val="single" w:sz="6" w:space="0" w:color="E5E5E5"/>
                                                      </w:divBdr>
                                                      <w:divsChild>
                                                        <w:div w:id="551117987">
                                                          <w:marLeft w:val="0"/>
                                                          <w:marRight w:val="0"/>
                                                          <w:marTop w:val="0"/>
                                                          <w:marBottom w:val="0"/>
                                                          <w:divBdr>
                                                            <w:top w:val="none" w:sz="0" w:space="0" w:color="auto"/>
                                                            <w:left w:val="none" w:sz="0" w:space="0" w:color="auto"/>
                                                            <w:bottom w:val="none" w:sz="0" w:space="0" w:color="auto"/>
                                                            <w:right w:val="none" w:sz="0" w:space="0" w:color="auto"/>
                                                          </w:divBdr>
                                                        </w:div>
                                                        <w:div w:id="1450976291">
                                                          <w:marLeft w:val="0"/>
                                                          <w:marRight w:val="0"/>
                                                          <w:marTop w:val="0"/>
                                                          <w:marBottom w:val="0"/>
                                                          <w:divBdr>
                                                            <w:top w:val="none" w:sz="0" w:space="0" w:color="auto"/>
                                                            <w:left w:val="none" w:sz="0" w:space="0" w:color="auto"/>
                                                            <w:bottom w:val="none" w:sz="0" w:space="0" w:color="auto"/>
                                                            <w:right w:val="none" w:sz="0" w:space="0" w:color="auto"/>
                                                          </w:divBdr>
                                                          <w:divsChild>
                                                            <w:div w:id="195894550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933550">
      <w:bodyDiv w:val="1"/>
      <w:marLeft w:val="0"/>
      <w:marRight w:val="0"/>
      <w:marTop w:val="0"/>
      <w:marBottom w:val="0"/>
      <w:divBdr>
        <w:top w:val="none" w:sz="0" w:space="0" w:color="auto"/>
        <w:left w:val="none" w:sz="0" w:space="0" w:color="auto"/>
        <w:bottom w:val="none" w:sz="0" w:space="0" w:color="auto"/>
        <w:right w:val="none" w:sz="0" w:space="0" w:color="auto"/>
      </w:divBdr>
      <w:divsChild>
        <w:div w:id="1109006043">
          <w:marLeft w:val="0"/>
          <w:marRight w:val="0"/>
          <w:marTop w:val="0"/>
          <w:marBottom w:val="0"/>
          <w:divBdr>
            <w:top w:val="none" w:sz="0" w:space="0" w:color="auto"/>
            <w:left w:val="none" w:sz="0" w:space="0" w:color="auto"/>
            <w:bottom w:val="none" w:sz="0" w:space="0" w:color="auto"/>
            <w:right w:val="none" w:sz="0" w:space="0" w:color="auto"/>
          </w:divBdr>
          <w:divsChild>
            <w:div w:id="1602180584">
              <w:marLeft w:val="0"/>
              <w:marRight w:val="0"/>
              <w:marTop w:val="0"/>
              <w:marBottom w:val="0"/>
              <w:divBdr>
                <w:top w:val="none" w:sz="0" w:space="0" w:color="auto"/>
                <w:left w:val="none" w:sz="0" w:space="0" w:color="auto"/>
                <w:bottom w:val="none" w:sz="0" w:space="0" w:color="auto"/>
                <w:right w:val="none" w:sz="0" w:space="0" w:color="auto"/>
              </w:divBdr>
              <w:divsChild>
                <w:div w:id="1990329053">
                  <w:marLeft w:val="0"/>
                  <w:marRight w:val="0"/>
                  <w:marTop w:val="0"/>
                  <w:marBottom w:val="0"/>
                  <w:divBdr>
                    <w:top w:val="none" w:sz="0" w:space="0" w:color="auto"/>
                    <w:left w:val="none" w:sz="0" w:space="0" w:color="auto"/>
                    <w:bottom w:val="none" w:sz="0" w:space="0" w:color="auto"/>
                    <w:right w:val="none" w:sz="0" w:space="0" w:color="auto"/>
                  </w:divBdr>
                  <w:divsChild>
                    <w:div w:id="5562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2829">
      <w:bodyDiv w:val="1"/>
      <w:marLeft w:val="0"/>
      <w:marRight w:val="0"/>
      <w:marTop w:val="0"/>
      <w:marBottom w:val="0"/>
      <w:divBdr>
        <w:top w:val="none" w:sz="0" w:space="0" w:color="auto"/>
        <w:left w:val="none" w:sz="0" w:space="0" w:color="auto"/>
        <w:bottom w:val="none" w:sz="0" w:space="0" w:color="auto"/>
        <w:right w:val="none" w:sz="0" w:space="0" w:color="auto"/>
      </w:divBdr>
      <w:divsChild>
        <w:div w:id="200940048">
          <w:marLeft w:val="0"/>
          <w:marRight w:val="0"/>
          <w:marTop w:val="0"/>
          <w:marBottom w:val="0"/>
          <w:divBdr>
            <w:top w:val="none" w:sz="0" w:space="0" w:color="auto"/>
            <w:left w:val="none" w:sz="0" w:space="0" w:color="auto"/>
            <w:bottom w:val="none" w:sz="0" w:space="0" w:color="auto"/>
            <w:right w:val="none" w:sz="0" w:space="0" w:color="auto"/>
          </w:divBdr>
          <w:divsChild>
            <w:div w:id="787050214">
              <w:marLeft w:val="0"/>
              <w:marRight w:val="0"/>
              <w:marTop w:val="0"/>
              <w:marBottom w:val="0"/>
              <w:divBdr>
                <w:top w:val="none" w:sz="0" w:space="0" w:color="auto"/>
                <w:left w:val="none" w:sz="0" w:space="0" w:color="auto"/>
                <w:bottom w:val="none" w:sz="0" w:space="0" w:color="auto"/>
                <w:right w:val="none" w:sz="0" w:space="0" w:color="auto"/>
              </w:divBdr>
              <w:divsChild>
                <w:div w:id="463933472">
                  <w:marLeft w:val="0"/>
                  <w:marRight w:val="0"/>
                  <w:marTop w:val="0"/>
                  <w:marBottom w:val="0"/>
                  <w:divBdr>
                    <w:top w:val="none" w:sz="0" w:space="0" w:color="auto"/>
                    <w:left w:val="none" w:sz="0" w:space="0" w:color="auto"/>
                    <w:bottom w:val="none" w:sz="0" w:space="0" w:color="auto"/>
                    <w:right w:val="none" w:sz="0" w:space="0" w:color="auto"/>
                  </w:divBdr>
                  <w:divsChild>
                    <w:div w:id="27610054">
                      <w:marLeft w:val="0"/>
                      <w:marRight w:val="0"/>
                      <w:marTop w:val="0"/>
                      <w:marBottom w:val="0"/>
                      <w:divBdr>
                        <w:top w:val="none" w:sz="0" w:space="0" w:color="auto"/>
                        <w:left w:val="none" w:sz="0" w:space="0" w:color="auto"/>
                        <w:bottom w:val="none" w:sz="0" w:space="0" w:color="auto"/>
                        <w:right w:val="none" w:sz="0" w:space="0" w:color="auto"/>
                      </w:divBdr>
                      <w:divsChild>
                        <w:div w:id="243760550">
                          <w:marLeft w:val="0"/>
                          <w:marRight w:val="0"/>
                          <w:marTop w:val="0"/>
                          <w:marBottom w:val="0"/>
                          <w:divBdr>
                            <w:top w:val="none" w:sz="0" w:space="0" w:color="auto"/>
                            <w:left w:val="none" w:sz="0" w:space="0" w:color="auto"/>
                            <w:bottom w:val="none" w:sz="0" w:space="0" w:color="auto"/>
                            <w:right w:val="none" w:sz="0" w:space="0" w:color="auto"/>
                          </w:divBdr>
                          <w:divsChild>
                            <w:div w:id="1552643914">
                              <w:marLeft w:val="0"/>
                              <w:marRight w:val="0"/>
                              <w:marTop w:val="0"/>
                              <w:marBottom w:val="0"/>
                              <w:divBdr>
                                <w:top w:val="none" w:sz="0" w:space="0" w:color="auto"/>
                                <w:left w:val="none" w:sz="0" w:space="0" w:color="auto"/>
                                <w:bottom w:val="none" w:sz="0" w:space="0" w:color="auto"/>
                                <w:right w:val="none" w:sz="0" w:space="0" w:color="auto"/>
                              </w:divBdr>
                              <w:divsChild>
                                <w:div w:id="1384014710">
                                  <w:marLeft w:val="0"/>
                                  <w:marRight w:val="0"/>
                                  <w:marTop w:val="0"/>
                                  <w:marBottom w:val="0"/>
                                  <w:divBdr>
                                    <w:top w:val="none" w:sz="0" w:space="0" w:color="auto"/>
                                    <w:left w:val="none" w:sz="0" w:space="0" w:color="auto"/>
                                    <w:bottom w:val="none" w:sz="0" w:space="0" w:color="auto"/>
                                    <w:right w:val="none" w:sz="0" w:space="0" w:color="auto"/>
                                  </w:divBdr>
                                  <w:divsChild>
                                    <w:div w:id="1990866386">
                                      <w:marLeft w:val="0"/>
                                      <w:marRight w:val="0"/>
                                      <w:marTop w:val="0"/>
                                      <w:marBottom w:val="0"/>
                                      <w:divBdr>
                                        <w:top w:val="none" w:sz="0" w:space="0" w:color="auto"/>
                                        <w:left w:val="none" w:sz="0" w:space="0" w:color="auto"/>
                                        <w:bottom w:val="none" w:sz="0" w:space="0" w:color="auto"/>
                                        <w:right w:val="none" w:sz="0" w:space="0" w:color="auto"/>
                                      </w:divBdr>
                                      <w:divsChild>
                                        <w:div w:id="474614301">
                                          <w:marLeft w:val="0"/>
                                          <w:marRight w:val="0"/>
                                          <w:marTop w:val="0"/>
                                          <w:marBottom w:val="0"/>
                                          <w:divBdr>
                                            <w:top w:val="none" w:sz="0" w:space="0" w:color="auto"/>
                                            <w:left w:val="none" w:sz="0" w:space="0" w:color="auto"/>
                                            <w:bottom w:val="none" w:sz="0" w:space="0" w:color="auto"/>
                                            <w:right w:val="none" w:sz="0" w:space="0" w:color="auto"/>
                                          </w:divBdr>
                                          <w:divsChild>
                                            <w:div w:id="20318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99846">
      <w:bodyDiv w:val="1"/>
      <w:marLeft w:val="0"/>
      <w:marRight w:val="0"/>
      <w:marTop w:val="0"/>
      <w:marBottom w:val="0"/>
      <w:divBdr>
        <w:top w:val="none" w:sz="0" w:space="0" w:color="auto"/>
        <w:left w:val="none" w:sz="0" w:space="0" w:color="auto"/>
        <w:bottom w:val="none" w:sz="0" w:space="0" w:color="auto"/>
        <w:right w:val="none" w:sz="0" w:space="0" w:color="auto"/>
      </w:divBdr>
      <w:divsChild>
        <w:div w:id="1623917644">
          <w:marLeft w:val="0"/>
          <w:marRight w:val="0"/>
          <w:marTop w:val="0"/>
          <w:marBottom w:val="0"/>
          <w:divBdr>
            <w:top w:val="none" w:sz="0" w:space="0" w:color="auto"/>
            <w:left w:val="none" w:sz="0" w:space="0" w:color="auto"/>
            <w:bottom w:val="none" w:sz="0" w:space="0" w:color="auto"/>
            <w:right w:val="none" w:sz="0" w:space="0" w:color="auto"/>
          </w:divBdr>
          <w:divsChild>
            <w:div w:id="183595098">
              <w:marLeft w:val="0"/>
              <w:marRight w:val="0"/>
              <w:marTop w:val="0"/>
              <w:marBottom w:val="0"/>
              <w:divBdr>
                <w:top w:val="none" w:sz="0" w:space="0" w:color="auto"/>
                <w:left w:val="none" w:sz="0" w:space="0" w:color="auto"/>
                <w:bottom w:val="none" w:sz="0" w:space="0" w:color="auto"/>
                <w:right w:val="none" w:sz="0" w:space="0" w:color="auto"/>
              </w:divBdr>
              <w:divsChild>
                <w:div w:id="1971279124">
                  <w:marLeft w:val="0"/>
                  <w:marRight w:val="0"/>
                  <w:marTop w:val="0"/>
                  <w:marBottom w:val="0"/>
                  <w:divBdr>
                    <w:top w:val="none" w:sz="0" w:space="0" w:color="auto"/>
                    <w:left w:val="none" w:sz="0" w:space="0" w:color="auto"/>
                    <w:bottom w:val="none" w:sz="0" w:space="0" w:color="auto"/>
                    <w:right w:val="none" w:sz="0" w:space="0" w:color="auto"/>
                  </w:divBdr>
                  <w:divsChild>
                    <w:div w:id="1864172077">
                      <w:marLeft w:val="0"/>
                      <w:marRight w:val="0"/>
                      <w:marTop w:val="0"/>
                      <w:marBottom w:val="0"/>
                      <w:divBdr>
                        <w:top w:val="none" w:sz="0" w:space="0" w:color="auto"/>
                        <w:left w:val="none" w:sz="0" w:space="0" w:color="auto"/>
                        <w:bottom w:val="none" w:sz="0" w:space="0" w:color="auto"/>
                        <w:right w:val="none" w:sz="0" w:space="0" w:color="auto"/>
                      </w:divBdr>
                      <w:divsChild>
                        <w:div w:id="2067215066">
                          <w:marLeft w:val="0"/>
                          <w:marRight w:val="0"/>
                          <w:marTop w:val="0"/>
                          <w:marBottom w:val="0"/>
                          <w:divBdr>
                            <w:top w:val="none" w:sz="0" w:space="0" w:color="auto"/>
                            <w:left w:val="none" w:sz="0" w:space="0" w:color="auto"/>
                            <w:bottom w:val="none" w:sz="0" w:space="0" w:color="auto"/>
                            <w:right w:val="none" w:sz="0" w:space="0" w:color="auto"/>
                          </w:divBdr>
                          <w:divsChild>
                            <w:div w:id="1727752062">
                              <w:marLeft w:val="0"/>
                              <w:marRight w:val="0"/>
                              <w:marTop w:val="0"/>
                              <w:marBottom w:val="0"/>
                              <w:divBdr>
                                <w:top w:val="none" w:sz="0" w:space="0" w:color="auto"/>
                                <w:left w:val="none" w:sz="0" w:space="0" w:color="auto"/>
                                <w:bottom w:val="none" w:sz="0" w:space="0" w:color="auto"/>
                                <w:right w:val="none" w:sz="0" w:space="0" w:color="auto"/>
                              </w:divBdr>
                              <w:divsChild>
                                <w:div w:id="1121730100">
                                  <w:marLeft w:val="0"/>
                                  <w:marRight w:val="0"/>
                                  <w:marTop w:val="0"/>
                                  <w:marBottom w:val="0"/>
                                  <w:divBdr>
                                    <w:top w:val="none" w:sz="0" w:space="0" w:color="auto"/>
                                    <w:left w:val="none" w:sz="0" w:space="0" w:color="auto"/>
                                    <w:bottom w:val="none" w:sz="0" w:space="0" w:color="auto"/>
                                    <w:right w:val="none" w:sz="0" w:space="0" w:color="auto"/>
                                  </w:divBdr>
                                  <w:divsChild>
                                    <w:div w:id="1119034402">
                                      <w:marLeft w:val="0"/>
                                      <w:marRight w:val="0"/>
                                      <w:marTop w:val="0"/>
                                      <w:marBottom w:val="0"/>
                                      <w:divBdr>
                                        <w:top w:val="none" w:sz="0" w:space="0" w:color="auto"/>
                                        <w:left w:val="none" w:sz="0" w:space="0" w:color="auto"/>
                                        <w:bottom w:val="none" w:sz="0" w:space="0" w:color="auto"/>
                                        <w:right w:val="none" w:sz="0" w:space="0" w:color="auto"/>
                                      </w:divBdr>
                                      <w:divsChild>
                                        <w:div w:id="539125112">
                                          <w:marLeft w:val="0"/>
                                          <w:marRight w:val="0"/>
                                          <w:marTop w:val="0"/>
                                          <w:marBottom w:val="0"/>
                                          <w:divBdr>
                                            <w:top w:val="none" w:sz="0" w:space="0" w:color="auto"/>
                                            <w:left w:val="none" w:sz="0" w:space="0" w:color="auto"/>
                                            <w:bottom w:val="none" w:sz="0" w:space="0" w:color="auto"/>
                                            <w:right w:val="none" w:sz="0" w:space="0" w:color="auto"/>
                                          </w:divBdr>
                                          <w:divsChild>
                                            <w:div w:id="1027754150">
                                              <w:marLeft w:val="0"/>
                                              <w:marRight w:val="0"/>
                                              <w:marTop w:val="0"/>
                                              <w:marBottom w:val="0"/>
                                              <w:divBdr>
                                                <w:top w:val="none" w:sz="0" w:space="0" w:color="auto"/>
                                                <w:left w:val="none" w:sz="0" w:space="0" w:color="auto"/>
                                                <w:bottom w:val="none" w:sz="0" w:space="0" w:color="auto"/>
                                                <w:right w:val="none" w:sz="0" w:space="0" w:color="auto"/>
                                              </w:divBdr>
                                              <w:divsChild>
                                                <w:div w:id="924848598">
                                                  <w:marLeft w:val="0"/>
                                                  <w:marRight w:val="0"/>
                                                  <w:marTop w:val="225"/>
                                                  <w:marBottom w:val="300"/>
                                                  <w:divBdr>
                                                    <w:top w:val="none" w:sz="0" w:space="0" w:color="auto"/>
                                                    <w:left w:val="none" w:sz="0" w:space="0" w:color="auto"/>
                                                    <w:bottom w:val="none" w:sz="0" w:space="0" w:color="auto"/>
                                                    <w:right w:val="none" w:sz="0" w:space="0" w:color="auto"/>
                                                  </w:divBdr>
                                                  <w:divsChild>
                                                    <w:div w:id="1736509849">
                                                      <w:marLeft w:val="0"/>
                                                      <w:marRight w:val="0"/>
                                                      <w:marTop w:val="0"/>
                                                      <w:marBottom w:val="30"/>
                                                      <w:divBdr>
                                                        <w:top w:val="single" w:sz="6" w:space="0" w:color="E5E5E5"/>
                                                        <w:left w:val="single" w:sz="6" w:space="0" w:color="E5E5E5"/>
                                                        <w:bottom w:val="single" w:sz="6" w:space="0" w:color="E5E5E5"/>
                                                        <w:right w:val="single" w:sz="6" w:space="0" w:color="E5E5E5"/>
                                                      </w:divBdr>
                                                      <w:divsChild>
                                                        <w:div w:id="1088650161">
                                                          <w:marLeft w:val="0"/>
                                                          <w:marRight w:val="0"/>
                                                          <w:marTop w:val="0"/>
                                                          <w:marBottom w:val="0"/>
                                                          <w:divBdr>
                                                            <w:top w:val="none" w:sz="0" w:space="0" w:color="auto"/>
                                                            <w:left w:val="none" w:sz="0" w:space="0" w:color="auto"/>
                                                            <w:bottom w:val="none" w:sz="0" w:space="0" w:color="auto"/>
                                                            <w:right w:val="none" w:sz="0" w:space="0" w:color="auto"/>
                                                          </w:divBdr>
                                                          <w:divsChild>
                                                            <w:div w:id="1701542575">
                                                              <w:marLeft w:val="0"/>
                                                              <w:marRight w:val="0"/>
                                                              <w:marTop w:val="0"/>
                                                              <w:marBottom w:val="0"/>
                                                              <w:divBdr>
                                                                <w:top w:val="single" w:sz="6" w:space="7" w:color="E5E5E5"/>
                                                                <w:left w:val="none" w:sz="0" w:space="0" w:color="auto"/>
                                                                <w:bottom w:val="none" w:sz="0" w:space="0" w:color="auto"/>
                                                                <w:right w:val="none" w:sz="0" w:space="0" w:color="auto"/>
                                                              </w:divBdr>
                                                            </w:div>
                                                          </w:divsChild>
                                                        </w:div>
                                                        <w:div w:id="11348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728599">
      <w:bodyDiv w:val="1"/>
      <w:marLeft w:val="0"/>
      <w:marRight w:val="0"/>
      <w:marTop w:val="0"/>
      <w:marBottom w:val="0"/>
      <w:divBdr>
        <w:top w:val="none" w:sz="0" w:space="0" w:color="auto"/>
        <w:left w:val="none" w:sz="0" w:space="0" w:color="auto"/>
        <w:bottom w:val="none" w:sz="0" w:space="0" w:color="auto"/>
        <w:right w:val="none" w:sz="0" w:space="0" w:color="auto"/>
      </w:divBdr>
      <w:divsChild>
        <w:div w:id="531648664">
          <w:marLeft w:val="0"/>
          <w:marRight w:val="0"/>
          <w:marTop w:val="0"/>
          <w:marBottom w:val="0"/>
          <w:divBdr>
            <w:top w:val="none" w:sz="0" w:space="0" w:color="auto"/>
            <w:left w:val="none" w:sz="0" w:space="0" w:color="auto"/>
            <w:bottom w:val="none" w:sz="0" w:space="0" w:color="auto"/>
            <w:right w:val="none" w:sz="0" w:space="0" w:color="auto"/>
          </w:divBdr>
          <w:divsChild>
            <w:div w:id="594898135">
              <w:marLeft w:val="0"/>
              <w:marRight w:val="0"/>
              <w:marTop w:val="0"/>
              <w:marBottom w:val="0"/>
              <w:divBdr>
                <w:top w:val="none" w:sz="0" w:space="0" w:color="auto"/>
                <w:left w:val="none" w:sz="0" w:space="0" w:color="auto"/>
                <w:bottom w:val="none" w:sz="0" w:space="0" w:color="auto"/>
                <w:right w:val="none" w:sz="0" w:space="0" w:color="auto"/>
              </w:divBdr>
              <w:divsChild>
                <w:div w:id="914781250">
                  <w:marLeft w:val="0"/>
                  <w:marRight w:val="0"/>
                  <w:marTop w:val="0"/>
                  <w:marBottom w:val="0"/>
                  <w:divBdr>
                    <w:top w:val="none" w:sz="0" w:space="0" w:color="auto"/>
                    <w:left w:val="none" w:sz="0" w:space="0" w:color="auto"/>
                    <w:bottom w:val="none" w:sz="0" w:space="0" w:color="auto"/>
                    <w:right w:val="none" w:sz="0" w:space="0" w:color="auto"/>
                  </w:divBdr>
                  <w:divsChild>
                    <w:div w:id="1890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696">
      <w:bodyDiv w:val="1"/>
      <w:marLeft w:val="0"/>
      <w:marRight w:val="0"/>
      <w:marTop w:val="0"/>
      <w:marBottom w:val="0"/>
      <w:divBdr>
        <w:top w:val="none" w:sz="0" w:space="0" w:color="auto"/>
        <w:left w:val="none" w:sz="0" w:space="0" w:color="auto"/>
        <w:bottom w:val="none" w:sz="0" w:space="0" w:color="auto"/>
        <w:right w:val="none" w:sz="0" w:space="0" w:color="auto"/>
      </w:divBdr>
      <w:divsChild>
        <w:div w:id="1481313237">
          <w:marLeft w:val="0"/>
          <w:marRight w:val="0"/>
          <w:marTop w:val="0"/>
          <w:marBottom w:val="0"/>
          <w:divBdr>
            <w:top w:val="none" w:sz="0" w:space="0" w:color="auto"/>
            <w:left w:val="none" w:sz="0" w:space="0" w:color="auto"/>
            <w:bottom w:val="none" w:sz="0" w:space="0" w:color="auto"/>
            <w:right w:val="none" w:sz="0" w:space="0" w:color="auto"/>
          </w:divBdr>
          <w:divsChild>
            <w:div w:id="1233152069">
              <w:marLeft w:val="0"/>
              <w:marRight w:val="0"/>
              <w:marTop w:val="0"/>
              <w:marBottom w:val="0"/>
              <w:divBdr>
                <w:top w:val="none" w:sz="0" w:space="0" w:color="auto"/>
                <w:left w:val="none" w:sz="0" w:space="0" w:color="auto"/>
                <w:bottom w:val="none" w:sz="0" w:space="0" w:color="auto"/>
                <w:right w:val="none" w:sz="0" w:space="0" w:color="auto"/>
              </w:divBdr>
              <w:divsChild>
                <w:div w:id="628168027">
                  <w:marLeft w:val="0"/>
                  <w:marRight w:val="0"/>
                  <w:marTop w:val="0"/>
                  <w:marBottom w:val="0"/>
                  <w:divBdr>
                    <w:top w:val="none" w:sz="0" w:space="0" w:color="auto"/>
                    <w:left w:val="none" w:sz="0" w:space="0" w:color="auto"/>
                    <w:bottom w:val="none" w:sz="0" w:space="0" w:color="auto"/>
                    <w:right w:val="none" w:sz="0" w:space="0" w:color="auto"/>
                  </w:divBdr>
                  <w:divsChild>
                    <w:div w:id="1546791983">
                      <w:marLeft w:val="0"/>
                      <w:marRight w:val="0"/>
                      <w:marTop w:val="0"/>
                      <w:marBottom w:val="0"/>
                      <w:divBdr>
                        <w:top w:val="none" w:sz="0" w:space="0" w:color="auto"/>
                        <w:left w:val="none" w:sz="0" w:space="0" w:color="auto"/>
                        <w:bottom w:val="none" w:sz="0" w:space="0" w:color="auto"/>
                        <w:right w:val="none" w:sz="0" w:space="0" w:color="auto"/>
                      </w:divBdr>
                      <w:divsChild>
                        <w:div w:id="1843232355">
                          <w:marLeft w:val="0"/>
                          <w:marRight w:val="0"/>
                          <w:marTop w:val="0"/>
                          <w:marBottom w:val="0"/>
                          <w:divBdr>
                            <w:top w:val="none" w:sz="0" w:space="0" w:color="auto"/>
                            <w:left w:val="none" w:sz="0" w:space="0" w:color="auto"/>
                            <w:bottom w:val="none" w:sz="0" w:space="0" w:color="auto"/>
                            <w:right w:val="none" w:sz="0" w:space="0" w:color="auto"/>
                          </w:divBdr>
                          <w:divsChild>
                            <w:div w:id="2135755202">
                              <w:marLeft w:val="0"/>
                              <w:marRight w:val="0"/>
                              <w:marTop w:val="0"/>
                              <w:marBottom w:val="0"/>
                              <w:divBdr>
                                <w:top w:val="none" w:sz="0" w:space="0" w:color="auto"/>
                                <w:left w:val="none" w:sz="0" w:space="0" w:color="auto"/>
                                <w:bottom w:val="none" w:sz="0" w:space="0" w:color="auto"/>
                                <w:right w:val="none" w:sz="0" w:space="0" w:color="auto"/>
                              </w:divBdr>
                              <w:divsChild>
                                <w:div w:id="1260456093">
                                  <w:marLeft w:val="0"/>
                                  <w:marRight w:val="0"/>
                                  <w:marTop w:val="0"/>
                                  <w:marBottom w:val="0"/>
                                  <w:divBdr>
                                    <w:top w:val="none" w:sz="0" w:space="0" w:color="auto"/>
                                    <w:left w:val="none" w:sz="0" w:space="0" w:color="auto"/>
                                    <w:bottom w:val="none" w:sz="0" w:space="0" w:color="auto"/>
                                    <w:right w:val="none" w:sz="0" w:space="0" w:color="auto"/>
                                  </w:divBdr>
                                  <w:divsChild>
                                    <w:div w:id="1880631494">
                                      <w:marLeft w:val="0"/>
                                      <w:marRight w:val="0"/>
                                      <w:marTop w:val="0"/>
                                      <w:marBottom w:val="0"/>
                                      <w:divBdr>
                                        <w:top w:val="none" w:sz="0" w:space="0" w:color="auto"/>
                                        <w:left w:val="none" w:sz="0" w:space="0" w:color="auto"/>
                                        <w:bottom w:val="none" w:sz="0" w:space="0" w:color="auto"/>
                                        <w:right w:val="none" w:sz="0" w:space="0" w:color="auto"/>
                                      </w:divBdr>
                                      <w:divsChild>
                                        <w:div w:id="159590903">
                                          <w:marLeft w:val="0"/>
                                          <w:marRight w:val="0"/>
                                          <w:marTop w:val="0"/>
                                          <w:marBottom w:val="0"/>
                                          <w:divBdr>
                                            <w:top w:val="none" w:sz="0" w:space="0" w:color="auto"/>
                                            <w:left w:val="none" w:sz="0" w:space="0" w:color="auto"/>
                                            <w:bottom w:val="none" w:sz="0" w:space="0" w:color="auto"/>
                                            <w:right w:val="none" w:sz="0" w:space="0" w:color="auto"/>
                                          </w:divBdr>
                                          <w:divsChild>
                                            <w:div w:id="13656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213185">
      <w:bodyDiv w:val="1"/>
      <w:marLeft w:val="0"/>
      <w:marRight w:val="0"/>
      <w:marTop w:val="0"/>
      <w:marBottom w:val="0"/>
      <w:divBdr>
        <w:top w:val="none" w:sz="0" w:space="0" w:color="auto"/>
        <w:left w:val="none" w:sz="0" w:space="0" w:color="auto"/>
        <w:bottom w:val="none" w:sz="0" w:space="0" w:color="auto"/>
        <w:right w:val="none" w:sz="0" w:space="0" w:color="auto"/>
      </w:divBdr>
      <w:divsChild>
        <w:div w:id="429619942">
          <w:marLeft w:val="0"/>
          <w:marRight w:val="0"/>
          <w:marTop w:val="0"/>
          <w:marBottom w:val="0"/>
          <w:divBdr>
            <w:top w:val="none" w:sz="0" w:space="0" w:color="auto"/>
            <w:left w:val="none" w:sz="0" w:space="0" w:color="auto"/>
            <w:bottom w:val="none" w:sz="0" w:space="0" w:color="auto"/>
            <w:right w:val="none" w:sz="0" w:space="0" w:color="auto"/>
          </w:divBdr>
          <w:divsChild>
            <w:div w:id="2040080180">
              <w:marLeft w:val="0"/>
              <w:marRight w:val="0"/>
              <w:marTop w:val="0"/>
              <w:marBottom w:val="0"/>
              <w:divBdr>
                <w:top w:val="none" w:sz="0" w:space="0" w:color="auto"/>
                <w:left w:val="none" w:sz="0" w:space="0" w:color="auto"/>
                <w:bottom w:val="none" w:sz="0" w:space="0" w:color="auto"/>
                <w:right w:val="none" w:sz="0" w:space="0" w:color="auto"/>
              </w:divBdr>
              <w:divsChild>
                <w:div w:id="47194291">
                  <w:marLeft w:val="0"/>
                  <w:marRight w:val="0"/>
                  <w:marTop w:val="0"/>
                  <w:marBottom w:val="0"/>
                  <w:divBdr>
                    <w:top w:val="none" w:sz="0" w:space="0" w:color="auto"/>
                    <w:left w:val="none" w:sz="0" w:space="0" w:color="auto"/>
                    <w:bottom w:val="none" w:sz="0" w:space="0" w:color="auto"/>
                    <w:right w:val="none" w:sz="0" w:space="0" w:color="auto"/>
                  </w:divBdr>
                  <w:divsChild>
                    <w:div w:id="4394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75135">
      <w:bodyDiv w:val="1"/>
      <w:marLeft w:val="0"/>
      <w:marRight w:val="0"/>
      <w:marTop w:val="0"/>
      <w:marBottom w:val="0"/>
      <w:divBdr>
        <w:top w:val="none" w:sz="0" w:space="0" w:color="auto"/>
        <w:left w:val="none" w:sz="0" w:space="0" w:color="auto"/>
        <w:bottom w:val="none" w:sz="0" w:space="0" w:color="auto"/>
        <w:right w:val="none" w:sz="0" w:space="0" w:color="auto"/>
      </w:divBdr>
      <w:divsChild>
        <w:div w:id="1674719088">
          <w:marLeft w:val="0"/>
          <w:marRight w:val="0"/>
          <w:marTop w:val="0"/>
          <w:marBottom w:val="0"/>
          <w:divBdr>
            <w:top w:val="none" w:sz="0" w:space="0" w:color="auto"/>
            <w:left w:val="none" w:sz="0" w:space="0" w:color="auto"/>
            <w:bottom w:val="none" w:sz="0" w:space="0" w:color="auto"/>
            <w:right w:val="none" w:sz="0" w:space="0" w:color="auto"/>
          </w:divBdr>
          <w:divsChild>
            <w:div w:id="1889949268">
              <w:marLeft w:val="0"/>
              <w:marRight w:val="0"/>
              <w:marTop w:val="0"/>
              <w:marBottom w:val="0"/>
              <w:divBdr>
                <w:top w:val="none" w:sz="0" w:space="0" w:color="auto"/>
                <w:left w:val="none" w:sz="0" w:space="0" w:color="auto"/>
                <w:bottom w:val="none" w:sz="0" w:space="0" w:color="auto"/>
                <w:right w:val="none" w:sz="0" w:space="0" w:color="auto"/>
              </w:divBdr>
              <w:divsChild>
                <w:div w:id="95449883">
                  <w:marLeft w:val="0"/>
                  <w:marRight w:val="0"/>
                  <w:marTop w:val="0"/>
                  <w:marBottom w:val="0"/>
                  <w:divBdr>
                    <w:top w:val="none" w:sz="0" w:space="0" w:color="auto"/>
                    <w:left w:val="none" w:sz="0" w:space="0" w:color="auto"/>
                    <w:bottom w:val="none" w:sz="0" w:space="0" w:color="auto"/>
                    <w:right w:val="none" w:sz="0" w:space="0" w:color="auto"/>
                  </w:divBdr>
                  <w:divsChild>
                    <w:div w:id="819729406">
                      <w:marLeft w:val="0"/>
                      <w:marRight w:val="0"/>
                      <w:marTop w:val="0"/>
                      <w:marBottom w:val="0"/>
                      <w:divBdr>
                        <w:top w:val="none" w:sz="0" w:space="0" w:color="auto"/>
                        <w:left w:val="none" w:sz="0" w:space="0" w:color="auto"/>
                        <w:bottom w:val="none" w:sz="0" w:space="0" w:color="auto"/>
                        <w:right w:val="none" w:sz="0" w:space="0" w:color="auto"/>
                      </w:divBdr>
                      <w:divsChild>
                        <w:div w:id="1471243589">
                          <w:marLeft w:val="0"/>
                          <w:marRight w:val="0"/>
                          <w:marTop w:val="0"/>
                          <w:marBottom w:val="0"/>
                          <w:divBdr>
                            <w:top w:val="none" w:sz="0" w:space="0" w:color="auto"/>
                            <w:left w:val="none" w:sz="0" w:space="0" w:color="auto"/>
                            <w:bottom w:val="none" w:sz="0" w:space="0" w:color="auto"/>
                            <w:right w:val="none" w:sz="0" w:space="0" w:color="auto"/>
                          </w:divBdr>
                          <w:divsChild>
                            <w:div w:id="2020571534">
                              <w:marLeft w:val="0"/>
                              <w:marRight w:val="0"/>
                              <w:marTop w:val="0"/>
                              <w:marBottom w:val="0"/>
                              <w:divBdr>
                                <w:top w:val="none" w:sz="0" w:space="0" w:color="auto"/>
                                <w:left w:val="none" w:sz="0" w:space="0" w:color="auto"/>
                                <w:bottom w:val="none" w:sz="0" w:space="0" w:color="auto"/>
                                <w:right w:val="none" w:sz="0" w:space="0" w:color="auto"/>
                              </w:divBdr>
                              <w:divsChild>
                                <w:div w:id="443766396">
                                  <w:marLeft w:val="0"/>
                                  <w:marRight w:val="0"/>
                                  <w:marTop w:val="0"/>
                                  <w:marBottom w:val="0"/>
                                  <w:divBdr>
                                    <w:top w:val="none" w:sz="0" w:space="0" w:color="auto"/>
                                    <w:left w:val="none" w:sz="0" w:space="0" w:color="auto"/>
                                    <w:bottom w:val="none" w:sz="0" w:space="0" w:color="auto"/>
                                    <w:right w:val="none" w:sz="0" w:space="0" w:color="auto"/>
                                  </w:divBdr>
                                  <w:divsChild>
                                    <w:div w:id="1861428931">
                                      <w:marLeft w:val="0"/>
                                      <w:marRight w:val="0"/>
                                      <w:marTop w:val="0"/>
                                      <w:marBottom w:val="0"/>
                                      <w:divBdr>
                                        <w:top w:val="none" w:sz="0" w:space="0" w:color="auto"/>
                                        <w:left w:val="none" w:sz="0" w:space="0" w:color="auto"/>
                                        <w:bottom w:val="none" w:sz="0" w:space="0" w:color="auto"/>
                                        <w:right w:val="none" w:sz="0" w:space="0" w:color="auto"/>
                                      </w:divBdr>
                                      <w:divsChild>
                                        <w:div w:id="1147555618">
                                          <w:marLeft w:val="0"/>
                                          <w:marRight w:val="0"/>
                                          <w:marTop w:val="0"/>
                                          <w:marBottom w:val="0"/>
                                          <w:divBdr>
                                            <w:top w:val="none" w:sz="0" w:space="0" w:color="auto"/>
                                            <w:left w:val="none" w:sz="0" w:space="0" w:color="auto"/>
                                            <w:bottom w:val="none" w:sz="0" w:space="0" w:color="auto"/>
                                            <w:right w:val="none" w:sz="0" w:space="0" w:color="auto"/>
                                          </w:divBdr>
                                          <w:divsChild>
                                            <w:div w:id="1274704919">
                                              <w:marLeft w:val="0"/>
                                              <w:marRight w:val="0"/>
                                              <w:marTop w:val="0"/>
                                              <w:marBottom w:val="0"/>
                                              <w:divBdr>
                                                <w:top w:val="none" w:sz="0" w:space="0" w:color="auto"/>
                                                <w:left w:val="none" w:sz="0" w:space="0" w:color="auto"/>
                                                <w:bottom w:val="none" w:sz="0" w:space="0" w:color="auto"/>
                                                <w:right w:val="none" w:sz="0" w:space="0" w:color="auto"/>
                                              </w:divBdr>
                                              <w:divsChild>
                                                <w:div w:id="1443574839">
                                                  <w:marLeft w:val="0"/>
                                                  <w:marRight w:val="0"/>
                                                  <w:marTop w:val="225"/>
                                                  <w:marBottom w:val="300"/>
                                                  <w:divBdr>
                                                    <w:top w:val="none" w:sz="0" w:space="0" w:color="auto"/>
                                                    <w:left w:val="none" w:sz="0" w:space="0" w:color="auto"/>
                                                    <w:bottom w:val="none" w:sz="0" w:space="0" w:color="auto"/>
                                                    <w:right w:val="none" w:sz="0" w:space="0" w:color="auto"/>
                                                  </w:divBdr>
                                                  <w:divsChild>
                                                    <w:div w:id="1287082008">
                                                      <w:marLeft w:val="0"/>
                                                      <w:marRight w:val="0"/>
                                                      <w:marTop w:val="0"/>
                                                      <w:marBottom w:val="30"/>
                                                      <w:divBdr>
                                                        <w:top w:val="single" w:sz="6" w:space="0" w:color="E5E5E5"/>
                                                        <w:left w:val="single" w:sz="6" w:space="0" w:color="E5E5E5"/>
                                                        <w:bottom w:val="single" w:sz="6" w:space="0" w:color="E5E5E5"/>
                                                        <w:right w:val="single" w:sz="6" w:space="0" w:color="E5E5E5"/>
                                                      </w:divBdr>
                                                      <w:divsChild>
                                                        <w:div w:id="1282304975">
                                                          <w:marLeft w:val="0"/>
                                                          <w:marRight w:val="0"/>
                                                          <w:marTop w:val="0"/>
                                                          <w:marBottom w:val="0"/>
                                                          <w:divBdr>
                                                            <w:top w:val="none" w:sz="0" w:space="0" w:color="auto"/>
                                                            <w:left w:val="none" w:sz="0" w:space="0" w:color="auto"/>
                                                            <w:bottom w:val="none" w:sz="0" w:space="0" w:color="auto"/>
                                                            <w:right w:val="none" w:sz="0" w:space="0" w:color="auto"/>
                                                          </w:divBdr>
                                                        </w:div>
                                                        <w:div w:id="1765344992">
                                                          <w:marLeft w:val="0"/>
                                                          <w:marRight w:val="0"/>
                                                          <w:marTop w:val="0"/>
                                                          <w:marBottom w:val="0"/>
                                                          <w:divBdr>
                                                            <w:top w:val="none" w:sz="0" w:space="0" w:color="auto"/>
                                                            <w:left w:val="none" w:sz="0" w:space="0" w:color="auto"/>
                                                            <w:bottom w:val="none" w:sz="0" w:space="0" w:color="auto"/>
                                                            <w:right w:val="none" w:sz="0" w:space="0" w:color="auto"/>
                                                          </w:divBdr>
                                                          <w:divsChild>
                                                            <w:div w:id="7590891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2659964">
      <w:bodyDiv w:val="1"/>
      <w:marLeft w:val="0"/>
      <w:marRight w:val="0"/>
      <w:marTop w:val="0"/>
      <w:marBottom w:val="0"/>
      <w:divBdr>
        <w:top w:val="none" w:sz="0" w:space="0" w:color="auto"/>
        <w:left w:val="none" w:sz="0" w:space="0" w:color="auto"/>
        <w:bottom w:val="none" w:sz="0" w:space="0" w:color="auto"/>
        <w:right w:val="none" w:sz="0" w:space="0" w:color="auto"/>
      </w:divBdr>
      <w:divsChild>
        <w:div w:id="2131624439">
          <w:marLeft w:val="0"/>
          <w:marRight w:val="0"/>
          <w:marTop w:val="0"/>
          <w:marBottom w:val="0"/>
          <w:divBdr>
            <w:top w:val="none" w:sz="0" w:space="0" w:color="auto"/>
            <w:left w:val="none" w:sz="0" w:space="0" w:color="auto"/>
            <w:bottom w:val="none" w:sz="0" w:space="0" w:color="auto"/>
            <w:right w:val="none" w:sz="0" w:space="0" w:color="auto"/>
          </w:divBdr>
          <w:divsChild>
            <w:div w:id="322971107">
              <w:marLeft w:val="0"/>
              <w:marRight w:val="0"/>
              <w:marTop w:val="0"/>
              <w:marBottom w:val="0"/>
              <w:divBdr>
                <w:top w:val="none" w:sz="0" w:space="0" w:color="auto"/>
                <w:left w:val="none" w:sz="0" w:space="0" w:color="auto"/>
                <w:bottom w:val="none" w:sz="0" w:space="0" w:color="auto"/>
                <w:right w:val="none" w:sz="0" w:space="0" w:color="auto"/>
              </w:divBdr>
              <w:divsChild>
                <w:div w:id="1433668286">
                  <w:marLeft w:val="0"/>
                  <w:marRight w:val="0"/>
                  <w:marTop w:val="0"/>
                  <w:marBottom w:val="0"/>
                  <w:divBdr>
                    <w:top w:val="none" w:sz="0" w:space="0" w:color="auto"/>
                    <w:left w:val="none" w:sz="0" w:space="0" w:color="auto"/>
                    <w:bottom w:val="none" w:sz="0" w:space="0" w:color="auto"/>
                    <w:right w:val="none" w:sz="0" w:space="0" w:color="auto"/>
                  </w:divBdr>
                  <w:divsChild>
                    <w:div w:id="1032850869">
                      <w:marLeft w:val="-300"/>
                      <w:marRight w:val="0"/>
                      <w:marTop w:val="0"/>
                      <w:marBottom w:val="0"/>
                      <w:divBdr>
                        <w:top w:val="none" w:sz="0" w:space="0" w:color="auto"/>
                        <w:left w:val="none" w:sz="0" w:space="0" w:color="auto"/>
                        <w:bottom w:val="none" w:sz="0" w:space="0" w:color="auto"/>
                        <w:right w:val="none" w:sz="0" w:space="0" w:color="auto"/>
                      </w:divBdr>
                      <w:divsChild>
                        <w:div w:id="20653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3629">
      <w:bodyDiv w:val="1"/>
      <w:marLeft w:val="0"/>
      <w:marRight w:val="0"/>
      <w:marTop w:val="0"/>
      <w:marBottom w:val="0"/>
      <w:divBdr>
        <w:top w:val="none" w:sz="0" w:space="0" w:color="auto"/>
        <w:left w:val="none" w:sz="0" w:space="0" w:color="auto"/>
        <w:bottom w:val="none" w:sz="0" w:space="0" w:color="auto"/>
        <w:right w:val="none" w:sz="0" w:space="0" w:color="auto"/>
      </w:divBdr>
      <w:divsChild>
        <w:div w:id="1048334531">
          <w:marLeft w:val="0"/>
          <w:marRight w:val="0"/>
          <w:marTop w:val="0"/>
          <w:marBottom w:val="0"/>
          <w:divBdr>
            <w:top w:val="none" w:sz="0" w:space="0" w:color="auto"/>
            <w:left w:val="none" w:sz="0" w:space="0" w:color="auto"/>
            <w:bottom w:val="none" w:sz="0" w:space="0" w:color="auto"/>
            <w:right w:val="none" w:sz="0" w:space="0" w:color="auto"/>
          </w:divBdr>
          <w:divsChild>
            <w:div w:id="669604455">
              <w:marLeft w:val="0"/>
              <w:marRight w:val="0"/>
              <w:marTop w:val="0"/>
              <w:marBottom w:val="0"/>
              <w:divBdr>
                <w:top w:val="none" w:sz="0" w:space="0" w:color="auto"/>
                <w:left w:val="none" w:sz="0" w:space="0" w:color="auto"/>
                <w:bottom w:val="none" w:sz="0" w:space="0" w:color="auto"/>
                <w:right w:val="none" w:sz="0" w:space="0" w:color="auto"/>
              </w:divBdr>
              <w:divsChild>
                <w:div w:id="1579244501">
                  <w:marLeft w:val="0"/>
                  <w:marRight w:val="0"/>
                  <w:marTop w:val="0"/>
                  <w:marBottom w:val="0"/>
                  <w:divBdr>
                    <w:top w:val="none" w:sz="0" w:space="0" w:color="auto"/>
                    <w:left w:val="none" w:sz="0" w:space="0" w:color="auto"/>
                    <w:bottom w:val="none" w:sz="0" w:space="0" w:color="auto"/>
                    <w:right w:val="none" w:sz="0" w:space="0" w:color="auto"/>
                  </w:divBdr>
                  <w:divsChild>
                    <w:div w:id="8644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57145">
      <w:bodyDiv w:val="1"/>
      <w:marLeft w:val="0"/>
      <w:marRight w:val="0"/>
      <w:marTop w:val="0"/>
      <w:marBottom w:val="0"/>
      <w:divBdr>
        <w:top w:val="none" w:sz="0" w:space="0" w:color="auto"/>
        <w:left w:val="none" w:sz="0" w:space="0" w:color="auto"/>
        <w:bottom w:val="none" w:sz="0" w:space="0" w:color="auto"/>
        <w:right w:val="none" w:sz="0" w:space="0" w:color="auto"/>
      </w:divBdr>
      <w:divsChild>
        <w:div w:id="170074588">
          <w:marLeft w:val="0"/>
          <w:marRight w:val="0"/>
          <w:marTop w:val="0"/>
          <w:marBottom w:val="0"/>
          <w:divBdr>
            <w:top w:val="none" w:sz="0" w:space="0" w:color="auto"/>
            <w:left w:val="none" w:sz="0" w:space="0" w:color="auto"/>
            <w:bottom w:val="none" w:sz="0" w:space="0" w:color="auto"/>
            <w:right w:val="none" w:sz="0" w:space="0" w:color="auto"/>
          </w:divBdr>
          <w:divsChild>
            <w:div w:id="92096030">
              <w:marLeft w:val="0"/>
              <w:marRight w:val="0"/>
              <w:marTop w:val="0"/>
              <w:marBottom w:val="0"/>
              <w:divBdr>
                <w:top w:val="none" w:sz="0" w:space="0" w:color="auto"/>
                <w:left w:val="none" w:sz="0" w:space="0" w:color="auto"/>
                <w:bottom w:val="none" w:sz="0" w:space="0" w:color="auto"/>
                <w:right w:val="none" w:sz="0" w:space="0" w:color="auto"/>
              </w:divBdr>
              <w:divsChild>
                <w:div w:id="157548991">
                  <w:marLeft w:val="0"/>
                  <w:marRight w:val="0"/>
                  <w:marTop w:val="0"/>
                  <w:marBottom w:val="0"/>
                  <w:divBdr>
                    <w:top w:val="none" w:sz="0" w:space="0" w:color="auto"/>
                    <w:left w:val="none" w:sz="0" w:space="0" w:color="auto"/>
                    <w:bottom w:val="none" w:sz="0" w:space="0" w:color="auto"/>
                    <w:right w:val="none" w:sz="0" w:space="0" w:color="auto"/>
                  </w:divBdr>
                  <w:divsChild>
                    <w:div w:id="347633769">
                      <w:marLeft w:val="0"/>
                      <w:marRight w:val="0"/>
                      <w:marTop w:val="0"/>
                      <w:marBottom w:val="0"/>
                      <w:divBdr>
                        <w:top w:val="none" w:sz="0" w:space="0" w:color="auto"/>
                        <w:left w:val="none" w:sz="0" w:space="0" w:color="auto"/>
                        <w:bottom w:val="none" w:sz="0" w:space="0" w:color="auto"/>
                        <w:right w:val="none" w:sz="0" w:space="0" w:color="auto"/>
                      </w:divBdr>
                      <w:divsChild>
                        <w:div w:id="1463426107">
                          <w:marLeft w:val="0"/>
                          <w:marRight w:val="0"/>
                          <w:marTop w:val="0"/>
                          <w:marBottom w:val="0"/>
                          <w:divBdr>
                            <w:top w:val="none" w:sz="0" w:space="0" w:color="auto"/>
                            <w:left w:val="none" w:sz="0" w:space="0" w:color="auto"/>
                            <w:bottom w:val="none" w:sz="0" w:space="0" w:color="auto"/>
                            <w:right w:val="none" w:sz="0" w:space="0" w:color="auto"/>
                          </w:divBdr>
                          <w:divsChild>
                            <w:div w:id="242299449">
                              <w:marLeft w:val="0"/>
                              <w:marRight w:val="0"/>
                              <w:marTop w:val="0"/>
                              <w:marBottom w:val="0"/>
                              <w:divBdr>
                                <w:top w:val="none" w:sz="0" w:space="0" w:color="auto"/>
                                <w:left w:val="none" w:sz="0" w:space="0" w:color="auto"/>
                                <w:bottom w:val="none" w:sz="0" w:space="0" w:color="auto"/>
                                <w:right w:val="none" w:sz="0" w:space="0" w:color="auto"/>
                              </w:divBdr>
                              <w:divsChild>
                                <w:div w:id="1662351802">
                                  <w:marLeft w:val="0"/>
                                  <w:marRight w:val="0"/>
                                  <w:marTop w:val="0"/>
                                  <w:marBottom w:val="0"/>
                                  <w:divBdr>
                                    <w:top w:val="none" w:sz="0" w:space="0" w:color="auto"/>
                                    <w:left w:val="none" w:sz="0" w:space="0" w:color="auto"/>
                                    <w:bottom w:val="none" w:sz="0" w:space="0" w:color="auto"/>
                                    <w:right w:val="none" w:sz="0" w:space="0" w:color="auto"/>
                                  </w:divBdr>
                                  <w:divsChild>
                                    <w:div w:id="1902524612">
                                      <w:marLeft w:val="0"/>
                                      <w:marRight w:val="0"/>
                                      <w:marTop w:val="0"/>
                                      <w:marBottom w:val="0"/>
                                      <w:divBdr>
                                        <w:top w:val="none" w:sz="0" w:space="0" w:color="auto"/>
                                        <w:left w:val="none" w:sz="0" w:space="0" w:color="auto"/>
                                        <w:bottom w:val="none" w:sz="0" w:space="0" w:color="auto"/>
                                        <w:right w:val="none" w:sz="0" w:space="0" w:color="auto"/>
                                      </w:divBdr>
                                      <w:divsChild>
                                        <w:div w:id="1698463372">
                                          <w:marLeft w:val="0"/>
                                          <w:marRight w:val="0"/>
                                          <w:marTop w:val="0"/>
                                          <w:marBottom w:val="0"/>
                                          <w:divBdr>
                                            <w:top w:val="none" w:sz="0" w:space="0" w:color="auto"/>
                                            <w:left w:val="none" w:sz="0" w:space="0" w:color="auto"/>
                                            <w:bottom w:val="none" w:sz="0" w:space="0" w:color="auto"/>
                                            <w:right w:val="none" w:sz="0" w:space="0" w:color="auto"/>
                                          </w:divBdr>
                                          <w:divsChild>
                                            <w:div w:id="1547642117">
                                              <w:marLeft w:val="0"/>
                                              <w:marRight w:val="0"/>
                                              <w:marTop w:val="0"/>
                                              <w:marBottom w:val="0"/>
                                              <w:divBdr>
                                                <w:top w:val="none" w:sz="0" w:space="0" w:color="auto"/>
                                                <w:left w:val="none" w:sz="0" w:space="0" w:color="auto"/>
                                                <w:bottom w:val="none" w:sz="0" w:space="0" w:color="auto"/>
                                                <w:right w:val="none" w:sz="0" w:space="0" w:color="auto"/>
                                              </w:divBdr>
                                              <w:divsChild>
                                                <w:div w:id="290093115">
                                                  <w:marLeft w:val="0"/>
                                                  <w:marRight w:val="0"/>
                                                  <w:marTop w:val="0"/>
                                                  <w:marBottom w:val="0"/>
                                                  <w:divBdr>
                                                    <w:top w:val="none" w:sz="0" w:space="0" w:color="auto"/>
                                                    <w:left w:val="none" w:sz="0" w:space="0" w:color="auto"/>
                                                    <w:bottom w:val="none" w:sz="0" w:space="0" w:color="auto"/>
                                                    <w:right w:val="none" w:sz="0" w:space="0" w:color="auto"/>
                                                  </w:divBdr>
                                                </w:div>
                                                <w:div w:id="5954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602452">
      <w:bodyDiv w:val="1"/>
      <w:marLeft w:val="0"/>
      <w:marRight w:val="0"/>
      <w:marTop w:val="0"/>
      <w:marBottom w:val="0"/>
      <w:divBdr>
        <w:top w:val="none" w:sz="0" w:space="0" w:color="auto"/>
        <w:left w:val="none" w:sz="0" w:space="0" w:color="auto"/>
        <w:bottom w:val="none" w:sz="0" w:space="0" w:color="auto"/>
        <w:right w:val="none" w:sz="0" w:space="0" w:color="auto"/>
      </w:divBdr>
      <w:divsChild>
        <w:div w:id="655375057">
          <w:marLeft w:val="0"/>
          <w:marRight w:val="0"/>
          <w:marTop w:val="0"/>
          <w:marBottom w:val="0"/>
          <w:divBdr>
            <w:top w:val="none" w:sz="0" w:space="0" w:color="auto"/>
            <w:left w:val="none" w:sz="0" w:space="0" w:color="auto"/>
            <w:bottom w:val="none" w:sz="0" w:space="0" w:color="auto"/>
            <w:right w:val="none" w:sz="0" w:space="0" w:color="auto"/>
          </w:divBdr>
          <w:divsChild>
            <w:div w:id="974141241">
              <w:marLeft w:val="0"/>
              <w:marRight w:val="0"/>
              <w:marTop w:val="0"/>
              <w:marBottom w:val="0"/>
              <w:divBdr>
                <w:top w:val="none" w:sz="0" w:space="0" w:color="auto"/>
                <w:left w:val="none" w:sz="0" w:space="0" w:color="auto"/>
                <w:bottom w:val="none" w:sz="0" w:space="0" w:color="auto"/>
                <w:right w:val="none" w:sz="0" w:space="0" w:color="auto"/>
              </w:divBdr>
              <w:divsChild>
                <w:div w:id="1631935039">
                  <w:marLeft w:val="0"/>
                  <w:marRight w:val="0"/>
                  <w:marTop w:val="0"/>
                  <w:marBottom w:val="0"/>
                  <w:divBdr>
                    <w:top w:val="none" w:sz="0" w:space="0" w:color="auto"/>
                    <w:left w:val="none" w:sz="0" w:space="0" w:color="auto"/>
                    <w:bottom w:val="none" w:sz="0" w:space="0" w:color="auto"/>
                    <w:right w:val="none" w:sz="0" w:space="0" w:color="auto"/>
                  </w:divBdr>
                  <w:divsChild>
                    <w:div w:id="19959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8060">
      <w:bodyDiv w:val="1"/>
      <w:marLeft w:val="0"/>
      <w:marRight w:val="0"/>
      <w:marTop w:val="0"/>
      <w:marBottom w:val="0"/>
      <w:divBdr>
        <w:top w:val="none" w:sz="0" w:space="0" w:color="auto"/>
        <w:left w:val="none" w:sz="0" w:space="0" w:color="auto"/>
        <w:bottom w:val="none" w:sz="0" w:space="0" w:color="auto"/>
        <w:right w:val="none" w:sz="0" w:space="0" w:color="auto"/>
      </w:divBdr>
      <w:divsChild>
        <w:div w:id="2099448846">
          <w:marLeft w:val="0"/>
          <w:marRight w:val="0"/>
          <w:marTop w:val="0"/>
          <w:marBottom w:val="0"/>
          <w:divBdr>
            <w:top w:val="none" w:sz="0" w:space="0" w:color="auto"/>
            <w:left w:val="none" w:sz="0" w:space="0" w:color="auto"/>
            <w:bottom w:val="none" w:sz="0" w:space="0" w:color="auto"/>
            <w:right w:val="none" w:sz="0" w:space="0" w:color="auto"/>
          </w:divBdr>
          <w:divsChild>
            <w:div w:id="1089036385">
              <w:marLeft w:val="0"/>
              <w:marRight w:val="0"/>
              <w:marTop w:val="0"/>
              <w:marBottom w:val="0"/>
              <w:divBdr>
                <w:top w:val="none" w:sz="0" w:space="0" w:color="auto"/>
                <w:left w:val="none" w:sz="0" w:space="0" w:color="auto"/>
                <w:bottom w:val="none" w:sz="0" w:space="0" w:color="auto"/>
                <w:right w:val="none" w:sz="0" w:space="0" w:color="auto"/>
              </w:divBdr>
              <w:divsChild>
                <w:div w:id="1123840920">
                  <w:marLeft w:val="0"/>
                  <w:marRight w:val="0"/>
                  <w:marTop w:val="0"/>
                  <w:marBottom w:val="0"/>
                  <w:divBdr>
                    <w:top w:val="none" w:sz="0" w:space="0" w:color="auto"/>
                    <w:left w:val="none" w:sz="0" w:space="0" w:color="auto"/>
                    <w:bottom w:val="none" w:sz="0" w:space="0" w:color="auto"/>
                    <w:right w:val="none" w:sz="0" w:space="0" w:color="auto"/>
                  </w:divBdr>
                  <w:divsChild>
                    <w:div w:id="793867788">
                      <w:marLeft w:val="0"/>
                      <w:marRight w:val="0"/>
                      <w:marTop w:val="0"/>
                      <w:marBottom w:val="0"/>
                      <w:divBdr>
                        <w:top w:val="none" w:sz="0" w:space="0" w:color="auto"/>
                        <w:left w:val="none" w:sz="0" w:space="0" w:color="auto"/>
                        <w:bottom w:val="none" w:sz="0" w:space="0" w:color="auto"/>
                        <w:right w:val="none" w:sz="0" w:space="0" w:color="auto"/>
                      </w:divBdr>
                      <w:divsChild>
                        <w:div w:id="1556116339">
                          <w:marLeft w:val="0"/>
                          <w:marRight w:val="0"/>
                          <w:marTop w:val="0"/>
                          <w:marBottom w:val="0"/>
                          <w:divBdr>
                            <w:top w:val="none" w:sz="0" w:space="0" w:color="auto"/>
                            <w:left w:val="none" w:sz="0" w:space="0" w:color="auto"/>
                            <w:bottom w:val="none" w:sz="0" w:space="0" w:color="auto"/>
                            <w:right w:val="none" w:sz="0" w:space="0" w:color="auto"/>
                          </w:divBdr>
                          <w:divsChild>
                            <w:div w:id="1071778229">
                              <w:marLeft w:val="0"/>
                              <w:marRight w:val="0"/>
                              <w:marTop w:val="0"/>
                              <w:marBottom w:val="0"/>
                              <w:divBdr>
                                <w:top w:val="none" w:sz="0" w:space="0" w:color="auto"/>
                                <w:left w:val="none" w:sz="0" w:space="0" w:color="auto"/>
                                <w:bottom w:val="none" w:sz="0" w:space="0" w:color="auto"/>
                                <w:right w:val="none" w:sz="0" w:space="0" w:color="auto"/>
                              </w:divBdr>
                              <w:divsChild>
                                <w:div w:id="1820927370">
                                  <w:marLeft w:val="0"/>
                                  <w:marRight w:val="0"/>
                                  <w:marTop w:val="0"/>
                                  <w:marBottom w:val="0"/>
                                  <w:divBdr>
                                    <w:top w:val="none" w:sz="0" w:space="0" w:color="auto"/>
                                    <w:left w:val="none" w:sz="0" w:space="0" w:color="auto"/>
                                    <w:bottom w:val="none" w:sz="0" w:space="0" w:color="auto"/>
                                    <w:right w:val="none" w:sz="0" w:space="0" w:color="auto"/>
                                  </w:divBdr>
                                  <w:divsChild>
                                    <w:div w:id="1775780588">
                                      <w:marLeft w:val="0"/>
                                      <w:marRight w:val="0"/>
                                      <w:marTop w:val="0"/>
                                      <w:marBottom w:val="0"/>
                                      <w:divBdr>
                                        <w:top w:val="none" w:sz="0" w:space="0" w:color="auto"/>
                                        <w:left w:val="none" w:sz="0" w:space="0" w:color="auto"/>
                                        <w:bottom w:val="none" w:sz="0" w:space="0" w:color="auto"/>
                                        <w:right w:val="none" w:sz="0" w:space="0" w:color="auto"/>
                                      </w:divBdr>
                                      <w:divsChild>
                                        <w:div w:id="1396049359">
                                          <w:marLeft w:val="0"/>
                                          <w:marRight w:val="0"/>
                                          <w:marTop w:val="0"/>
                                          <w:marBottom w:val="0"/>
                                          <w:divBdr>
                                            <w:top w:val="none" w:sz="0" w:space="0" w:color="auto"/>
                                            <w:left w:val="none" w:sz="0" w:space="0" w:color="auto"/>
                                            <w:bottom w:val="none" w:sz="0" w:space="0" w:color="auto"/>
                                            <w:right w:val="none" w:sz="0" w:space="0" w:color="auto"/>
                                          </w:divBdr>
                                          <w:divsChild>
                                            <w:div w:id="283465126">
                                              <w:marLeft w:val="0"/>
                                              <w:marRight w:val="0"/>
                                              <w:marTop w:val="0"/>
                                              <w:marBottom w:val="0"/>
                                              <w:divBdr>
                                                <w:top w:val="none" w:sz="0" w:space="0" w:color="auto"/>
                                                <w:left w:val="none" w:sz="0" w:space="0" w:color="auto"/>
                                                <w:bottom w:val="none" w:sz="0" w:space="0" w:color="auto"/>
                                                <w:right w:val="none" w:sz="0" w:space="0" w:color="auto"/>
                                              </w:divBdr>
                                              <w:divsChild>
                                                <w:div w:id="316961554">
                                                  <w:marLeft w:val="0"/>
                                                  <w:marRight w:val="0"/>
                                                  <w:marTop w:val="225"/>
                                                  <w:marBottom w:val="300"/>
                                                  <w:divBdr>
                                                    <w:top w:val="none" w:sz="0" w:space="0" w:color="auto"/>
                                                    <w:left w:val="none" w:sz="0" w:space="0" w:color="auto"/>
                                                    <w:bottom w:val="none" w:sz="0" w:space="0" w:color="auto"/>
                                                    <w:right w:val="none" w:sz="0" w:space="0" w:color="auto"/>
                                                  </w:divBdr>
                                                  <w:divsChild>
                                                    <w:div w:id="1898735574">
                                                      <w:marLeft w:val="0"/>
                                                      <w:marRight w:val="0"/>
                                                      <w:marTop w:val="0"/>
                                                      <w:marBottom w:val="30"/>
                                                      <w:divBdr>
                                                        <w:top w:val="single" w:sz="6" w:space="0" w:color="E5E5E5"/>
                                                        <w:left w:val="single" w:sz="6" w:space="0" w:color="E5E5E5"/>
                                                        <w:bottom w:val="single" w:sz="6" w:space="0" w:color="E5E5E5"/>
                                                        <w:right w:val="single" w:sz="6" w:space="0" w:color="E5E5E5"/>
                                                      </w:divBdr>
                                                      <w:divsChild>
                                                        <w:div w:id="220215516">
                                                          <w:marLeft w:val="0"/>
                                                          <w:marRight w:val="0"/>
                                                          <w:marTop w:val="0"/>
                                                          <w:marBottom w:val="0"/>
                                                          <w:divBdr>
                                                            <w:top w:val="none" w:sz="0" w:space="0" w:color="auto"/>
                                                            <w:left w:val="none" w:sz="0" w:space="0" w:color="auto"/>
                                                            <w:bottom w:val="none" w:sz="0" w:space="0" w:color="auto"/>
                                                            <w:right w:val="none" w:sz="0" w:space="0" w:color="auto"/>
                                                          </w:divBdr>
                                                        </w:div>
                                                        <w:div w:id="1673682373">
                                                          <w:marLeft w:val="0"/>
                                                          <w:marRight w:val="0"/>
                                                          <w:marTop w:val="0"/>
                                                          <w:marBottom w:val="0"/>
                                                          <w:divBdr>
                                                            <w:top w:val="none" w:sz="0" w:space="0" w:color="auto"/>
                                                            <w:left w:val="none" w:sz="0" w:space="0" w:color="auto"/>
                                                            <w:bottom w:val="none" w:sz="0" w:space="0" w:color="auto"/>
                                                            <w:right w:val="none" w:sz="0" w:space="0" w:color="auto"/>
                                                          </w:divBdr>
                                                          <w:divsChild>
                                                            <w:div w:id="1711031093">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100634">
      <w:bodyDiv w:val="1"/>
      <w:marLeft w:val="0"/>
      <w:marRight w:val="0"/>
      <w:marTop w:val="0"/>
      <w:marBottom w:val="0"/>
      <w:divBdr>
        <w:top w:val="none" w:sz="0" w:space="0" w:color="auto"/>
        <w:left w:val="none" w:sz="0" w:space="0" w:color="auto"/>
        <w:bottom w:val="none" w:sz="0" w:space="0" w:color="auto"/>
        <w:right w:val="none" w:sz="0" w:space="0" w:color="auto"/>
      </w:divBdr>
      <w:divsChild>
        <w:div w:id="1919096303">
          <w:marLeft w:val="0"/>
          <w:marRight w:val="0"/>
          <w:marTop w:val="0"/>
          <w:marBottom w:val="0"/>
          <w:divBdr>
            <w:top w:val="none" w:sz="0" w:space="0" w:color="auto"/>
            <w:left w:val="none" w:sz="0" w:space="0" w:color="auto"/>
            <w:bottom w:val="none" w:sz="0" w:space="0" w:color="auto"/>
            <w:right w:val="none" w:sz="0" w:space="0" w:color="auto"/>
          </w:divBdr>
          <w:divsChild>
            <w:div w:id="1520970461">
              <w:marLeft w:val="0"/>
              <w:marRight w:val="0"/>
              <w:marTop w:val="0"/>
              <w:marBottom w:val="0"/>
              <w:divBdr>
                <w:top w:val="none" w:sz="0" w:space="0" w:color="auto"/>
                <w:left w:val="none" w:sz="0" w:space="0" w:color="auto"/>
                <w:bottom w:val="none" w:sz="0" w:space="0" w:color="auto"/>
                <w:right w:val="none" w:sz="0" w:space="0" w:color="auto"/>
              </w:divBdr>
              <w:divsChild>
                <w:div w:id="783302886">
                  <w:marLeft w:val="0"/>
                  <w:marRight w:val="0"/>
                  <w:marTop w:val="0"/>
                  <w:marBottom w:val="0"/>
                  <w:divBdr>
                    <w:top w:val="none" w:sz="0" w:space="0" w:color="auto"/>
                    <w:left w:val="none" w:sz="0" w:space="0" w:color="auto"/>
                    <w:bottom w:val="none" w:sz="0" w:space="0" w:color="auto"/>
                    <w:right w:val="none" w:sz="0" w:space="0" w:color="auto"/>
                  </w:divBdr>
                  <w:divsChild>
                    <w:div w:id="1478574559">
                      <w:marLeft w:val="0"/>
                      <w:marRight w:val="0"/>
                      <w:marTop w:val="0"/>
                      <w:marBottom w:val="0"/>
                      <w:divBdr>
                        <w:top w:val="none" w:sz="0" w:space="0" w:color="auto"/>
                        <w:left w:val="none" w:sz="0" w:space="0" w:color="auto"/>
                        <w:bottom w:val="none" w:sz="0" w:space="0" w:color="auto"/>
                        <w:right w:val="none" w:sz="0" w:space="0" w:color="auto"/>
                      </w:divBdr>
                      <w:divsChild>
                        <w:div w:id="307788087">
                          <w:marLeft w:val="0"/>
                          <w:marRight w:val="0"/>
                          <w:marTop w:val="0"/>
                          <w:marBottom w:val="0"/>
                          <w:divBdr>
                            <w:top w:val="none" w:sz="0" w:space="0" w:color="auto"/>
                            <w:left w:val="none" w:sz="0" w:space="0" w:color="auto"/>
                            <w:bottom w:val="none" w:sz="0" w:space="0" w:color="auto"/>
                            <w:right w:val="none" w:sz="0" w:space="0" w:color="auto"/>
                          </w:divBdr>
                          <w:divsChild>
                            <w:div w:id="1543789578">
                              <w:marLeft w:val="0"/>
                              <w:marRight w:val="0"/>
                              <w:marTop w:val="0"/>
                              <w:marBottom w:val="0"/>
                              <w:divBdr>
                                <w:top w:val="none" w:sz="0" w:space="0" w:color="auto"/>
                                <w:left w:val="none" w:sz="0" w:space="0" w:color="auto"/>
                                <w:bottom w:val="none" w:sz="0" w:space="0" w:color="auto"/>
                                <w:right w:val="none" w:sz="0" w:space="0" w:color="auto"/>
                              </w:divBdr>
                              <w:divsChild>
                                <w:div w:id="564292778">
                                  <w:marLeft w:val="0"/>
                                  <w:marRight w:val="0"/>
                                  <w:marTop w:val="0"/>
                                  <w:marBottom w:val="0"/>
                                  <w:divBdr>
                                    <w:top w:val="none" w:sz="0" w:space="0" w:color="auto"/>
                                    <w:left w:val="none" w:sz="0" w:space="0" w:color="auto"/>
                                    <w:bottom w:val="none" w:sz="0" w:space="0" w:color="auto"/>
                                    <w:right w:val="none" w:sz="0" w:space="0" w:color="auto"/>
                                  </w:divBdr>
                                  <w:divsChild>
                                    <w:div w:id="2007392704">
                                      <w:marLeft w:val="0"/>
                                      <w:marRight w:val="0"/>
                                      <w:marTop w:val="0"/>
                                      <w:marBottom w:val="0"/>
                                      <w:divBdr>
                                        <w:top w:val="none" w:sz="0" w:space="0" w:color="auto"/>
                                        <w:left w:val="none" w:sz="0" w:space="0" w:color="auto"/>
                                        <w:bottom w:val="none" w:sz="0" w:space="0" w:color="auto"/>
                                        <w:right w:val="none" w:sz="0" w:space="0" w:color="auto"/>
                                      </w:divBdr>
                                      <w:divsChild>
                                        <w:div w:id="353309293">
                                          <w:marLeft w:val="0"/>
                                          <w:marRight w:val="0"/>
                                          <w:marTop w:val="0"/>
                                          <w:marBottom w:val="0"/>
                                          <w:divBdr>
                                            <w:top w:val="none" w:sz="0" w:space="0" w:color="auto"/>
                                            <w:left w:val="none" w:sz="0" w:space="0" w:color="auto"/>
                                            <w:bottom w:val="none" w:sz="0" w:space="0" w:color="auto"/>
                                            <w:right w:val="none" w:sz="0" w:space="0" w:color="auto"/>
                                          </w:divBdr>
                                          <w:divsChild>
                                            <w:div w:id="1520506495">
                                              <w:marLeft w:val="0"/>
                                              <w:marRight w:val="0"/>
                                              <w:marTop w:val="0"/>
                                              <w:marBottom w:val="0"/>
                                              <w:divBdr>
                                                <w:top w:val="none" w:sz="0" w:space="0" w:color="auto"/>
                                                <w:left w:val="none" w:sz="0" w:space="0" w:color="auto"/>
                                                <w:bottom w:val="none" w:sz="0" w:space="0" w:color="auto"/>
                                                <w:right w:val="none" w:sz="0" w:space="0" w:color="auto"/>
                                              </w:divBdr>
                                              <w:divsChild>
                                                <w:div w:id="1864204102">
                                                  <w:marLeft w:val="0"/>
                                                  <w:marRight w:val="0"/>
                                                  <w:marTop w:val="225"/>
                                                  <w:marBottom w:val="300"/>
                                                  <w:divBdr>
                                                    <w:top w:val="none" w:sz="0" w:space="0" w:color="auto"/>
                                                    <w:left w:val="none" w:sz="0" w:space="0" w:color="auto"/>
                                                    <w:bottom w:val="none" w:sz="0" w:space="0" w:color="auto"/>
                                                    <w:right w:val="none" w:sz="0" w:space="0" w:color="auto"/>
                                                  </w:divBdr>
                                                  <w:divsChild>
                                                    <w:div w:id="1585265658">
                                                      <w:marLeft w:val="0"/>
                                                      <w:marRight w:val="0"/>
                                                      <w:marTop w:val="0"/>
                                                      <w:marBottom w:val="30"/>
                                                      <w:divBdr>
                                                        <w:top w:val="single" w:sz="6" w:space="0" w:color="E5E5E5"/>
                                                        <w:left w:val="single" w:sz="6" w:space="0" w:color="E5E5E5"/>
                                                        <w:bottom w:val="single" w:sz="6" w:space="0" w:color="E5E5E5"/>
                                                        <w:right w:val="single" w:sz="6" w:space="0" w:color="E5E5E5"/>
                                                      </w:divBdr>
                                                      <w:divsChild>
                                                        <w:div w:id="282662712">
                                                          <w:marLeft w:val="0"/>
                                                          <w:marRight w:val="0"/>
                                                          <w:marTop w:val="0"/>
                                                          <w:marBottom w:val="0"/>
                                                          <w:divBdr>
                                                            <w:top w:val="none" w:sz="0" w:space="0" w:color="auto"/>
                                                            <w:left w:val="none" w:sz="0" w:space="0" w:color="auto"/>
                                                            <w:bottom w:val="none" w:sz="0" w:space="0" w:color="auto"/>
                                                            <w:right w:val="none" w:sz="0" w:space="0" w:color="auto"/>
                                                          </w:divBdr>
                                                          <w:divsChild>
                                                            <w:div w:id="608005715">
                                                              <w:marLeft w:val="0"/>
                                                              <w:marRight w:val="0"/>
                                                              <w:marTop w:val="0"/>
                                                              <w:marBottom w:val="0"/>
                                                              <w:divBdr>
                                                                <w:top w:val="single" w:sz="6" w:space="7" w:color="E5E5E5"/>
                                                                <w:left w:val="none" w:sz="0" w:space="0" w:color="auto"/>
                                                                <w:bottom w:val="none" w:sz="0" w:space="0" w:color="auto"/>
                                                                <w:right w:val="none" w:sz="0" w:space="0" w:color="auto"/>
                                                              </w:divBdr>
                                                            </w:div>
                                                          </w:divsChild>
                                                        </w:div>
                                                        <w:div w:id="5587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F233-BFA1-4F8F-A92E-1A36D3D1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6422</Words>
  <Characters>36609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TBT Website: Content</vt:lpstr>
    </vt:vector>
  </TitlesOfParts>
  <Company>European Commission</Company>
  <LinksUpToDate>false</LinksUpToDate>
  <CharactersWithSpaces>42946</CharactersWithSpaces>
  <SharedDoc>false</SharedDoc>
  <HLinks>
    <vt:vector size="6" baseType="variant">
      <vt:variant>
        <vt:i4>65</vt:i4>
      </vt:variant>
      <vt:variant>
        <vt:i4>0</vt:i4>
      </vt:variant>
      <vt:variant>
        <vt:i4>0</vt:i4>
      </vt:variant>
      <vt:variant>
        <vt:i4>5</vt:i4>
      </vt:variant>
      <vt:variant>
        <vt:lpwstr>http://ec.europa.eu/growth/tools-databases/tris/en/about-the-20151535/case-law/</vt:lpwstr>
      </vt:variant>
      <vt:variant>
        <vt:lpwstr>collapse16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TBT Website: Content</dc:title>
  <dc:creator>BRETTEL</dc:creator>
  <cp:lastModifiedBy>Ke, Tingting</cp:lastModifiedBy>
  <cp:revision>5</cp:revision>
  <cp:lastPrinted>2019-03-28T10:43:00Z</cp:lastPrinted>
  <dcterms:created xsi:type="dcterms:W3CDTF">2019-05-20T11:26:00Z</dcterms:created>
  <dcterms:modified xsi:type="dcterms:W3CDTF">2019-06-03T06:06:00Z</dcterms:modified>
</cp:coreProperties>
</file>