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24. augusti 2021. aasta SEADUS nr 2021-1109, millega tugevdatakse vabariigi põhimõtete järgimist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osa: VABARIIGI PÕHIMÕTETE AUSTAMISE JA ÜHISKONDLIKU ELU MIINIMUMNÕUETE TAGAMINE (artiklid 1–67)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osa: USUVABADUSE TAGAMINE (artiklid 68–88)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osa: MITMESUGUSED SÄTTED (artiklid 89–90)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osa: SÄTTED, MIS KÄSITLEVAD ÜLEMEREDEPARTEMANGE [OUTRE-MER] (artiklid 91–103)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osa: VABARIIGI PÕHIMÕTETE AUSTAMISE JA ÜHISKONDLIKU ELU MIINIMUMNÕUETE TAGAMINE (artiklid 1–67)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peatükk: Sätted vihakõne ja ebaseadusliku veebisisu vastu võitlemise kohta (artiklid 36–48)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21. juuni 2004. aasta seaduse nr 2004-575 (usalduse kohta digitaalmajanduses) I jaotise II peatükki muudetakse järgmiselt:</w:t>
      </w:r>
      <w:r>
        <w:rPr>
          <w:rFonts w:ascii="Times New Roman" w:hAnsi="Times New Roman"/>
          <w:sz w:val="24"/>
        </w:rPr>
        <w:br/>
        <w:t>1. Artikli 6 I osa lõiget 8 muudetakse järgmiselt:</w:t>
      </w:r>
      <w:r>
        <w:rPr>
          <w:rFonts w:ascii="Times New Roman" w:hAnsi="Times New Roman"/>
          <w:sz w:val="24"/>
        </w:rPr>
        <w:br/>
        <w:t>a) algus sõnastatakse järgmiselt: „8. Kohtu esimees, kes tegutseb kiirendatud menetluse kohaselt, võib määrata isiku, kes võib sellesse panustada kõik meetmed... (ülejäänu jääb muutmata).“;</w:t>
      </w:r>
      <w:r>
        <w:rPr>
          <w:rFonts w:ascii="Times New Roman" w:hAnsi="Times New Roman"/>
          <w:sz w:val="24"/>
        </w:rPr>
        <w:br/>
        <w:t>b) lisatakse lõige järgmises sõnastuses:</w:t>
      </w:r>
      <w:r>
        <w:rPr>
          <w:rFonts w:ascii="Times New Roman" w:hAnsi="Times New Roman"/>
          <w:sz w:val="24"/>
        </w:rPr>
        <w:br/>
        <w:t>„Selles määratakse kindlaks isikud või isikute kategooriad, kellele haldusasutus võib esitada taotluse artikli 6 lõikes 3 sätestatud tingimustel.“;</w:t>
      </w:r>
      <w:r>
        <w:rPr>
          <w:rFonts w:ascii="Times New Roman" w:hAnsi="Times New Roman"/>
          <w:sz w:val="24"/>
        </w:rPr>
        <w:br/>
        <w:t>2. Artikli 6-2 järele lisatakse artikkel 6-3 järgmises sõnastuses:</w:t>
      </w:r>
    </w:p>
    <w:p w14:paraId="6D881305" w14:textId="7E1B4965"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bookmarkStart w:id="0" w:name="_Hlk95731836"/>
      <w:r>
        <w:rPr>
          <w:rFonts w:ascii="Times New Roman" w:hAnsi="Times New Roman"/>
          <w:sz w:val="24"/>
        </w:rPr>
        <w:t>„</w:t>
      </w:r>
      <w:bookmarkEnd w:id="0"/>
      <w:r>
        <w:rPr>
          <w:rFonts w:ascii="Times New Roman" w:hAnsi="Times New Roman"/>
          <w:sz w:val="24"/>
        </w:rPr>
        <w:t xml:space="preserve">Artikkel 6-3. </w:t>
      </w:r>
      <w:r w:rsidR="00C12355">
        <w:rPr>
          <w:rFonts w:ascii="Times New Roman" w:hAnsi="Times New Roman"/>
          <w:sz w:val="24"/>
        </w:rPr>
        <w:t>-</w:t>
      </w:r>
      <w:r>
        <w:rPr>
          <w:rFonts w:ascii="Times New Roman" w:hAnsi="Times New Roman"/>
          <w:sz w:val="24"/>
        </w:rPr>
        <w:t xml:space="preserve"> Kui täitmisele pööratava kohtuotsusega on määratud mis tahes meede, mis takistab juurdepääsu internetipõhisele üldkasutatavale sideteenusele, mille sisu kuulub artikli 6 I osa punktis 7 sätestatud süütegude alla, võib haldusasutus juhul, kui asjaomane isik seda nõuab, nõuda artikli 6 lõike I punktides 1 või 2 nimetatud isikutelt või käesolevas kohtuotsuses osutatud asjaomastelt isikutelt või isikute kategoorialt, ja mitte pikemaks ajaks kui käesoleva kohtuotsusega määratud meetmete puhul, et takistada juurdepääsu kõigile avalikele internetipõhistele sideteenustele, mille puhul on varem tuvastatud, et need sisaldavad veebisaidi sisu täielikult või olulisel määral.</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Samadel tingimustel ja sama aja jooksul võib haldusasutus nõuda sellise teenuse operaatorilt, mis põhineb kolmandate isikute pakutud või võrku pandud sisu klassifitseerimisel või viitamisel arvutialgoritmide abil, ka selliste veebiaadresside sidumist, mis võimaldavad käesoleva artikli esimeses lõigus mainitud üldsusele juurdepääsu sellistele veebipõhistele sideteenustele.</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 xml:space="preserve">Haldusasutus peab ajakohastama käesoleva artikli samas esimeses lõigus nimetatud veebipõhiste sideteenuste loetelu, mille kohta on esitatud nimetatud esimese lõigu alusel esitatud juurdepääsu blokeerimise taotlus, samuti sellistele teenustele juurdepääsu võimaldavatest veebiaadressidest ning tegema selle </w:t>
      </w:r>
      <w:r>
        <w:rPr>
          <w:rFonts w:ascii="Times New Roman" w:hAnsi="Times New Roman"/>
          <w:sz w:val="24"/>
        </w:rPr>
        <w:lastRenderedPageBreak/>
        <w:t>nimekirja kättesaadavaks reklaamijatele, nende esindajatele ja üldise maksuseadustiku artikli 299 II jaotise punktis 2 nimetatud teenustele. Need teenused lisatakse sellesse nimekirja õigusasutuse määratud meetmete kehtivusaja lõpuni. Reklaamijad, nende esindajad ja üldise maksuseadustiku artikli 299 II osa punktis 2 nimetatud teenused, kellel on selles nimekirjas olevate internetipõhiste avalike sideteenustega ärisuhted eelkõige reklaami tegemiseks, on kohustatud avaldama oma veebisaidil vähemalt kord aastas nende suhete olemasolu ja mainima neid oma aastaaruandes, kui nad on kohustatud seda vastu võtma.</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Kui selliseid teenuseid ei ole käesoleva artikli kohaselt blokeeritud või edasi lükatud, võib kohtu esimees kiirendatud menetluse kohaselt ette näha mis tahes meetme, mille eesmärk on lõpetada juurdepääs kõnealuste teenuste sisule.“</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Artikkel 42</w:t>
      </w:r>
    </w:p>
    <w:p w14:paraId="67CC2320" w14:textId="3FF5D740"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C12355">
        <w:rPr>
          <w:rFonts w:ascii="Times New Roman" w:hAnsi="Times New Roman"/>
          <w:sz w:val="24"/>
        </w:rPr>
        <w:t>-</w:t>
      </w:r>
      <w:r>
        <w:rPr>
          <w:rFonts w:ascii="Times New Roman" w:hAnsi="Times New Roman"/>
          <w:sz w:val="24"/>
        </w:rPr>
        <w:t xml:space="preserve"> 21. juuni 2004. aasta seaduse nr 2004-575 (usalduse kohta digitaalmajanduses) I jaotise II peatükki muudetakse järgmiselt:</w:t>
      </w:r>
      <w:r>
        <w:rPr>
          <w:rFonts w:ascii="Times New Roman" w:hAnsi="Times New Roman"/>
          <w:sz w:val="24"/>
        </w:rPr>
        <w:br/>
        <w:t>1. Artikli 6 I osa lõike 7 punkti 4 muudetakse järgmiselt:</w:t>
      </w:r>
      <w:r>
        <w:rPr>
          <w:rFonts w:ascii="Times New Roman" w:hAnsi="Times New Roman"/>
          <w:sz w:val="24"/>
        </w:rPr>
        <w:br/>
        <w:t>a) esimesele lausele lisatakse sõnad „ja avalikustama vahendid, mida nad kasutavad võitluseks käesoleva punkti 7 kolmandas lõigus osutatud ebaseadusliku tegevuse vastu“;</w:t>
      </w:r>
      <w:r>
        <w:rPr>
          <w:rFonts w:ascii="Times New Roman" w:hAnsi="Times New Roman"/>
          <w:sz w:val="24"/>
        </w:rPr>
        <w:br/>
        <w:t>b) sama esimese lause järele lisatakse järgmine lause: „Neid kohustusi ei kohaldata artikli 6-4 I osas osutatud operaatorite suhtes, et võidelda samas lõigus osutatud veebisisu levitamise vastu.“;</w:t>
      </w:r>
      <w:r>
        <w:rPr>
          <w:rFonts w:ascii="Times New Roman" w:hAnsi="Times New Roman"/>
          <w:sz w:val="24"/>
        </w:rPr>
        <w:br/>
        <w:t>c) teist lauset muudetakse järgmiselt:</w:t>
      </w:r>
    </w:p>
    <w:p w14:paraId="1D6C7618" w14:textId="0D4157F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12355">
        <w:rPr>
          <w:rFonts w:ascii="Times New Roman" w:hAnsi="Times New Roman"/>
          <w:sz w:val="24"/>
        </w:rPr>
        <w:t>-</w:t>
      </w:r>
      <w:r>
        <w:rPr>
          <w:rFonts w:ascii="Times New Roman" w:hAnsi="Times New Roman"/>
          <w:sz w:val="24"/>
        </w:rPr>
        <w:t xml:space="preserve"> alguses asendatakse sõna „Nemad“ sõnadega „I osa punktides 1 ja 2 nimetatud isikud“;</w:t>
      </w:r>
      <w:r>
        <w:rPr>
          <w:rFonts w:ascii="Times New Roman" w:hAnsi="Times New Roman"/>
          <w:sz w:val="24"/>
        </w:rPr>
        <w:br/>
      </w:r>
      <w:r w:rsidR="00C12355">
        <w:rPr>
          <w:rFonts w:ascii="Times New Roman" w:hAnsi="Times New Roman"/>
          <w:sz w:val="24"/>
        </w:rPr>
        <w:t>-</w:t>
      </w:r>
      <w:r>
        <w:rPr>
          <w:rFonts w:ascii="Times New Roman" w:hAnsi="Times New Roman"/>
          <w:sz w:val="24"/>
        </w:rPr>
        <w:t xml:space="preserve"> sõnad „, ühelt poolt“ jäetakse välja;</w:t>
      </w:r>
      <w:r>
        <w:rPr>
          <w:rFonts w:ascii="Times New Roman" w:hAnsi="Times New Roman"/>
          <w:sz w:val="24"/>
        </w:rPr>
        <w:br/>
      </w:r>
      <w:r w:rsidR="00C12355">
        <w:rPr>
          <w:rFonts w:ascii="Times New Roman" w:hAnsi="Times New Roman"/>
          <w:sz w:val="24"/>
        </w:rPr>
        <w:t>-</w:t>
      </w:r>
      <w:r>
        <w:rPr>
          <w:rFonts w:ascii="Times New Roman" w:hAnsi="Times New Roman"/>
          <w:sz w:val="24"/>
        </w:rPr>
        <w:t xml:space="preserve"> sõnad „eelmise lõigu“ asendatakse sõnadega „artikli 7 kolmandas lõigus“;</w:t>
      </w:r>
      <w:r>
        <w:rPr>
          <w:rFonts w:ascii="Times New Roman" w:hAnsi="Times New Roman"/>
          <w:sz w:val="24"/>
        </w:rPr>
        <w:br/>
      </w:r>
      <w:r w:rsidR="00C12355">
        <w:rPr>
          <w:rFonts w:ascii="Times New Roman" w:hAnsi="Times New Roman"/>
          <w:sz w:val="24"/>
        </w:rPr>
        <w:t>-</w:t>
      </w:r>
      <w:r>
        <w:rPr>
          <w:rFonts w:ascii="Times New Roman" w:hAnsi="Times New Roman"/>
          <w:sz w:val="24"/>
        </w:rPr>
        <w:t xml:space="preserve"> pärast sõna „teenused“ kustutatakse ülejäänud lause;</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Artikli 6-4 järele lisatakse artikkel 6-2 järgmises sõnastuses:</w:t>
      </w:r>
    </w:p>
    <w:p w14:paraId="120777EB" w14:textId="3F08EB1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„Artikkel 6-4. </w:t>
      </w:r>
      <w:r w:rsidR="00C12355">
        <w:rPr>
          <w:rFonts w:ascii="Times New Roman" w:hAnsi="Times New Roman"/>
          <w:sz w:val="24"/>
        </w:rPr>
        <w:t>-</w:t>
      </w:r>
      <w:r>
        <w:rPr>
          <w:rFonts w:ascii="Times New Roman" w:hAnsi="Times New Roman"/>
          <w:sz w:val="24"/>
        </w:rPr>
        <w:t xml:space="preserve"> I </w:t>
      </w:r>
      <w:r w:rsidR="00C12355">
        <w:rPr>
          <w:rFonts w:ascii="Times New Roman" w:hAnsi="Times New Roman"/>
          <w:sz w:val="24"/>
        </w:rPr>
        <w:t>-</w:t>
      </w:r>
      <w:r>
        <w:rPr>
          <w:rFonts w:ascii="Times New Roman" w:hAnsi="Times New Roman"/>
          <w:sz w:val="24"/>
        </w:rPr>
        <w:t xml:space="preserve"> Tarbijaseadustiku artiklis L111-7 määratletud veebiplatvormide käitajad, kes pakuvad üldsusele internetipõhist sideteenust, mis põhineb kolmandate isikute poolt internetis avaldatud sisu liigitamisel, viitamisel või jagamisel ja kelle tegevus Prantsusmaa territooriumil ületab dekreediga kindlaks määratud ühenduste arvu piirmäära, olenemata sellest, kas need on asutatud Prantsusmaa territooriumil või mitte, aitavad kaasa võitlusele sellise sisu avaliku levitamise vastu, mis on vastuolus käesoleva seaduse artikli 6 I osa lõikega 7 ning 29. juuli 1881. aasta ajakirjandusvabaduse seaduse artikli 33 kolmanda ja neljanda lõiguga. Sellega seoses:</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1. Nad peavad rakendama proportsionaalseid inim- ja tehnoloogilisi protseduure ja vahendeid, mis võimaldavad neil:</w:t>
      </w:r>
      <w:r>
        <w:rPr>
          <w:rFonts w:ascii="Times New Roman" w:hAnsi="Times New Roman"/>
          <w:sz w:val="24"/>
        </w:rPr>
        <w:br/>
      </w:r>
      <w:r w:rsidR="00C12355" w:rsidRPr="00C12355">
        <w:rPr>
          <w:rFonts w:ascii="Times New Roman" w:hAnsi="Times New Roman"/>
          <w:sz w:val="24"/>
        </w:rPr>
        <w:lastRenderedPageBreak/>
        <w:t>„</w:t>
      </w:r>
      <w:r>
        <w:rPr>
          <w:rFonts w:ascii="Times New Roman" w:hAnsi="Times New Roman"/>
          <w:sz w:val="24"/>
        </w:rPr>
        <w:t>a) teavitada võimalikult kiiresti õigus- või haldusasutusi meetmetest, mida nad on võtnud nende asutuste ettekirjutuste tulemusel seoses käesoleva I osa esimeses lõigus osutatud veebisisuga;</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b) viivitamata kinnitada nende käsutuses olevate andmete edastamiseks esitatud õigus- või haldusasutuste taotluste turvalist vastuvõtmist, et võimaldada samas esimeses lõigus osutatud veebisisu üleslaadinud kasutajate tuvastamist, ning teavitada neid asutusi võimalikult kiiresti selliste taotluste järelmeetmetest;</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c) kui nad on seotud sisu salvestamisega, ajutiselt säilitada sisu, millest on teatatud, et see on vastuolus esimeses lõigus osutatud sätetega, ja mille nad on eemaldanud või teinud kättesaamatuks, et teha see õigusasutustele kuriteo uurimise, tuvastamise ja selle eest vastutusele võtmise eesmärgil kättesaadavaks; selle sisu säilitamise kestus ja tingimused määratakse kindlaks riiginõukogu dekreediga, mis võeti vastu pärast riikliku infotehnoloogia ja vabaduste komisjoni arvamust;</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2. Nad peavad määrama ühe kontaktpunkti, füüsilise isiku, kes vastutab riigiasutustega suhtlemise eest käesoleva artikli sätete rakendamise eest, kellele võib eelkõige saata elektrooniliselt kõik taotlused, mille audiovisuaalvaldkonna kõrge nõukogu on esitanud 30. septembri 1986. aasta kommunikatsioonivabaduse seaduse nr 86-1067 artikli 62 alusel. See ühtne kontaktpunkt vastutab eelkõige selle eest, et õigusasutus esitaks käesoleva seaduse artikli 6 II jaotises sätestatud korras operaatorile adresseeritud taotlused, et tagada nende kiire menetlemine;</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3. Nad teevad üldsusele hõlpsasti kättesaadaval viisil kättesaadavaks nende pakutava teenuse kasutamise üldtingimused; need sisaldavad sätteid, millega keelatakse käesoleva I osa esimeses lõigus osutatud ebaseadusliku sisu avaldamine Internetis; nad kirjeldavad selles selgelt ja täpselt oma modereerimiskorda, mille eesmärk on vajaduse korral sellise sisu tuvastamine ja töötlemine, täpsustades selleks kasutatavaid menetlusi ja inim- või automatiseeritud vahendeid ning nende rakendatavaid meetmeid, mis mõjutavad sellise sisu kättesaadavust, nähtavust ja juurdepääsetavust; nad märgivad selles meetmed, mida nad rakendavad seoses kasutajatega, kes on teinud selle sisu internetis kättesaadavaks, ning samuti sellistele kasutajatele kättesaadavad siseriiklikud ja õiguslikud õiguskaitsevahendid;</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4. Nad peavad teavitama üldsust kasutatud vahenditest ja võetud meetmetest, et tõkestada Prantsusmaa territooriumil asuvatele kasutajatele käesoleva I osa esimeses lõigus osutatud ebaseadusliku veebisisu levitamist, avaldades audiovisuaalvaldkonna kõrge nõukogu kehtestatud korras ja ajavahemike järel viimase määratletud teabe ja kvantitatiivsed näitajad, mis on eelkõige seotud õigus- või haldusasutuste ettekirjutuste või teabetaotluste menetlemisega, saadud teadetega ja asutusesiseste õiguskaitsevahendite valikuga, ning kui see on asjakohane, siis ka kolmandate pooltega tehtava koostöö kriteeriumidega;</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5. Nad peavad rakendama kergesti juurdepääsetavat ja kergesti kasutatavat menetlust, mis võimaldab igal isikul teatada elektrooniliselt ja artikli 6 I osa punktis 5 nimetatud elemente täpsustades mis tahes veebisisust, mida peetakse käesoleva I osa esimeses lõigus nimetatud sätetega vastuolus olevaks;</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6. Nad peavad tagama, et usaldusväärsete kolmandate isikutena tunnustatud üksuste esitatud teateid, mis puudutavad käesoleva I osa esimeses lõigus osutatud ebaseaduslikku sisu, käsitletakse eelisjärjekorras.</w:t>
      </w:r>
      <w:r>
        <w:rPr>
          <w:rFonts w:ascii="Times New Roman" w:hAnsi="Times New Roman"/>
          <w:sz w:val="24"/>
        </w:rPr>
        <w:br/>
        <w:t xml:space="preserve">„Usaldusväärsete kolmandate isikute staatus antakse vastavalt audiovisuaalvaldkonna kõrge nõukogu kehtestatud korrale läbipaistvatel, mittediskrimineerivatel tingimustel ja selliste üksuste taotlusel, kellel on </w:t>
      </w:r>
      <w:r>
        <w:rPr>
          <w:rFonts w:ascii="Times New Roman" w:hAnsi="Times New Roman"/>
          <w:sz w:val="24"/>
        </w:rPr>
        <w:lastRenderedPageBreak/>
        <w:t>eriteadmised ja pädevus esimeses lõigus osutatud ebaseadusliku sisu avastamiseks, tuvastamiseks ja sellest teatamiseks, mis esindavad kollektiivseid huve ning pakuvad hoolsuse ja objektiivsuse tagatisi;</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7. Nad peavad rakendama proportsionaalseid inim- ja tehnoloogilisi protseduure ja vahendeid, mis võimaldavad neil:</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a) viivitamata kinnitada käesoleva I osa esimeses lõigus osutatud illegaalse sisuga seotud teadete ohutut kättesaamist, kasutades selleks autoriga ühenduse võtmiseks vajalikku teavet;</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b) tagada kõnealuste teadete õigeaegne analüüs;</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c) teavitada autorit võetud meetmetest ning kättesaadavatest siseriiklikest ja õiguslikest õiguskaitsevahenditest, tingimusel, et neil on vajalikud andmed, et nendega ühendust võtta;</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d) kui käesolevas esimeses lõigus osutatud sätete eiramise tõttu otsustatakse veebisisu eemaldada või muuta see mittejuurdepääsetavaks, teavitada selle avaldamise päritolu kasutajat, tingimusel et tal on nendega ühenduse võtmiseks vajalik teave, et:</w:t>
      </w:r>
    </w:p>
    <w:p w14:paraId="43902745" w14:textId="45ED7AC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12355" w:rsidRPr="00C12355">
        <w:rPr>
          <w:rFonts w:ascii="Times New Roman" w:hAnsi="Times New Roman"/>
          <w:sz w:val="24"/>
        </w:rPr>
        <w:t>„</w:t>
      </w:r>
      <w:r w:rsidR="00C12355">
        <w:rPr>
          <w:rFonts w:ascii="Times New Roman" w:hAnsi="Times New Roman"/>
          <w:sz w:val="24"/>
        </w:rPr>
        <w:t>-</w:t>
      </w:r>
      <w:r>
        <w:rPr>
          <w:rFonts w:ascii="Times New Roman" w:hAnsi="Times New Roman"/>
          <w:sz w:val="24"/>
        </w:rPr>
        <w:t xml:space="preserve"> märkida otsuse põhjused;</w:t>
      </w:r>
      <w:r>
        <w:rPr>
          <w:rFonts w:ascii="Times New Roman" w:hAnsi="Times New Roman"/>
          <w:sz w:val="24"/>
        </w:rPr>
        <w:br/>
      </w:r>
      <w:r w:rsidR="00C12355" w:rsidRPr="00C12355">
        <w:rPr>
          <w:rFonts w:ascii="Times New Roman" w:hAnsi="Times New Roman"/>
          <w:sz w:val="24"/>
        </w:rPr>
        <w:t>„</w:t>
      </w:r>
      <w:r w:rsidR="00C12355">
        <w:rPr>
          <w:rFonts w:ascii="Times New Roman" w:hAnsi="Times New Roman"/>
          <w:sz w:val="24"/>
        </w:rPr>
        <w:t>-</w:t>
      </w:r>
      <w:r>
        <w:rPr>
          <w:rFonts w:ascii="Times New Roman" w:hAnsi="Times New Roman"/>
          <w:sz w:val="24"/>
        </w:rPr>
        <w:t xml:space="preserve"> täpsustada, kas see otsus tehti automatiseeritud vahendi abil;</w:t>
      </w:r>
      <w:r>
        <w:rPr>
          <w:rFonts w:ascii="Times New Roman" w:hAnsi="Times New Roman"/>
          <w:sz w:val="24"/>
        </w:rPr>
        <w:br/>
      </w:r>
      <w:r w:rsidR="00C12355" w:rsidRPr="00C12355">
        <w:rPr>
          <w:rFonts w:ascii="Times New Roman" w:hAnsi="Times New Roman"/>
          <w:sz w:val="24"/>
        </w:rPr>
        <w:t>„</w:t>
      </w:r>
      <w:r w:rsidR="00C12355">
        <w:rPr>
          <w:rFonts w:ascii="Times New Roman" w:hAnsi="Times New Roman"/>
          <w:sz w:val="24"/>
        </w:rPr>
        <w:t>-</w:t>
      </w:r>
      <w:r>
        <w:rPr>
          <w:rFonts w:ascii="Times New Roman" w:hAnsi="Times New Roman"/>
          <w:sz w:val="24"/>
        </w:rPr>
        <w:t xml:space="preserve"> teavitada neid nende käsutuses olevatest siseriiklikest ja õiguslikest õiguskaitsevahenditest;</w:t>
      </w:r>
      <w:r>
        <w:rPr>
          <w:rFonts w:ascii="Times New Roman" w:hAnsi="Times New Roman"/>
          <w:sz w:val="24"/>
        </w:rPr>
        <w:br/>
      </w:r>
      <w:r w:rsidR="00C12355" w:rsidRPr="00C12355">
        <w:rPr>
          <w:rFonts w:ascii="Times New Roman" w:hAnsi="Times New Roman"/>
          <w:sz w:val="24"/>
        </w:rPr>
        <w:t>„</w:t>
      </w:r>
      <w:r w:rsidR="00C12355">
        <w:rPr>
          <w:rFonts w:ascii="Times New Roman" w:hAnsi="Times New Roman"/>
          <w:sz w:val="24"/>
        </w:rPr>
        <w:t>-</w:t>
      </w:r>
      <w:r>
        <w:rPr>
          <w:rFonts w:ascii="Times New Roman" w:hAnsi="Times New Roman"/>
          <w:sz w:val="24"/>
        </w:rPr>
        <w:t xml:space="preserve"> ning teatada, et ebaseadusliku veebisisu avaldamise eest rakendatakse tsiviil- ja kriminaalkaristusi.</w:t>
      </w:r>
    </w:p>
    <w:p w14:paraId="0C3F650D" w14:textId="65C6426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„See punkt d ei kehti, kui avaliku sektori asutus taotleb seda avaliku korra huvides või kuritegude ennetamiseks, avastamiseks, uurimiseks ja nende eest vastutusele võtmiseks;</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8. Nad peavad rakendama sisemisi parandusmeetmeid, mis võimaldavad:</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a) käesoleva I osa esimeses lõigus osutatud ebaseadusliku sisu teate autoril vaidlustada operaatori sellele teatele vastuseks tehtud otsuse;</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b) kasutajal, kes on sellise veebisisu avaldamise algataja, mille kohta on tehtud punkti 7 alapunktis d osutatud otsus, kõnealuse otsuse vaidlustada;</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c) kasutajal, kelle kohta on tehtud lõike 9 punktis a) võib) nimetatud otsus, kõnealuse otsuse vaidlustada.</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Nad peavad tagama, et kõnealused süsteemid on kergesti juurdepääsetavad ja kergesti kasutatavad ning võimaldavad kaebuse asjakohast ja kiiret menetlemist, mis ei põhine üksnes automaatsetel vahenditel, teavitades kasutajat viivitamata vastuvõetud otsusest ja tühistades viivitamata asjaomase veebisisuga seotud meetmed või operaatori rakendatud meetmed, kui apellatsioonkaebuse põhjal otsustatakse, et vaidlustatud otsus ei olnud põhjendatud;</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9. Kui nad otsustavad selliste menetluste rakendamise üle, peavad nad sätestama oma kasutustingimustes selgelt ja täpselt menetlused, mille tulemuseks on:</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a) peatada või kõige tõsisemal juhul lõpetada konto kasutajate puhul, kes on korduvalt üles laadinud veebisisu, mis on vastuolus käesoleva I osa esimeses lõigus osutatud sätetega;</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b) teatamismehhanismile juurdepääsu peatamine kasutajatele, kes on korduvalt esitanud selgelt põhjendamatuid teateid samas esimeses lõigus osutatud sisu kohta.</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 xml:space="preserve">Selliste protseduuride rakendamisel rakendatakse juhtumipõhist analüüsi, mille </w:t>
      </w:r>
      <w:r>
        <w:rPr>
          <w:rFonts w:ascii="Times New Roman" w:hAnsi="Times New Roman"/>
          <w:sz w:val="24"/>
        </w:rPr>
        <w:lastRenderedPageBreak/>
        <w:t>eesmärk on objektiivselt iseloomustada lõike 9 punktis a või b osutatud teguviisi olemasolu, võttes arvesse eelkõige:</w:t>
      </w:r>
    </w:p>
    <w:p w14:paraId="7714552C" w14:textId="7C33456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12355" w:rsidRPr="00C12355">
        <w:rPr>
          <w:rFonts w:ascii="Times New Roman" w:hAnsi="Times New Roman"/>
          <w:sz w:val="24"/>
        </w:rPr>
        <w:t>„</w:t>
      </w:r>
      <w:r w:rsidR="00C12355">
        <w:rPr>
          <w:rFonts w:ascii="Times New Roman" w:hAnsi="Times New Roman"/>
          <w:sz w:val="24"/>
        </w:rPr>
        <w:t>-</w:t>
      </w:r>
      <w:r>
        <w:rPr>
          <w:rFonts w:ascii="Times New Roman" w:hAnsi="Times New Roman"/>
          <w:sz w:val="24"/>
        </w:rPr>
        <w:t xml:space="preserve"> käesoleva I osa esimeses lõigus osutatud ebaseadusliku sisu kogust või kasutajalt eelmisel aastal saadud ilmselgelt põhjendamatute teadete arvu nii absoluutarvudes kui ka proportsionaalselt sellise sisu või teadete koguarvuga, mille eest ta vastutas;</w:t>
      </w:r>
      <w:r>
        <w:rPr>
          <w:rFonts w:ascii="Times New Roman" w:hAnsi="Times New Roman"/>
          <w:sz w:val="24"/>
        </w:rPr>
        <w:br/>
      </w:r>
      <w:r w:rsidR="00C12355" w:rsidRPr="00C12355">
        <w:rPr>
          <w:rFonts w:ascii="Times New Roman" w:hAnsi="Times New Roman"/>
          <w:sz w:val="24"/>
        </w:rPr>
        <w:t>„</w:t>
      </w:r>
      <w:r w:rsidR="00C12355">
        <w:rPr>
          <w:rFonts w:ascii="Times New Roman" w:hAnsi="Times New Roman"/>
          <w:sz w:val="24"/>
        </w:rPr>
        <w:t>-</w:t>
      </w:r>
      <w:r>
        <w:rPr>
          <w:rFonts w:ascii="Times New Roman" w:hAnsi="Times New Roman"/>
          <w:sz w:val="24"/>
        </w:rPr>
        <w:t xml:space="preserve"> ja nende kuritarvituste tõsidust ja tagajärgi.</w:t>
      </w:r>
    </w:p>
    <w:p w14:paraId="621474B0" w14:textId="60C1770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C12355" w:rsidRPr="00C12355">
        <w:rPr>
          <w:rFonts w:ascii="Times New Roman" w:hAnsi="Times New Roman"/>
          <w:sz w:val="24"/>
        </w:rPr>
        <w:t>„</w:t>
      </w:r>
      <w:r>
        <w:rPr>
          <w:rFonts w:ascii="Times New Roman" w:hAnsi="Times New Roman"/>
          <w:sz w:val="24"/>
        </w:rPr>
        <w:t>Nende menetluste rakendamise korral nähakse ette, et punkti 9 alapunktides a ja b osutatud meetmed on oma laadilt proportsionaalsed kõnealuse teo tõsidusega ning peatamise korral tuleb need välja kuulutada mõistliku aja jooksul. Kasutajale tuleb anda hoiatus ja teave olemasolevate siseriiklike ja õiguskaitsevahendite kohta.</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 xml:space="preserve">II. </w:t>
      </w:r>
      <w:r w:rsidR="00C12355">
        <w:rPr>
          <w:rFonts w:ascii="Times New Roman" w:hAnsi="Times New Roman"/>
          <w:sz w:val="24"/>
        </w:rPr>
        <w:t>-</w:t>
      </w:r>
      <w:r>
        <w:rPr>
          <w:rFonts w:ascii="Times New Roman" w:hAnsi="Times New Roman"/>
          <w:sz w:val="24"/>
        </w:rPr>
        <w:t xml:space="preserve"> Käesoleva I osa esimeses lõigus nimetatud operaatorid, kelle tegevus Prantsusmaa territooriumil ületab määrusega kindlaksmääratud ühenduste arvu ja on suuremad samas esimeses lõigus nimetatutest, peavad:</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1. Kord aastas hindama oma teenuste toimimise ja kasutamisega seotud süsteemseid riske seoses esimeses lõigus osutatud veebisisu levitamisega ning põhiõiguste, sealhulgas sõnavabaduse rikkumisega. Hindamisel tuleb võtta arvesse kõnealuste teenuste omadusi, eelkõige nende mõju eespool nimetatud veebisisu levikule või massilisele levikule;</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2. Rakendama mõistlikke, tõhusaid ja proportsionaalseid meetmeid, eelkõige seoses teenuste omadustega ning II osa lõikes 1 osutatud hindamise lõpus kindlaks tehtud riskide ulatuse ja tõsidusega, et leevendada sellise veebisisu levitamisega seotud riske, mis võivad eelkõige olla seotud menetluste ning inim- ja tehnoloogiliste vahenditega, mida kasutatakse sellise veebisisu avastamiseks, tuvastamiseks ja käsitlemiseks, vältides samas põhjendamatu kõrvaldamise ohtu vastavalt kohaldatavale õigusele ja nende kasutustingimustele;</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3. Teatama üldsusele kooskõlas audiovisuaalvaldkonna kõrge nõukogu kehtestatud menetluste ja ajavahemikega kõnealuste süsteemsete riskide hindamisest ja rakendatud riskide vähendamise meetmetest.</w:t>
      </w:r>
      <w:r>
        <w:rPr>
          <w:rFonts w:ascii="Times New Roman" w:hAnsi="Times New Roman"/>
          <w:sz w:val="24"/>
        </w:rPr>
        <w:br/>
        <w:t xml:space="preserve">„III. </w:t>
      </w:r>
      <w:r w:rsidR="00C12355">
        <w:rPr>
          <w:rFonts w:ascii="Times New Roman" w:hAnsi="Times New Roman"/>
          <w:sz w:val="24"/>
        </w:rPr>
        <w:t>-</w:t>
      </w:r>
      <w:r>
        <w:rPr>
          <w:rFonts w:ascii="Times New Roman" w:hAnsi="Times New Roman"/>
          <w:sz w:val="24"/>
        </w:rPr>
        <w:t xml:space="preserve"> I osa esimeses lõigus nimetatud operaatorid peavad andma eespool nimetatud 30. septembri 1986. aasta seaduse nr 86-1067 artiklis 62 sätestatud tingimustel aru käesoleva artikli kohaldamisel kasutatavatest menetlustest ja vahenditest audiovisuaalvaldkonna kõrgele nõukogule.“</w:t>
      </w:r>
    </w:p>
    <w:p w14:paraId="45CD7FF2" w14:textId="480D72E0"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C12355">
        <w:rPr>
          <w:rFonts w:ascii="Times New Roman" w:hAnsi="Times New Roman"/>
          <w:sz w:val="24"/>
        </w:rPr>
        <w:t>-</w:t>
      </w:r>
      <w:r>
        <w:rPr>
          <w:rFonts w:ascii="Times New Roman" w:hAnsi="Times New Roman"/>
          <w:sz w:val="24"/>
        </w:rPr>
        <w:t xml:space="preserve"> 30. septembri 1986. aasta kommunikatsioonivabadust käsitlevat seadust nr 86-1067 muudetakse järgmiselt:</w:t>
      </w:r>
      <w:r>
        <w:rPr>
          <w:rFonts w:ascii="Times New Roman" w:hAnsi="Times New Roman"/>
          <w:sz w:val="24"/>
        </w:rPr>
        <w:br/>
        <w:t>1. Artikli 19 I osa lõike 1 kolmandas lõigus asendatakse sõnad „ja videojagamisplatvormid“ sõnadega „videojagamisplatvormid ja artiklis 62 osutatud veebiplatvormide operaatorid“;</w:t>
      </w:r>
      <w:r>
        <w:rPr>
          <w:rFonts w:ascii="Times New Roman" w:hAnsi="Times New Roman"/>
          <w:sz w:val="24"/>
        </w:rPr>
        <w:br/>
        <w:t>2. Artikli 42-7 esimeses lõigus asendatakse viide „ja 48-3“ viidetega „, 48-3 ja 62“;</w:t>
      </w:r>
      <w:r>
        <w:rPr>
          <w:rFonts w:ascii="Times New Roman" w:hAnsi="Times New Roman"/>
          <w:sz w:val="24"/>
        </w:rPr>
        <w:br/>
        <w:t>3. IV jaotist täiendatakse III peatükiga, mille sisu on järgmine:</w:t>
      </w:r>
    </w:p>
    <w:p w14:paraId="6CFF6B7A" w14:textId="77777777" w:rsidR="00C12355" w:rsidRDefault="00A31ACD" w:rsidP="00A31ACD">
      <w:pPr>
        <w:spacing w:before="100" w:beforeAutospacing="1" w:after="100" w:afterAutospacing="1" w:line="240" w:lineRule="auto"/>
        <w:ind w:left="1050"/>
        <w:rPr>
          <w:rFonts w:ascii="Times New Roman" w:hAnsi="Times New Roman"/>
          <w:sz w:val="24"/>
        </w:rPr>
      </w:pPr>
      <w:r>
        <w:rPr>
          <w:rFonts w:ascii="Times New Roman" w:hAnsi="Times New Roman"/>
          <w:sz w:val="24"/>
        </w:rPr>
        <w:br/>
      </w:r>
    </w:p>
    <w:p w14:paraId="77B231FD" w14:textId="58793E2A" w:rsidR="00A31ACD" w:rsidRPr="00A31ACD" w:rsidRDefault="00C12355" w:rsidP="00A31ACD">
      <w:pPr>
        <w:spacing w:before="100" w:beforeAutospacing="1" w:after="100" w:afterAutospacing="1" w:line="240" w:lineRule="auto"/>
        <w:ind w:left="1050"/>
        <w:rPr>
          <w:rFonts w:ascii="Times New Roman" w:eastAsia="Times New Roman" w:hAnsi="Times New Roman" w:cs="Times New Roman"/>
          <w:sz w:val="24"/>
          <w:szCs w:val="24"/>
        </w:rPr>
      </w:pPr>
      <w:r w:rsidRPr="00C12355">
        <w:rPr>
          <w:rFonts w:ascii="Times New Roman" w:hAnsi="Times New Roman"/>
          <w:sz w:val="24"/>
        </w:rPr>
        <w:lastRenderedPageBreak/>
        <w:t>„</w:t>
      </w:r>
      <w:r w:rsidR="00A31ACD">
        <w:rPr>
          <w:rFonts w:ascii="Times New Roman" w:hAnsi="Times New Roman"/>
          <w:sz w:val="24"/>
        </w:rPr>
        <w:t>III PEATÜKK</w:t>
      </w:r>
      <w:r w:rsidR="00A31ACD">
        <w:rPr>
          <w:rFonts w:ascii="Times New Roman" w:hAnsi="Times New Roman"/>
          <w:sz w:val="24"/>
        </w:rPr>
        <w:br/>
      </w:r>
      <w:r w:rsidRPr="00C12355">
        <w:rPr>
          <w:rFonts w:ascii="Times New Roman" w:hAnsi="Times New Roman"/>
          <w:sz w:val="24"/>
        </w:rPr>
        <w:t>„</w:t>
      </w:r>
      <w:r w:rsidR="00A31ACD">
        <w:rPr>
          <w:rFonts w:ascii="Times New Roman" w:hAnsi="Times New Roman"/>
          <w:sz w:val="24"/>
        </w:rPr>
        <w:t>Vaenu õhutava sisu vastu võitlemiseks kasutatavate veebiplatvormide suhtes kohaldatavad sätted</w:t>
      </w:r>
    </w:p>
    <w:p w14:paraId="0A34B744" w14:textId="2B53F88E"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„Artikkel 62. </w:t>
      </w:r>
      <w:r w:rsidR="00C12355">
        <w:rPr>
          <w:rFonts w:ascii="Times New Roman" w:hAnsi="Times New Roman"/>
          <w:sz w:val="24"/>
        </w:rPr>
        <w:t>-</w:t>
      </w:r>
      <w:r>
        <w:rPr>
          <w:rFonts w:ascii="Times New Roman" w:hAnsi="Times New Roman"/>
          <w:sz w:val="24"/>
        </w:rPr>
        <w:t xml:space="preserve"> I. </w:t>
      </w:r>
      <w:r w:rsidR="00C12355">
        <w:rPr>
          <w:rFonts w:ascii="Times New Roman" w:hAnsi="Times New Roman"/>
          <w:sz w:val="24"/>
        </w:rPr>
        <w:t>-</w:t>
      </w:r>
      <w:r>
        <w:rPr>
          <w:rFonts w:ascii="Times New Roman" w:hAnsi="Times New Roman"/>
          <w:sz w:val="24"/>
        </w:rPr>
        <w:t xml:space="preserve"> Audiovisuaalvaldkonna kõrge nõukogu peab tagama, et 21. juuni 2004. aasta seaduse nr 2004-575 (usalduse kohta digitaalmajanduse vastu) artikli 6-4 I osa esimeses lõigus osutatud veebiplatvormide operaatorid peavad järgima sama artikli 6-4 sätteid, võttes arvesse kõigi nende pakutavate teenuste puhul teenuse omadusi ja operaatori poolt kasutatavate vahendite piisavust eelkõige seoses selle teenuse artikli 6-4 I osa kohase sisu levitamisega seotud riskide ulatuse ja raskusega. Ta peab andma kõnealustele platvormi operaatoritele suunised sama artikli 6-4 kohaldamiseks.</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Audiovisuaalvaldkonna kõrge nõukogu peab koguma neilt operaatoritelt käesoleva seaduse artiklis 19 sätestatud tingimustel teavet, mis on vajalik nende kohustuste jälgimiseks. 21. juuni 2004. aasta seaduse nr 2004-575 artikli 6-4 II osas nimetatud operaatorid võimaldavad juurdepääsu nimetatud kohustuste täitmiseks kasutatavate automatiseeritud vahendite kasutamise põhimõtetele, nende vahendite kasutatavatele parameetritele, nende tulemuslikkuse hindamiseks ja parandamiseks kasutatavatele meetoditele ja andmetele ning mis tahes muule teabele või andmetele, mis võimaldavad neil hinnata nende tõhusust vastavalt isikuandmete kaitset käsitlevatele sätetele. Kooskõlas nimetatud sätetega võib audiovisuaalvaldkonna kõrge nõukogu saata proportsionaalseid taotlusi juurdepääsu saamiseks spetsiaalsete programmeerimisliideste kaudu mis tahes andmete kohta, mis on olulised nende tõhususe hindamiseks. Kooskõlas nimetatud sätetega ja samadel eesmärkidel võib audiovisuaalvaldkonna kõrge nõukogu rakendada proportsionaalseid meetodeid üldsusele kättesaadavate andmete automaatseks kogumiseks, et saada juurdepääs vajalikele andmetele, sealhulgas juhul, kui sellistele andmetele juurdepääs nõuab kontole sisselogimist.</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Selles määratletakse teave ja kvantifitseeritud näitajad, mida kõnealused operaatorid peavad avaldama vastavalt artikli 6-4 I osa punktile 4, samuti selle avaldamise kord ja sagedus.</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Komisjon peab igal aastal avaldama ülevaate artikli 6-4 sätete kohaldamisest.</w:t>
      </w:r>
      <w:r>
        <w:rPr>
          <w:rFonts w:ascii="Times New Roman" w:hAnsi="Times New Roman"/>
          <w:sz w:val="24"/>
        </w:rPr>
        <w:br/>
        <w:t xml:space="preserve">„II. </w:t>
      </w:r>
      <w:r w:rsidR="00C12355">
        <w:rPr>
          <w:rFonts w:ascii="Times New Roman" w:hAnsi="Times New Roman"/>
          <w:sz w:val="24"/>
        </w:rPr>
        <w:t>-</w:t>
      </w:r>
      <w:r>
        <w:rPr>
          <w:rFonts w:ascii="Times New Roman" w:hAnsi="Times New Roman"/>
          <w:sz w:val="24"/>
        </w:rPr>
        <w:t xml:space="preserve"> Audiovisuaalvaldkonna kõrgem nõukogu julgustab eespool nimetatud 21. juuni 2004. aasta seaduse nr 2004–575 artikli 6</w:t>
      </w:r>
      <w:r w:rsidR="00C12355">
        <w:rPr>
          <w:rFonts w:ascii="Times New Roman" w:hAnsi="Times New Roman"/>
          <w:sz w:val="24"/>
        </w:rPr>
        <w:t>-</w:t>
      </w:r>
      <w:r>
        <w:rPr>
          <w:rFonts w:ascii="Times New Roman" w:hAnsi="Times New Roman"/>
          <w:sz w:val="24"/>
        </w:rPr>
        <w:t>4 I osa esimeses lõigus nimetatud veebiplatvormide operaatoreid rakendama järgmist:</w:t>
      </w:r>
      <w:r>
        <w:rPr>
          <w:rFonts w:ascii="Times New Roman" w:hAnsi="Times New Roman"/>
          <w:sz w:val="24"/>
        </w:rPr>
        <w:br/>
        <w:t>„1. Platvormihaldurite vahelise koostöö ja teabevahetuse vahendid avatud vormis, mis on kooskõlas tema soovitustega, et võidelda artiklis 6–4 osutatud rikkumiste vastu;</w:t>
      </w:r>
      <w:r>
        <w:rPr>
          <w:rFonts w:ascii="Times New Roman" w:hAnsi="Times New Roman"/>
          <w:sz w:val="24"/>
        </w:rPr>
        <w:br/>
        <w:t>„2. Proportsionaalsed tehnilised seadmed, mis võimaldavad kuni artiklis 6–4 osutatud sisust teatamise töötlemiseni piirata selle sisu jagamist ja üldsuse kokkupuudet sellega;</w:t>
      </w:r>
      <w:r>
        <w:rPr>
          <w:rFonts w:ascii="Times New Roman" w:hAnsi="Times New Roman"/>
          <w:sz w:val="24"/>
        </w:rPr>
        <w:br/>
        <w:t>„3. Elektrooniliste üldkasutatavate sideteenuste koostalitlusvõime ühised tehnilised standardid, mis on kooskõlas tehnika tasemega ning on dokumenteeritud ja stabiilsed, et hõlbustada kasutajate vaba valikut eri platvormide vahel.</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 xml:space="preserve">III. </w:t>
      </w:r>
      <w:r w:rsidR="00C12355">
        <w:rPr>
          <w:rFonts w:ascii="Times New Roman" w:hAnsi="Times New Roman"/>
          <w:sz w:val="24"/>
        </w:rPr>
        <w:t>-</w:t>
      </w:r>
      <w:r>
        <w:rPr>
          <w:rFonts w:ascii="Times New Roman" w:hAnsi="Times New Roman"/>
          <w:sz w:val="24"/>
        </w:rPr>
        <w:t xml:space="preserve"> Audiovisuaalvaldkonna kõrge nõukogu võib operaatorit teavitada, et ta järgiks tema määratud tähtaja jooksul 21. juuni 2004. aasta seaduse nr 2004-575 artiklit 6-4 ja vastaks talle vastavalt käesoleva artikli I osa teisele lõigule saadetud teabenõuetele.</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 xml:space="preserve">Kui operaator ei järgi saadud teadet, võib kõrge audiovisuaalvaldkonna nõukogu </w:t>
      </w:r>
      <w:r>
        <w:rPr>
          <w:rFonts w:ascii="Times New Roman" w:hAnsi="Times New Roman"/>
          <w:sz w:val="24"/>
        </w:rPr>
        <w:lastRenderedPageBreak/>
        <w:t>määrata käesoleva seaduse artiklis 42-7 sätestatud tingimustel trahvi, mille suurus võtab arvesse rikkumise tõsidust ja vajaduse korral selle korduvat olemust, mis ei ületa 20 miljonit eurot või 6% eelmise aasta kogukäibest, olenevalt sellest, kumb on suurem. Kui sama rikkumise suhtes on teises riigis kohaldatud samal alusel arvutatud rahatrahv, võetakse käesoleva lõike alusel määratud karistuse määramisel arvesse kõnealuse karistuse suurus.</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Erandina käesoleva III jaotise teisest lõigust ei tohi määratud karistuse summa ületada 1% eelmise majandusaasta ülemaailmsest kogukäibest, kui keeldutakse avaldamast teavet, mida reguleeriv asutus nõuab I jaotise teise lõigu alusel, või kui edastatakse ebaõiget või eksitavat teavet.</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Audiovisuaalvaldkonna kõrge nõukogu võib tehtud teated ja sanktsioonid avalikustada. Ta peab oma otsuses määrama kindlaks sellise avaldamise üksikasjad, mis on proportsionaalsed rikkumise tõsidusega. Samuti võib ta anda korralduse lisada oma otsus määratud väljaannetesse, ajalehtedesse ja meediasse nende operaatorite kulul, kelle suhtes kohaldatakse märgukirja või sanktsiooni.</w:t>
      </w:r>
      <w:r>
        <w:rPr>
          <w:rFonts w:ascii="Times New Roman" w:hAnsi="Times New Roman"/>
          <w:sz w:val="24"/>
        </w:rPr>
        <w:br/>
      </w:r>
      <w:r w:rsidR="00C12355" w:rsidRPr="00C12355">
        <w:rPr>
          <w:rFonts w:ascii="Times New Roman" w:hAnsi="Times New Roman"/>
          <w:sz w:val="24"/>
        </w:rPr>
        <w:t>„</w:t>
      </w:r>
      <w:r>
        <w:rPr>
          <w:rFonts w:ascii="Times New Roman" w:hAnsi="Times New Roman"/>
          <w:sz w:val="24"/>
        </w:rPr>
        <w:t>Trahve nõutakse sisse riigile tasumisele kuuluvate võlgade mittemaksuliste ja mittevaraliste võlgadena.</w:t>
      </w:r>
      <w:r w:rsidR="00C12355" w:rsidRPr="00C12355">
        <w:rPr>
          <w:rFonts w:ascii="Times New Roman" w:hAnsi="Times New Roman"/>
          <w:sz w:val="24"/>
        </w:rPr>
        <w:t>“</w:t>
      </w:r>
    </w:p>
    <w:p w14:paraId="23676506" w14:textId="17353150"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 pärast sõna „tuleneb“ sõnastatakse artikli 108 esimese lõigu lõpp on järgmiselt: „24. augusti 2021. aasta seadusest nr 2021-1109 vabariigi põhimõtete järgimise tugevdamise kohta.“</w:t>
      </w:r>
      <w:r>
        <w:rPr>
          <w:rFonts w:ascii="Times New Roman" w:hAnsi="Times New Roman"/>
          <w:sz w:val="24"/>
        </w:rPr>
        <w:br/>
        <w:t xml:space="preserve">III. </w:t>
      </w:r>
      <w:r w:rsidR="00C12355">
        <w:rPr>
          <w:rFonts w:ascii="Times New Roman" w:hAnsi="Times New Roman"/>
          <w:sz w:val="24"/>
        </w:rPr>
        <w:t>-</w:t>
      </w:r>
      <w:r>
        <w:rPr>
          <w:rFonts w:ascii="Times New Roman" w:hAnsi="Times New Roman"/>
          <w:sz w:val="24"/>
        </w:rPr>
        <w:t xml:space="preserve"> A. </w:t>
      </w:r>
      <w:r w:rsidR="00C12355">
        <w:rPr>
          <w:rFonts w:ascii="Times New Roman" w:hAnsi="Times New Roman"/>
          <w:sz w:val="24"/>
        </w:rPr>
        <w:t>-</w:t>
      </w:r>
      <w:r>
        <w:rPr>
          <w:rFonts w:ascii="Times New Roman" w:hAnsi="Times New Roman"/>
          <w:sz w:val="24"/>
        </w:rPr>
        <w:t xml:space="preserve"> Käesoleva artikli sätteid kohaldatakse kuni 31. detsembrini 2023.</w:t>
      </w:r>
      <w:r>
        <w:rPr>
          <w:rFonts w:ascii="Times New Roman" w:hAnsi="Times New Roman"/>
          <w:sz w:val="24"/>
        </w:rPr>
        <w:br/>
        <w:t xml:space="preserve">B. </w:t>
      </w:r>
      <w:r w:rsidR="00C12355">
        <w:rPr>
          <w:rFonts w:ascii="Times New Roman" w:hAnsi="Times New Roman"/>
          <w:sz w:val="24"/>
        </w:rPr>
        <w:t>-</w:t>
      </w:r>
      <w:r>
        <w:rPr>
          <w:rFonts w:ascii="Times New Roman" w:hAnsi="Times New Roman"/>
          <w:sz w:val="24"/>
        </w:rPr>
        <w:t xml:space="preserve"> Erandina käesoleva III jaotise punktist A ei kohaldata käesolevat artiklit alates 7. juunist 2022 terroristliku sisu avaliku levitamise vastase võitluse suhtes Euroopa Parlamendi ja nõukogu 29. aprilli 2021. aasta määruse (EL) 2021/784 (mis käsitleb võitlemist terroristliku veebisisu levitamise vastu) artikli 7 lõike 2 tähenduses.</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C12355"/>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2108</Words>
  <Characters>17565</Characters>
  <Application>Microsoft Office Word</Application>
  <DocSecurity>0</DocSecurity>
  <Lines>358</Lines>
  <Paragraphs>172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2022-02-14T10:54:00Z</dcterms:created>
  <dcterms:modified xsi:type="dcterms:W3CDTF">2022-02-14T10:54:00Z</dcterms:modified>
</cp:coreProperties>
</file>