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9117" w14:textId="02DA8CCA" w:rsidR="004A3BA8" w:rsidRDefault="004A3BA8" w:rsidP="00450593">
      <w:pPr>
        <w:pStyle w:val="BodyText"/>
      </w:pPr>
      <w:r>
        <w:t xml:space="preserve">PROJEKT</w:t>
      </w:r>
    </w:p>
    <w:p w14:paraId="1557DC6E" w14:textId="77777777" w:rsidR="00450593" w:rsidRPr="00450593" w:rsidRDefault="00450593" w:rsidP="00450593">
      <w:pPr>
        <w:pStyle w:val="BodyTextIndent"/>
      </w:pPr>
    </w:p>
    <w:p w14:paraId="11F404A9" w14:textId="77777777" w:rsidR="004A3BA8" w:rsidRPr="005F75D2" w:rsidRDefault="004A3BA8" w:rsidP="005F75D2">
      <w:pPr>
        <w:pStyle w:val="BodyText"/>
        <w:pBdr>
          <w:top w:val="single" w:sz="6" w:space="1" w:color="auto"/>
        </w:pBdr>
        <w:ind w:right="-2411"/>
        <w:rPr>
          <w:sz w:val="4"/>
          <w:szCs w:val="4"/>
        </w:rPr>
      </w:pPr>
    </w:p>
    <w:p w14:paraId="5BC06867" w14:textId="304854B6" w:rsidR="004A3BA8" w:rsidRPr="00496B57" w:rsidRDefault="004A3BA8" w:rsidP="004A3BA8">
      <w:pPr>
        <w:pStyle w:val="Heading2"/>
        <w:spacing w:before="200"/>
      </w:pPr>
      <w:bookmarkStart w:id="0" w:name="Titel"/>
      <w:r>
        <w:t xml:space="preserve">Rozporządzenie zmieniające rozporządzenie (2018:1462) w sprawie odpowiedzialności producenta za opakowania</w:t>
      </w:r>
      <w:bookmarkEnd w:id="0"/>
    </w:p>
    <w:p w14:paraId="7F721899" w14:textId="77777777" w:rsidR="004A3BA8" w:rsidRDefault="004A3BA8" w:rsidP="009C4782">
      <w:pPr>
        <w:pStyle w:val="BodyText"/>
      </w:pPr>
    </w:p>
    <w:p w14:paraId="7F293E91" w14:textId="766251DB" w:rsidR="004A3BA8" w:rsidRDefault="004A3BA8" w:rsidP="004A3BA8">
      <w:pPr>
        <w:pStyle w:val="BodyText"/>
      </w:pPr>
      <w:r>
        <w:t xml:space="preserve">Rząd ustanawia</w:t>
      </w:r>
      <w:r w:rsidR="00C4578D">
        <w:rPr>
          <w:rStyle w:val="FootnoteReference"/>
        </w:rPr>
        <w:footnoteReference w:id="2"/>
      </w:r>
      <w:r>
        <w:t xml:space="preserve"> w odniesieniu do rozporządzenia (2018:1462) w sprawie odpowiedzialności producenta za opakowania</w:t>
      </w:r>
      <w:r>
        <w:t xml:space="preserve"> </w:t>
      </w:r>
    </w:p>
    <w:p w14:paraId="291A1A4D" w14:textId="50B881EE" w:rsidR="004A3BA8" w:rsidRDefault="004A3BA8" w:rsidP="004A3BA8">
      <w:pPr>
        <w:pStyle w:val="BodyTextIndent"/>
      </w:pPr>
      <w:r>
        <w:rPr>
          <w:i/>
        </w:rPr>
        <w:t xml:space="preserve">częściowo</w:t>
      </w:r>
      <w:r>
        <w:t xml:space="preserve">, że art. 37 i 39 mają następujące brzmienie:</w:t>
      </w:r>
    </w:p>
    <w:p w14:paraId="572695F9" w14:textId="03A8BA23" w:rsidR="004A3BA8" w:rsidRDefault="004A3BA8" w:rsidP="004A3BA8">
      <w:pPr>
        <w:pStyle w:val="BodyTextIndent"/>
      </w:pPr>
      <w:r>
        <w:rPr>
          <w:i/>
        </w:rPr>
        <w:t xml:space="preserve">częściowo</w:t>
      </w:r>
      <w:r>
        <w:t xml:space="preserve">, że dodaje się trzy nowe ustępy w art. 38 a, 61 a i 79 a, o następującym brzmieniu.</w:t>
      </w:r>
    </w:p>
    <w:p w14:paraId="17FD716E" w14:textId="70F551B7" w:rsidR="004A3BA8" w:rsidRDefault="004A3BA8" w:rsidP="004A3BA8">
      <w:pPr>
        <w:pStyle w:val="BodyTextIndent"/>
      </w:pPr>
    </w:p>
    <w:p w14:paraId="049A45F4" w14:textId="1FA1ADAA" w:rsidR="004A3BA8" w:rsidRDefault="00BD5F16" w:rsidP="004A3BA8">
      <w:pPr>
        <w:pStyle w:val="BodyText"/>
      </w:pPr>
      <w:r>
        <w:rPr>
          <w:b/>
        </w:rPr>
        <w:drawing>
          <wp:anchor distT="0" distB="0" distL="114300" distR="114300" simplePos="0" relativeHeight="251658240" behindDoc="1" locked="0" layoutInCell="1" allowOverlap="1" wp14:anchorId="62030268" wp14:editId="78E777E3">
            <wp:simplePos x="0" y="0"/>
            <wp:positionH relativeFrom="page">
              <wp:posOffset>675640</wp:posOffset>
            </wp:positionH>
            <wp:positionV relativeFrom="paragraph">
              <wp:posOffset>0</wp:posOffset>
            </wp:positionV>
            <wp:extent cx="12065" cy="341630"/>
            <wp:effectExtent l="0" t="0" r="26035" b="1270"/>
            <wp:wrapNone/>
            <wp:docPr id="3" name="Bildobjekt 3" descr="ändrad text"/>
            <wp:cNvGraphicFramePr/>
            <a:graphic xmlns:a="http://schemas.openxmlformats.org/drawingml/2006/main">
              <a:graphicData uri="http://schemas.openxmlformats.org/drawingml/2006/picture">
                <pic:pic xmlns:pic="http://schemas.openxmlformats.org/drawingml/2006/picture">
                  <pic:nvPicPr>
                    <pic:cNvPr id="3" name="Bildobjekt 3" descr="ändrad text"/>
                    <pic:cNvPicPr/>
                  </pic:nvPicPr>
                  <pic:blipFill>
                    <a:blip r:embed="rId14"/>
                    <a:stretch>
                      <a:fillRect/>
                    </a:stretch>
                  </pic:blipFill>
                  <pic:spPr>
                    <a:xfrm>
                      <a:off x="0" y="0"/>
                      <a:ext cx="12065" cy="341630"/>
                    </a:xfrm>
                    <a:prstGeom prst="rect">
                      <a:avLst/>
                    </a:prstGeom>
                  </pic:spPr>
                </pic:pic>
              </a:graphicData>
            </a:graphic>
            <wp14:sizeRelV relativeFrom="margin">
              <wp14:pctHeight>0</wp14:pctHeight>
            </wp14:sizeRelV>
          </wp:anchor>
        </w:drawing>
      </w:r>
      <w:r>
        <w:rPr>
          <w:b/>
        </w:rPr>
        <w:t xml:space="preserve">Art. 37</w:t>
      </w:r>
      <w:r w:rsidR="00C4578D" w:rsidRPr="00AD2006">
        <w:rPr>
          <w:rStyle w:val="FootnoteReference"/>
          <w:bCs/>
        </w:rPr>
        <w:footnoteReference w:id="3"/>
      </w:r>
      <w:r>
        <w:t xml:space="preserve"> Opakowania mogą być wprowadzane na rynek szwedzki przez producenta tylko wtedy, gdy opakowanie</w:t>
      </w:r>
      <w:r>
        <w:t xml:space="preserve">  </w:t>
      </w:r>
    </w:p>
    <w:p w14:paraId="49DB092A" w14:textId="77777777" w:rsidR="004A3BA8" w:rsidRDefault="004A3BA8" w:rsidP="004A3BA8">
      <w:pPr>
        <w:pStyle w:val="BodyTextIndent"/>
      </w:pPr>
      <w:r>
        <w:t xml:space="preserve">1. ma objętość i masę ograniczoną do minimum niezbędnego do utrzymania dobrego poziomu bezpieczeństwa i higieny,</w:t>
      </w:r>
      <w:r>
        <w:t xml:space="preserve"> </w:t>
      </w:r>
    </w:p>
    <w:p w14:paraId="322AB25E" w14:textId="77777777" w:rsidR="004A3BA8" w:rsidRDefault="004A3BA8" w:rsidP="004A3BA8">
      <w:pPr>
        <w:pStyle w:val="BodyTextIndent"/>
      </w:pPr>
      <w:r>
        <w:t xml:space="preserve">2. może być ponownie wykorzystane lub poddane recyklingowi, oraz</w:t>
      </w:r>
      <w:r>
        <w:t xml:space="preserve"> </w:t>
      </w:r>
    </w:p>
    <w:p w14:paraId="1CC93864" w14:textId="7951EAEB" w:rsidR="004A3BA8" w:rsidRDefault="00775C79" w:rsidP="004A3BA8">
      <w:pPr>
        <w:pStyle w:val="BodyTextIndent"/>
      </w:pPr>
      <w:r>
        <w:drawing>
          <wp:anchor distT="0" distB="0" distL="114300" distR="114300" simplePos="0" relativeHeight="251658245" behindDoc="1" locked="0" layoutInCell="1" allowOverlap="1" wp14:anchorId="2B1EAB77" wp14:editId="1098F2A9">
            <wp:simplePos x="0" y="0"/>
            <wp:positionH relativeFrom="page">
              <wp:posOffset>675640</wp:posOffset>
            </wp:positionH>
            <wp:positionV relativeFrom="paragraph">
              <wp:posOffset>0</wp:posOffset>
            </wp:positionV>
            <wp:extent cx="12065" cy="51943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4"/>
                    <a:stretch>
                      <a:fillRect/>
                    </a:stretch>
                  </pic:blipFill>
                  <pic:spPr>
                    <a:xfrm>
                      <a:off x="0" y="0"/>
                      <a:ext cx="12065" cy="519430"/>
                    </a:xfrm>
                    <a:prstGeom prst="rect">
                      <a:avLst/>
                    </a:prstGeom>
                  </pic:spPr>
                </pic:pic>
              </a:graphicData>
            </a:graphic>
            <wp14:sizeRelV relativeFrom="margin">
              <wp14:pctHeight>0</wp14:pctHeight>
            </wp14:sizeRelV>
          </wp:anchor>
        </w:drawing>
      </w:r>
      <w:r>
        <w:t xml:space="preserve">3. jest wytwarzane w sposób minimalizujący emisję substancji szkodliwych oraz w inny sposób ograniczający wpływ na środowisko w przypadku przetwarzania odpadów opakowaniowych lub unieszkodliwiania pozostałości z przetwarzania odpadów opakowaniowych.</w:t>
      </w:r>
    </w:p>
    <w:p w14:paraId="0E4CC1A2" w14:textId="77777777" w:rsidR="004A3BA8" w:rsidRDefault="004A3BA8" w:rsidP="004A3BA8">
      <w:pPr>
        <w:pStyle w:val="BodyTextIndent"/>
      </w:pPr>
    </w:p>
    <w:p w14:paraId="74FB299C" w14:textId="5F5EAA22" w:rsidR="004A3BA8" w:rsidRDefault="00BD5F16" w:rsidP="004A3BA8">
      <w:pPr>
        <w:pStyle w:val="BodyText"/>
      </w:pPr>
      <w:r>
        <w:rPr>
          <w:b/>
        </w:rPr>
        <w:drawing>
          <wp:anchor distT="0" distB="0" distL="114300" distR="114300" simplePos="0" relativeHeight="251658241" behindDoc="1" locked="0" layoutInCell="1" allowOverlap="1" wp14:anchorId="7D68A5FB" wp14:editId="19FACF5C">
            <wp:simplePos x="0" y="0"/>
            <wp:positionH relativeFrom="page">
              <wp:posOffset>675640</wp:posOffset>
            </wp:positionH>
            <wp:positionV relativeFrom="paragraph">
              <wp:posOffset>0</wp:posOffset>
            </wp:positionV>
            <wp:extent cx="12065" cy="259207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4"/>
                    <a:stretch>
                      <a:fillRect/>
                    </a:stretch>
                  </pic:blipFill>
                  <pic:spPr>
                    <a:xfrm>
                      <a:off x="0" y="0"/>
                      <a:ext cx="12065" cy="2592070"/>
                    </a:xfrm>
                    <a:prstGeom prst="rect">
                      <a:avLst/>
                    </a:prstGeom>
                  </pic:spPr>
                </pic:pic>
              </a:graphicData>
            </a:graphic>
            <wp14:sizeRelV relativeFrom="margin">
              <wp14:pctHeight>0</wp14:pctHeight>
            </wp14:sizeRelV>
          </wp:anchor>
        </w:drawing>
      </w:r>
      <w:r>
        <w:rPr>
          <w:b/>
        </w:rPr>
        <w:t xml:space="preserve">Art. 38 a</w:t>
      </w:r>
      <w:r>
        <w:t xml:space="preserve"> Opakowanie uznaje się za nadające się do recyklingu zgodnie z art. 37 pkt 2, jeżeli</w:t>
      </w:r>
      <w:r>
        <w:t xml:space="preserve">  </w:t>
      </w:r>
    </w:p>
    <w:p w14:paraId="3A06AE53" w14:textId="56AE1F6C" w:rsidR="004A3BA8" w:rsidRDefault="004A3BA8" w:rsidP="004A3BA8">
      <w:pPr>
        <w:pStyle w:val="BodyTextIndent"/>
      </w:pPr>
      <w:r>
        <w:t xml:space="preserve">1. co najmniej 75% masy materiału użytego w opakowaniu można poddać recyklingowi na materiał lub produkty nadające się do sprzedaży; lub</w:t>
      </w:r>
    </w:p>
    <w:p w14:paraId="020CFA8C" w14:textId="391BED2F" w:rsidR="004A3BA8" w:rsidRDefault="004A3BA8" w:rsidP="004A3BA8">
      <w:pPr>
        <w:pStyle w:val="BodyTextIndent"/>
      </w:pPr>
      <w:r>
        <w:t xml:space="preserve">2. opakowanie można poddać recyklingowi zgodnie z wymaganiami art. 39, a opakowanie</w:t>
      </w:r>
      <w:r>
        <w:t xml:space="preserve">  </w:t>
      </w:r>
    </w:p>
    <w:p w14:paraId="2C81D9B4" w14:textId="70F85B5B" w:rsidR="004A3BA8" w:rsidRDefault="004A3BA8" w:rsidP="004A3BA8">
      <w:pPr>
        <w:pStyle w:val="BodyTextIndent"/>
      </w:pPr>
      <w:r>
        <w:t xml:space="preserve">a) jest konieczne do wydłużenia okresu przydatności do spożycia żywności w stopniu, który nie jest nieznaczny,</w:t>
      </w:r>
      <w:r>
        <w:t xml:space="preserve">  </w:t>
      </w:r>
    </w:p>
    <w:p w14:paraId="1583CE14" w14:textId="02D5AC32" w:rsidR="004A3BA8" w:rsidRDefault="004A3BA8" w:rsidP="004A3BA8">
      <w:pPr>
        <w:pStyle w:val="BodyTextIndent"/>
      </w:pPr>
      <w:r>
        <w:t xml:space="preserve">b) jest konieczne do spełnienia wymogów innych przepisów,</w:t>
      </w:r>
      <w:r>
        <w:t xml:space="preserve">  </w:t>
      </w:r>
    </w:p>
    <w:p w14:paraId="2A266F56" w14:textId="77777777" w:rsidR="004A3BA8" w:rsidRDefault="004A3BA8" w:rsidP="004A3BA8">
      <w:pPr>
        <w:pStyle w:val="BodyTextIndent"/>
      </w:pPr>
      <w:r>
        <w:t xml:space="preserve">c) jest wykonane w ponad 50% wagowo z tworzywa sztucznego pochodzącego z recyklingu o tak niskiej jakości, że nie można go poddać recyklingowi; lub</w:t>
      </w:r>
      <w:r>
        <w:t xml:space="preserve"> </w:t>
      </w:r>
    </w:p>
    <w:p w14:paraId="09F77C96" w14:textId="77777777" w:rsidR="004A3BA8" w:rsidRDefault="004A3BA8" w:rsidP="004A3BA8">
      <w:pPr>
        <w:pStyle w:val="BodyTextIndent"/>
      </w:pPr>
      <w:r>
        <w:t xml:space="preserve">d) jest drewnianym pojemnikiem.</w:t>
      </w:r>
      <w:r>
        <w:t xml:space="preserve"> </w:t>
      </w:r>
    </w:p>
    <w:p w14:paraId="2B098D40" w14:textId="5A3BB0A3" w:rsidR="004A3BA8" w:rsidRDefault="004A3BA8" w:rsidP="004A3BA8">
      <w:pPr>
        <w:pStyle w:val="BodyTextIndent"/>
      </w:pPr>
      <w:r>
        <w:t xml:space="preserve">Oceniając, czy opakowanie jest potrzebne zgodnie z pkt. 2 lit. a) lub b), uwzględnia się istniejące możliwości zastąpienia opakowania innym opakowaniem wykonanym z materiału, który można poddać recyklingowi.</w:t>
      </w:r>
      <w:r>
        <w:t xml:space="preserve"> </w:t>
      </w:r>
      <w:r>
        <w:t xml:space="preserve">Należy również wziąć pod uwagę wpływ takiej zmiany materiału na zdrowie ludzkie i środowisko.</w:t>
      </w:r>
    </w:p>
    <w:p w14:paraId="7DA6DB66" w14:textId="053BE539" w:rsidR="004A3BA8" w:rsidRDefault="004A3BA8" w:rsidP="004A3BA8">
      <w:pPr>
        <w:pStyle w:val="BodyTextIndent"/>
      </w:pPr>
    </w:p>
    <w:p w14:paraId="387AB169" w14:textId="69A7F7CA" w:rsidR="004A3BA8" w:rsidRDefault="00BD5F16" w:rsidP="004A3BA8">
      <w:pPr>
        <w:pStyle w:val="BodyText"/>
      </w:pPr>
      <w:r>
        <w:rPr>
          <w:b/>
        </w:rPr>
        <w:drawing>
          <wp:anchor distT="0" distB="0" distL="114300" distR="114300" simplePos="0" relativeHeight="251658242" behindDoc="1" locked="0" layoutInCell="1" allowOverlap="1" wp14:anchorId="19BF73B8" wp14:editId="62F1749D">
            <wp:simplePos x="0" y="0"/>
            <wp:positionH relativeFrom="page">
              <wp:posOffset>675640</wp:posOffset>
            </wp:positionH>
            <wp:positionV relativeFrom="paragraph">
              <wp:posOffset>0</wp:posOffset>
            </wp:positionV>
            <wp:extent cx="12065" cy="349886"/>
            <wp:effectExtent l="0" t="0" r="26035" b="0"/>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4"/>
                    <a:stretch>
                      <a:fillRect/>
                    </a:stretch>
                  </pic:blipFill>
                  <pic:spPr>
                    <a:xfrm>
                      <a:off x="0" y="0"/>
                      <a:ext cx="12065" cy="349886"/>
                    </a:xfrm>
                    <a:prstGeom prst="rect">
                      <a:avLst/>
                    </a:prstGeom>
                  </pic:spPr>
                </pic:pic>
              </a:graphicData>
            </a:graphic>
            <wp14:sizeRelV relativeFrom="margin">
              <wp14:pctHeight>0</wp14:pctHeight>
            </wp14:sizeRelV>
          </wp:anchor>
        </w:drawing>
      </w:r>
      <w:r>
        <w:rPr>
          <w:b/>
        </w:rPr>
        <w:t xml:space="preserve">Art. 39</w:t>
      </w:r>
      <w:r w:rsidR="00C4578D" w:rsidRPr="00AD2006">
        <w:rPr>
          <w:rStyle w:val="FootnoteReference"/>
          <w:bCs/>
        </w:rPr>
        <w:footnoteReference w:id="4"/>
      </w:r>
      <w:r>
        <w:t xml:space="preserve"> Opakowanie, o którym mowa w art. 38 a pkt 2, uznaje się za nadające się do recyklingu przez</w:t>
      </w:r>
      <w:r>
        <w:t xml:space="preserve"> </w:t>
      </w:r>
    </w:p>
    <w:p w14:paraId="2E9AD062" w14:textId="7BFCB0C7" w:rsidR="004A3BA8" w:rsidRDefault="004A3BA8" w:rsidP="004A3BA8">
      <w:pPr>
        <w:pStyle w:val="BodyTextIndent"/>
      </w:pPr>
      <w:r>
        <w:t xml:space="preserve">1. recykling materiałów, jeżeli opakowanie jest produkowane w taki sposób, że możliwe jest wykorzystanie określonego procentu wagowego materiału opakowaniowego do wytwarzania produktów zbywalnych,</w:t>
      </w:r>
      <w:r>
        <w:t xml:space="preserve"> </w:t>
      </w:r>
    </w:p>
    <w:p w14:paraId="1D4FB8B3" w14:textId="2816C857" w:rsidR="004A3BA8" w:rsidRDefault="004A3BA8" w:rsidP="004A3BA8">
      <w:pPr>
        <w:pStyle w:val="BodyTextIndent"/>
      </w:pPr>
      <w:r>
        <w:t xml:space="preserve">2. odzysk energii, jeżeli odpady opakowaniowe mają minimalną wartość kaloryczną zapewniającą optymalny odzysk energii; lub</w:t>
      </w:r>
      <w:r>
        <w:t xml:space="preserve"> </w:t>
      </w:r>
    </w:p>
    <w:p w14:paraId="5ADEC108" w14:textId="75A85FD2" w:rsidR="004A3BA8" w:rsidRDefault="004A3BA8" w:rsidP="004A3BA8">
      <w:pPr>
        <w:pStyle w:val="BodyTextIndent"/>
      </w:pPr>
      <w:r>
        <w:t xml:space="preserve">3. kompostowanie, jeżeli odpady opakowaniowe ulegają biodegradacji w takim stopniu, że nie utrudniają selektywnej zbiórki, procesu kompostowania lub czynności, której poddawane są odpady, i mają taki charakter, że mogą ulegać degradacji fizycznej, chemicznej, termicznej lub biologicznej w taki sposób, że większość końcowego kompostu ulega ostatecznemu rozkładowi na dwutlenek węgla, biomasę i wodę.</w:t>
      </w:r>
    </w:p>
    <w:p w14:paraId="2EA02B05" w14:textId="60A16F41" w:rsidR="004A3BA8" w:rsidRDefault="00B27E27" w:rsidP="00B7501B">
      <w:pPr>
        <w:pStyle w:val="BodyTextIndent"/>
      </w:pPr>
      <w:r>
        <w:rPr>
          <w:b/>
        </w:rPr>
        <w:drawing>
          <wp:anchor distT="0" distB="0" distL="114300" distR="114300" simplePos="0" relativeHeight="251658243" behindDoc="1" locked="0" layoutInCell="1" allowOverlap="1" wp14:anchorId="7FF388CB" wp14:editId="57B3ACA4">
            <wp:simplePos x="0" y="0"/>
            <wp:positionH relativeFrom="page">
              <wp:posOffset>675640</wp:posOffset>
            </wp:positionH>
            <wp:positionV relativeFrom="paragraph">
              <wp:posOffset>194310</wp:posOffset>
            </wp:positionV>
            <wp:extent cx="12065" cy="2705051"/>
            <wp:effectExtent l="0" t="0" r="26035" b="63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4"/>
                    <a:stretch>
                      <a:fillRect/>
                    </a:stretch>
                  </pic:blipFill>
                  <pic:spPr>
                    <a:xfrm>
                      <a:off x="0" y="0"/>
                      <a:ext cx="12065" cy="2705051"/>
                    </a:xfrm>
                    <a:prstGeom prst="rect">
                      <a:avLst/>
                    </a:prstGeom>
                  </pic:spPr>
                </pic:pic>
              </a:graphicData>
            </a:graphic>
            <wp14:sizeRelV relativeFrom="margin">
              <wp14:pctHeight>0</wp14:pctHeight>
            </wp14:sizeRelV>
          </wp:anchor>
        </w:drawing>
      </w:r>
    </w:p>
    <w:p w14:paraId="0F86E6D3" w14:textId="609AE4DA" w:rsidR="004A3BA8" w:rsidRDefault="004A3BA8" w:rsidP="004A3BA8">
      <w:pPr>
        <w:pStyle w:val="BodyText"/>
      </w:pPr>
      <w:r>
        <w:rPr>
          <w:b/>
        </w:rPr>
        <w:t xml:space="preserve">§ 61 a </w:t>
      </w:r>
      <w:r>
        <w:t xml:space="preserve">System zbierania może zobowiązać się do zarządzania opakowaniem, gdy stanie się ono odpadem dla producenta, który spełni wymóg art. 42, tylko wtedy, gdy</w:t>
      </w:r>
    </w:p>
    <w:p w14:paraId="74B9397F" w14:textId="1B0B4FBF" w:rsidR="004A3BA8" w:rsidRDefault="004A3BA8" w:rsidP="004A3BA8">
      <w:pPr>
        <w:pStyle w:val="BodyTextIndent"/>
      </w:pPr>
      <w:r>
        <w:t xml:space="preserve">1. system zbierania ma warunki techniczne i wystarczającą zdolność do odzyskania co najmniej 75% wagowo materiału użytego w opakowaniach na materiał lub produkty nadające się do sprzedaży,</w:t>
      </w:r>
      <w:r>
        <w:t xml:space="preserve">  </w:t>
      </w:r>
    </w:p>
    <w:p w14:paraId="2241866C" w14:textId="1BFF2350" w:rsidR="004A3BA8" w:rsidRDefault="004A3BA8" w:rsidP="004A3BA8">
      <w:pPr>
        <w:pStyle w:val="BodyTextIndent"/>
      </w:pPr>
      <w:r>
        <w:t xml:space="preserve">2. system zbierania zapewnia, że inna jednostka posiadająca warunki techniczne i wystarczające zdolności produkcyjne zobowiąże się do odzyskania co najmniej 75% wagowo materiału użytego w opakowaniu na materiał lub produkty nadające się do sprzedaży,</w:t>
      </w:r>
      <w:r>
        <w:t xml:space="preserve">  </w:t>
      </w:r>
    </w:p>
    <w:p w14:paraId="02AE5874" w14:textId="336CF2B9" w:rsidR="004A3BA8" w:rsidRDefault="004A3BA8" w:rsidP="004A3BA8">
      <w:pPr>
        <w:pStyle w:val="BodyTextIndent"/>
      </w:pPr>
      <w:r>
        <w:t xml:space="preserve">3. opakowanie jest opakowaniem, o którym mowa w art. 38 a pkt 2, a system zbierania lub inny podmiot dokonuje recyklingu opakowania zgodnie z wymogami określonymi w art. 39, lub</w:t>
      </w:r>
      <w:r>
        <w:t xml:space="preserve">  </w:t>
      </w:r>
    </w:p>
    <w:p w14:paraId="5A9E296C" w14:textId="3704B722" w:rsidR="004A3BA8" w:rsidRDefault="004A3BA8" w:rsidP="004A3BA8">
      <w:pPr>
        <w:pStyle w:val="BodyTextIndent"/>
      </w:pPr>
      <w:r>
        <w:t xml:space="preserve">4. opakowanie podlega przepisom wydanym na podstawie art. 79, a system zbierania lub inny podmiot dokonuje recyklingu opakowania zgodnie z wymogami określonymi w art. 39.</w:t>
      </w:r>
    </w:p>
    <w:p w14:paraId="00A807C7" w14:textId="77777777" w:rsidR="004A3BA8" w:rsidRDefault="004A3BA8" w:rsidP="00B7501B">
      <w:pPr>
        <w:pStyle w:val="BodyTextIndent"/>
      </w:pPr>
    </w:p>
    <w:p w14:paraId="7B037174" w14:textId="48C66959" w:rsidR="004A3BA8" w:rsidRDefault="00BD5F16" w:rsidP="00AD2006">
      <w:pPr>
        <w:pStyle w:val="BodyText"/>
      </w:pPr>
      <w:r>
        <w:rPr>
          <w:b/>
        </w:rPr>
        <w:drawing>
          <wp:anchor distT="0" distB="0" distL="114300" distR="114300" simplePos="0" relativeHeight="251658244" behindDoc="1" locked="0" layoutInCell="1" allowOverlap="1" wp14:anchorId="67A817FA" wp14:editId="52E3C68D">
            <wp:simplePos x="0" y="0"/>
            <wp:positionH relativeFrom="page">
              <wp:posOffset>675640</wp:posOffset>
            </wp:positionH>
            <wp:positionV relativeFrom="paragraph">
              <wp:posOffset>0</wp:posOffset>
            </wp:positionV>
            <wp:extent cx="12065" cy="525145"/>
            <wp:effectExtent l="0" t="0" r="26035" b="825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4"/>
                    <a:stretch>
                      <a:fillRect/>
                    </a:stretch>
                  </pic:blipFill>
                  <pic:spPr>
                    <a:xfrm>
                      <a:off x="0" y="0"/>
                      <a:ext cx="12065" cy="525145"/>
                    </a:xfrm>
                    <a:prstGeom prst="rect">
                      <a:avLst/>
                    </a:prstGeom>
                  </pic:spPr>
                </pic:pic>
              </a:graphicData>
            </a:graphic>
            <wp14:sizeRelV relativeFrom="margin">
              <wp14:pctHeight>0</wp14:pctHeight>
            </wp14:sizeRelV>
          </wp:anchor>
        </w:drawing>
      </w:r>
      <w:r>
        <w:rPr>
          <w:b/>
        </w:rPr>
        <w:t xml:space="preserve">Art. 79 a </w:t>
      </w:r>
      <w:r>
        <w:t xml:space="preserve">Szwedzka Agencja Ochrony Środowiska może wydać przepisy stwierdzające, że opakowanie, które nie spełnia wymagań art. 38 a, uważa się za nadające się do recyklingu, jeżeli istnieją szczególne powody, aby użyć tego opakowania.</w:t>
      </w:r>
      <w:r>
        <w:t xml:space="preserve">                       </w:t>
      </w:r>
    </w:p>
    <w:p w14:paraId="43F85EE1" w14:textId="77777777" w:rsidR="004A3BA8" w:rsidRPr="009F0C87" w:rsidRDefault="004A3BA8" w:rsidP="008938FE">
      <w:pPr>
        <w:pStyle w:val="Slutstreck"/>
        <w:spacing w:line="232" w:lineRule="exact"/>
      </w:pPr>
      <w:r>
        <w:t xml:space="preserve">                      </w:t>
      </w:r>
    </w:p>
    <w:p w14:paraId="6E56F2FA" w14:textId="7BF4003F" w:rsidR="004A3BA8" w:rsidRDefault="004A3BA8" w:rsidP="004A3BA8">
      <w:pPr>
        <w:pStyle w:val="BodyTextIndent"/>
      </w:pPr>
      <w:r>
        <w:t xml:space="preserve">Niniejsze rozporządzenie wchodzi w życie z dniem 1 stycznia 2022 r. w odniesieniu do art. 79, a w pozostałym zakresie z dniem 1 stycznia 2025 r.</w:t>
      </w:r>
    </w:p>
    <w:sectPr w:rsidR="004A3BA8"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9968" w14:textId="77777777" w:rsidR="009C5815" w:rsidRDefault="009C5815" w:rsidP="00680442">
      <w:r>
        <w:separator/>
      </w:r>
    </w:p>
  </w:endnote>
  <w:endnote w:type="continuationSeparator" w:id="0">
    <w:p w14:paraId="43A21EAA" w14:textId="77777777" w:rsidR="009C5815" w:rsidRDefault="009C5815" w:rsidP="00680442">
      <w:r>
        <w:continuationSeparator/>
      </w:r>
    </w:p>
  </w:endnote>
  <w:endnote w:type="continuationNotice" w:id="1">
    <w:p w14:paraId="536464AD" w14:textId="77777777" w:rsidR="009C5815" w:rsidRDefault="009C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DC2D" w14:textId="77777777" w:rsidR="009C5815" w:rsidRDefault="009C5815" w:rsidP="00CE05BB">
    <w:pPr>
      <w:pStyle w:val="Footer"/>
    </w:pPr>
    <w:r>
      <mc:AlternateContent>
        <mc:Choice Requires="wps">
          <w:drawing>
            <wp:anchor distT="0" distB="0" distL="114300" distR="114300" simplePos="0" relativeHeight="251657216" behindDoc="0" locked="0" layoutInCell="1" allowOverlap="1" wp14:anchorId="799C8231" wp14:editId="043B90E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7C41E" w14:textId="77777777" w:rsidR="009C5815" w:rsidRDefault="009C5815"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C8231"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3F7C41E" w14:textId="77777777" w:rsidR="009C5815" w:rsidRDefault="009C581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B3F" w14:textId="77777777" w:rsidR="009C5815" w:rsidRDefault="009C5815" w:rsidP="00CE05BB">
    <w:pPr>
      <w:pStyle w:val="Footer"/>
    </w:pPr>
    <w:r>
      <mc:AlternateContent>
        <mc:Choice Requires="wps">
          <w:drawing>
            <wp:anchor distT="0" distB="0" distL="114300" distR="114300" simplePos="0" relativeHeight="251656192" behindDoc="0" locked="0" layoutInCell="1" allowOverlap="1" wp14:anchorId="7C31E3F9" wp14:editId="2103B84D">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81A61" w14:textId="77777777" w:rsidR="009C5815" w:rsidRDefault="009C5815"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E3F9"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65B81A61" w14:textId="77777777" w:rsidR="009C5815" w:rsidRDefault="009C581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22CA" w14:textId="77777777" w:rsidR="009C5815" w:rsidRDefault="009C5815" w:rsidP="00680442"/>
  </w:footnote>
  <w:footnote w:type="continuationSeparator" w:id="0">
    <w:p w14:paraId="77A02ADF" w14:textId="77777777" w:rsidR="009C5815" w:rsidRPr="00C26807" w:rsidRDefault="009C5815" w:rsidP="00C26807">
      <w:pPr>
        <w:pStyle w:val="Footer"/>
      </w:pPr>
    </w:p>
  </w:footnote>
  <w:footnote w:type="continuationNotice" w:id="1">
    <w:p w14:paraId="5CB45579" w14:textId="77777777" w:rsidR="009C5815" w:rsidRDefault="009C5815"/>
  </w:footnote>
  <w:footnote w:id="2">
    <w:p w14:paraId="34EB3B77" w14:textId="10A7E375" w:rsidR="009C5815" w:rsidRDefault="009C5815">
      <w:pPr>
        <w:pStyle w:val="FootnoteText"/>
      </w:pPr>
      <w:r>
        <w:rPr>
          <w:rStyle w:val="FootnoteReference"/>
        </w:rPr>
        <w:footnoteRef/>
      </w:r>
      <w:r>
        <w:t xml:space="preserve"> Por.</w:t>
      </w:r>
      <w:r>
        <w:t xml:space="preserve"> </w:t>
      </w:r>
      <w:r>
        <w:t xml:space="preserve">Dyrektywa Parlamentu Europejskiego i Rady (UE) 2019/904 z dnia 5 czerwca 2019 r. w sprawie zmniejszenia wpływu niektórych produktów z tworzyw sztucznych na środowisko, w brzmieniu pierwotnym, dyrektywa Parlamentu Europejskiego i Rady 2008/98/WE z dnia 19 listopada 2008 r. w sprawie odpadów oraz uchylająca niektóre dyrektywy, w brzmieniu zgodnym z dyrektywą Parlamentu Europejskiego i Rady (UE) 2018/851 i dyrektywą Parlamentu Europejskiego i Rady 94/62/UE z dnia 20 grudnia 1994 r. w sprawie opakowań i odpadów opakowaniowych, w brzmieniu zgodnym z dyrektywą Parlamentu Europejskiego i Rady (UE) 2018/852.</w:t>
      </w:r>
      <w:r>
        <w:t xml:space="preserve"> </w:t>
      </w:r>
      <w:r>
        <w:t xml:space="preserve">Zob. dyrektywa (UE) 2015/1535 Parlamentu Europejskiego i Rady z dnia 9 września 2015 r. ustanawiająca procedurę udzielania informacji w dziedzinie przepisów technicznych oraz zasad dotyczących usług społeczeństwa informacyjnego.</w:t>
      </w:r>
    </w:p>
  </w:footnote>
  <w:footnote w:id="3">
    <w:p w14:paraId="2F1364C4" w14:textId="19BE0613" w:rsidR="009C5815" w:rsidRDefault="009C5815">
      <w:pPr>
        <w:pStyle w:val="FootnoteText"/>
      </w:pPr>
      <w:r>
        <w:rPr>
          <w:rStyle w:val="FootnoteReference"/>
        </w:rPr>
        <w:footnoteRef/>
      </w:r>
      <w:r>
        <w:t xml:space="preserve"> Najnowsze brzmienie 2020:615.</w:t>
      </w:r>
    </w:p>
  </w:footnote>
  <w:footnote w:id="4">
    <w:p w14:paraId="73263F69" w14:textId="77777777" w:rsidR="009C5815" w:rsidRDefault="009C5815" w:rsidP="00C4578D">
      <w:pPr>
        <w:pStyle w:val="FootnoteText"/>
      </w:pPr>
      <w:r>
        <w:rPr>
          <w:rStyle w:val="FootnoteReference"/>
        </w:rPr>
        <w:footnoteRef/>
      </w:r>
      <w:r>
        <w:t xml:space="preserve"> Najnowsze brzmienie 2020:615.</w:t>
      </w:r>
    </w:p>
    <w:p w14:paraId="7C9AAFCF" w14:textId="1D5B9EC0" w:rsidR="009C5815" w:rsidRDefault="009C58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BD0" w14:textId="77777777" w:rsidR="009C5815" w:rsidRDefault="00A41932">
    <w:pPr>
      <w:pStyle w:val="Header"/>
    </w:pPr>
    <w:r>
      <w:pict w14:anchorId="38AC2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WERSJA PRÓBNA DOKUMENTU, POZBAWIONA WAŻNOŚC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330A" w14:textId="77777777" w:rsidR="009C5815" w:rsidRDefault="009C5815" w:rsidP="00F77ABC">
    <w:pPr>
      <w:pStyle w:val="Header"/>
      <w:jc w:val="right"/>
    </w:pPr>
    <w:r>
      <mc:AlternateContent>
        <mc:Choice Requires="wps">
          <w:drawing>
            <wp:anchor distT="0" distB="0" distL="114300" distR="114300" simplePos="0" relativeHeight="251658240" behindDoc="0" locked="0" layoutInCell="1" allowOverlap="1" wp14:anchorId="3E6FE86B" wp14:editId="663425D6">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22ABB" w14:textId="77777777" w:rsidR="009C5815" w:rsidRPr="001974BD" w:rsidRDefault="009C581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E86B"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26C22ABB" w14:textId="77777777" w:rsidR="009C5815" w:rsidRPr="001974BD" w:rsidRDefault="009C5815"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A8"/>
    <w:rsid w:val="00014844"/>
    <w:rsid w:val="00027BEC"/>
    <w:rsid w:val="000309B4"/>
    <w:rsid w:val="00050C9E"/>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D56FC"/>
    <w:rsid w:val="000D5E85"/>
    <w:rsid w:val="000F16E5"/>
    <w:rsid w:val="00100E2C"/>
    <w:rsid w:val="00132BD5"/>
    <w:rsid w:val="00135F8C"/>
    <w:rsid w:val="001409E8"/>
    <w:rsid w:val="00162B76"/>
    <w:rsid w:val="00165B5E"/>
    <w:rsid w:val="00175988"/>
    <w:rsid w:val="00181BC1"/>
    <w:rsid w:val="001974BD"/>
    <w:rsid w:val="001B3CEB"/>
    <w:rsid w:val="001B4DB6"/>
    <w:rsid w:val="001C7E6D"/>
    <w:rsid w:val="001F4FE9"/>
    <w:rsid w:val="00201C96"/>
    <w:rsid w:val="00224C44"/>
    <w:rsid w:val="00232439"/>
    <w:rsid w:val="0023447C"/>
    <w:rsid w:val="00256E21"/>
    <w:rsid w:val="002576A9"/>
    <w:rsid w:val="00264A3C"/>
    <w:rsid w:val="00267351"/>
    <w:rsid w:val="002767C4"/>
    <w:rsid w:val="0029295C"/>
    <w:rsid w:val="002949DD"/>
    <w:rsid w:val="002A76C1"/>
    <w:rsid w:val="002B3871"/>
    <w:rsid w:val="002B452D"/>
    <w:rsid w:val="002D247A"/>
    <w:rsid w:val="002D3D78"/>
    <w:rsid w:val="002F68D4"/>
    <w:rsid w:val="00301819"/>
    <w:rsid w:val="00323010"/>
    <w:rsid w:val="0032527C"/>
    <w:rsid w:val="00332533"/>
    <w:rsid w:val="00343A99"/>
    <w:rsid w:val="00344B4A"/>
    <w:rsid w:val="00350B0F"/>
    <w:rsid w:val="0035181A"/>
    <w:rsid w:val="00353EE4"/>
    <w:rsid w:val="003642F1"/>
    <w:rsid w:val="003661D1"/>
    <w:rsid w:val="00367C3F"/>
    <w:rsid w:val="0037085F"/>
    <w:rsid w:val="0039337B"/>
    <w:rsid w:val="003A6AD5"/>
    <w:rsid w:val="003B4745"/>
    <w:rsid w:val="004043E4"/>
    <w:rsid w:val="00406562"/>
    <w:rsid w:val="0044098C"/>
    <w:rsid w:val="00440A07"/>
    <w:rsid w:val="00450593"/>
    <w:rsid w:val="00460C4D"/>
    <w:rsid w:val="00461C46"/>
    <w:rsid w:val="00461D7A"/>
    <w:rsid w:val="00465E8F"/>
    <w:rsid w:val="00467E22"/>
    <w:rsid w:val="00467F48"/>
    <w:rsid w:val="00475117"/>
    <w:rsid w:val="00475F84"/>
    <w:rsid w:val="00487A84"/>
    <w:rsid w:val="00496903"/>
    <w:rsid w:val="00496B57"/>
    <w:rsid w:val="004A3BA8"/>
    <w:rsid w:val="004A3C1C"/>
    <w:rsid w:val="004A728C"/>
    <w:rsid w:val="004B6A07"/>
    <w:rsid w:val="004B7FD3"/>
    <w:rsid w:val="004E0106"/>
    <w:rsid w:val="004E1ACE"/>
    <w:rsid w:val="004F0BBC"/>
    <w:rsid w:val="00506527"/>
    <w:rsid w:val="005373FC"/>
    <w:rsid w:val="0055154B"/>
    <w:rsid w:val="00562B95"/>
    <w:rsid w:val="00564C23"/>
    <w:rsid w:val="00580393"/>
    <w:rsid w:val="00585B17"/>
    <w:rsid w:val="00595325"/>
    <w:rsid w:val="005B0E8A"/>
    <w:rsid w:val="005B2C6E"/>
    <w:rsid w:val="005B7784"/>
    <w:rsid w:val="005C210E"/>
    <w:rsid w:val="005C6B0C"/>
    <w:rsid w:val="005E1EF1"/>
    <w:rsid w:val="005E410F"/>
    <w:rsid w:val="005E781A"/>
    <w:rsid w:val="005F5448"/>
    <w:rsid w:val="005F75D2"/>
    <w:rsid w:val="005F7A7D"/>
    <w:rsid w:val="0060139D"/>
    <w:rsid w:val="006017CA"/>
    <w:rsid w:val="00611677"/>
    <w:rsid w:val="006178BF"/>
    <w:rsid w:val="006408C8"/>
    <w:rsid w:val="0064475F"/>
    <w:rsid w:val="006563C6"/>
    <w:rsid w:val="00674A58"/>
    <w:rsid w:val="00680442"/>
    <w:rsid w:val="0068520B"/>
    <w:rsid w:val="006856DB"/>
    <w:rsid w:val="00685BA1"/>
    <w:rsid w:val="006945F8"/>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409F6"/>
    <w:rsid w:val="00753F80"/>
    <w:rsid w:val="007708C2"/>
    <w:rsid w:val="00775C79"/>
    <w:rsid w:val="00775E94"/>
    <w:rsid w:val="007A10EE"/>
    <w:rsid w:val="007A5642"/>
    <w:rsid w:val="007A61CF"/>
    <w:rsid w:val="007B264F"/>
    <w:rsid w:val="007B32A1"/>
    <w:rsid w:val="007B5968"/>
    <w:rsid w:val="007C0C0F"/>
    <w:rsid w:val="007E6B31"/>
    <w:rsid w:val="00825F12"/>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01A1E"/>
    <w:rsid w:val="00917859"/>
    <w:rsid w:val="009201AC"/>
    <w:rsid w:val="009331C6"/>
    <w:rsid w:val="00933D9C"/>
    <w:rsid w:val="00984BC8"/>
    <w:rsid w:val="0098565F"/>
    <w:rsid w:val="0099266E"/>
    <w:rsid w:val="00993A25"/>
    <w:rsid w:val="009A51AC"/>
    <w:rsid w:val="009B27EF"/>
    <w:rsid w:val="009B701B"/>
    <w:rsid w:val="009C4782"/>
    <w:rsid w:val="009C5815"/>
    <w:rsid w:val="009C5A21"/>
    <w:rsid w:val="009D6C25"/>
    <w:rsid w:val="009D7413"/>
    <w:rsid w:val="009E0463"/>
    <w:rsid w:val="009F4194"/>
    <w:rsid w:val="009F4B8F"/>
    <w:rsid w:val="009F60E3"/>
    <w:rsid w:val="009F63BA"/>
    <w:rsid w:val="00A11BA4"/>
    <w:rsid w:val="00A33D04"/>
    <w:rsid w:val="00A41932"/>
    <w:rsid w:val="00A478BB"/>
    <w:rsid w:val="00A53593"/>
    <w:rsid w:val="00A619D9"/>
    <w:rsid w:val="00A71376"/>
    <w:rsid w:val="00A90842"/>
    <w:rsid w:val="00A94B58"/>
    <w:rsid w:val="00AA35F7"/>
    <w:rsid w:val="00AA4011"/>
    <w:rsid w:val="00AB4C41"/>
    <w:rsid w:val="00AC04AB"/>
    <w:rsid w:val="00AC565C"/>
    <w:rsid w:val="00AD2006"/>
    <w:rsid w:val="00AE1FEB"/>
    <w:rsid w:val="00AF246E"/>
    <w:rsid w:val="00AF2AD7"/>
    <w:rsid w:val="00B045CC"/>
    <w:rsid w:val="00B07F32"/>
    <w:rsid w:val="00B13367"/>
    <w:rsid w:val="00B13451"/>
    <w:rsid w:val="00B27E27"/>
    <w:rsid w:val="00B316D7"/>
    <w:rsid w:val="00B32899"/>
    <w:rsid w:val="00B32DD6"/>
    <w:rsid w:val="00B346FF"/>
    <w:rsid w:val="00B412A6"/>
    <w:rsid w:val="00B54292"/>
    <w:rsid w:val="00B65511"/>
    <w:rsid w:val="00B7501B"/>
    <w:rsid w:val="00B90519"/>
    <w:rsid w:val="00B92773"/>
    <w:rsid w:val="00B92D7E"/>
    <w:rsid w:val="00BA20B8"/>
    <w:rsid w:val="00BA2679"/>
    <w:rsid w:val="00BC1B38"/>
    <w:rsid w:val="00BC3E60"/>
    <w:rsid w:val="00BC4608"/>
    <w:rsid w:val="00BC6DC4"/>
    <w:rsid w:val="00BD5F16"/>
    <w:rsid w:val="00BE1774"/>
    <w:rsid w:val="00BF022A"/>
    <w:rsid w:val="00C221CE"/>
    <w:rsid w:val="00C25750"/>
    <w:rsid w:val="00C25CB0"/>
    <w:rsid w:val="00C26807"/>
    <w:rsid w:val="00C371B6"/>
    <w:rsid w:val="00C4578D"/>
    <w:rsid w:val="00C47474"/>
    <w:rsid w:val="00C47E3E"/>
    <w:rsid w:val="00C64668"/>
    <w:rsid w:val="00C728AE"/>
    <w:rsid w:val="00C73C3C"/>
    <w:rsid w:val="00C747CC"/>
    <w:rsid w:val="00CB0127"/>
    <w:rsid w:val="00CB0950"/>
    <w:rsid w:val="00CE05BB"/>
    <w:rsid w:val="00CE5EC6"/>
    <w:rsid w:val="00CF03E7"/>
    <w:rsid w:val="00CF5001"/>
    <w:rsid w:val="00CF79ED"/>
    <w:rsid w:val="00D001EA"/>
    <w:rsid w:val="00D26E43"/>
    <w:rsid w:val="00D34DA7"/>
    <w:rsid w:val="00D42A87"/>
    <w:rsid w:val="00D441D7"/>
    <w:rsid w:val="00D44AC9"/>
    <w:rsid w:val="00D45C8D"/>
    <w:rsid w:val="00D50A6F"/>
    <w:rsid w:val="00D526A3"/>
    <w:rsid w:val="00D62D51"/>
    <w:rsid w:val="00D65A6A"/>
    <w:rsid w:val="00D70F12"/>
    <w:rsid w:val="00D71BB8"/>
    <w:rsid w:val="00D72FA5"/>
    <w:rsid w:val="00D74117"/>
    <w:rsid w:val="00D833BC"/>
    <w:rsid w:val="00D909FB"/>
    <w:rsid w:val="00DB779F"/>
    <w:rsid w:val="00DD0175"/>
    <w:rsid w:val="00DD64FA"/>
    <w:rsid w:val="00DE5B23"/>
    <w:rsid w:val="00DF648E"/>
    <w:rsid w:val="00DF68E0"/>
    <w:rsid w:val="00E1310A"/>
    <w:rsid w:val="00E21E6F"/>
    <w:rsid w:val="00E37BB1"/>
    <w:rsid w:val="00E47807"/>
    <w:rsid w:val="00E52CB7"/>
    <w:rsid w:val="00E80832"/>
    <w:rsid w:val="00E967A2"/>
    <w:rsid w:val="00EA0AB8"/>
    <w:rsid w:val="00EA1496"/>
    <w:rsid w:val="00EA2593"/>
    <w:rsid w:val="00EA2933"/>
    <w:rsid w:val="00EA76D7"/>
    <w:rsid w:val="00EB2AEC"/>
    <w:rsid w:val="00EB47C6"/>
    <w:rsid w:val="00ED763F"/>
    <w:rsid w:val="00EE4722"/>
    <w:rsid w:val="00EE6222"/>
    <w:rsid w:val="00EE6509"/>
    <w:rsid w:val="00EF57BC"/>
    <w:rsid w:val="00EF6220"/>
    <w:rsid w:val="00F1229F"/>
    <w:rsid w:val="00F24B78"/>
    <w:rsid w:val="00F277AA"/>
    <w:rsid w:val="00F70F1F"/>
    <w:rsid w:val="00F77ABC"/>
    <w:rsid w:val="00F80766"/>
    <w:rsid w:val="00F8416E"/>
    <w:rsid w:val="00F924A7"/>
    <w:rsid w:val="00F94D97"/>
    <w:rsid w:val="00FA1C3B"/>
    <w:rsid w:val="00FB1396"/>
    <w:rsid w:val="00FB2CB0"/>
    <w:rsid w:val="00FD162D"/>
    <w:rsid w:val="00FD3A99"/>
    <w:rsid w:val="00FD47EE"/>
    <w:rsid w:val="00FD5F95"/>
    <w:rsid w:val="00FD67E3"/>
    <w:rsid w:val="00FD759F"/>
    <w:rsid w:val="00FE3076"/>
    <w:rsid w:val="00FE6AE2"/>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B81F04"/>
  <w15:docId w15:val="{75DB5DD4-82E8-420E-9794-DD0427D7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4A3BA8"/>
    <w:rPr>
      <w:color w:val="2B579A"/>
      <w:shd w:val="clear" w:color="auto" w:fill="E1DFDD"/>
    </w:rPr>
  </w:style>
  <w:style w:type="character" w:styleId="Mention">
    <w:name w:val="Mention"/>
    <w:basedOn w:val="DefaultParagraphFont"/>
    <w:uiPriority w:val="99"/>
    <w:semiHidden/>
    <w:rsid w:val="004A3BA8"/>
    <w:rPr>
      <w:color w:val="2B579A"/>
      <w:shd w:val="clear" w:color="auto" w:fill="E1DFDD"/>
    </w:rPr>
  </w:style>
  <w:style w:type="character" w:styleId="UnresolvedMention">
    <w:name w:val="Unresolved Mention"/>
    <w:basedOn w:val="DefaultParagraphFont"/>
    <w:uiPriority w:val="99"/>
    <w:semiHidden/>
    <w:rsid w:val="004A3BA8"/>
    <w:rPr>
      <w:color w:val="605E5C"/>
      <w:shd w:val="clear" w:color="auto" w:fill="E1DFDD"/>
    </w:rPr>
  </w:style>
  <w:style w:type="character" w:styleId="SmartHyperlink">
    <w:name w:val="Smart Hyperlink"/>
    <w:basedOn w:val="DefaultParagraphFont"/>
    <w:uiPriority w:val="99"/>
    <w:semiHidden/>
    <w:rsid w:val="004A3BA8"/>
    <w:rPr>
      <w:u w:val="dotted"/>
    </w:rPr>
  </w:style>
  <w:style w:type="character" w:styleId="SmartLink">
    <w:name w:val="Smart Link"/>
    <w:basedOn w:val="DefaultParagraphFont"/>
    <w:uiPriority w:val="99"/>
    <w:semiHidden/>
    <w:rsid w:val="004A3BA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TSDR5AECP2XP-1839530900-53379</_dlc_DocId>
    <_dlc_DocIdUrl xmlns="6a372189-8514-43a9-a668-4622024340fc">
      <Url>https://dhs.sp.regeringskansliet.se/yta/m-r/_layouts/15/DocIdRedir.aspx?ID=TSDR5AECP2XP-1839530900-53379</Url>
      <Description>TSDR5AECP2XP-1839530900-53379</Description>
    </_dlc_DocIdUrl>
    <RKOrdnaClass xmlns="d4acd662-17ce-4a3b-8e84-c7c9f280a23c" xsi:nil="true"/>
    <RKOrdnaCheckInComment xmlns="d4acd662-17ce-4a3b-8e84-c7c9f280a23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2.xml><?xml version="1.0" encoding="utf-8"?>
<ds:datastoreItem xmlns:ds="http://schemas.openxmlformats.org/officeDocument/2006/customXml" ds:itemID="{FC974E1A-44C7-486B-9F64-ACC8D6E00367}">
  <ds:schemaRefs>
    <ds:schemaRef ds:uri="http://lp/documentinfo/RK"/>
  </ds:schemaRefs>
</ds:datastoreItem>
</file>

<file path=customXml/itemProps3.xml><?xml version="1.0" encoding="utf-8"?>
<ds:datastoreItem xmlns:ds="http://schemas.openxmlformats.org/officeDocument/2006/customXml" ds:itemID="{C0208AD9-7621-44EF-92B6-94058BEE090D}">
  <ds:schemaRefs>
    <ds:schemaRef ds:uri="Microsoft.SharePoint.Taxonomy.ContentTypeSync"/>
  </ds:schemaRefs>
</ds:datastoreItem>
</file>

<file path=customXml/itemProps4.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5.xml><?xml version="1.0" encoding="utf-8"?>
<ds:datastoreItem xmlns:ds="http://schemas.openxmlformats.org/officeDocument/2006/customXml" ds:itemID="{F950BDEA-6BD5-4D01-B686-2AF69049C9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372189-8514-43a9-a668-4622024340fc"/>
    <ds:schemaRef ds:uri="d4acd662-17ce-4a3b-8e84-c7c9f280a23c"/>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B70728E-F6DE-48BC-B86C-366F6015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6D950E-A258-4665-AC74-02E666C239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SFS.dotx</Template>
  <TotalTime>2</TotalTime>
  <Pages>2</Pages>
  <Words>594</Words>
  <Characters>3391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Förordning om ändring i förordningen (2018:1462) om producentansvar för förpackningar</vt:lpstr>
    </vt:vector>
  </TitlesOfParts>
  <Company>Regeringskansliet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(2018:1462) om producentansvar för förpackningar</dc:title>
  <dc:creator>Anna Cedrum</dc:creator>
  <cp:lastModifiedBy>Dimitris Dimitriadis</cp:lastModifiedBy>
  <cp:revision>4</cp:revision>
  <cp:lastPrinted>2016-10-14T09:17:00Z</cp:lastPrinted>
  <dcterms:created xsi:type="dcterms:W3CDTF">2021-06-28T14:30:00Z</dcterms:created>
  <dcterms:modified xsi:type="dcterms:W3CDTF">2021-07-02T08:01:00Z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759eb7dc-ebe2-4bb0-86b9-c90f737cef64</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TaxKeyword">
    <vt:lpwstr/>
  </property>
  <property fmtid="{D5CDD505-2E9C-101B-9397-08002B2CF9AE}" pid="9" name="Organisation">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