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Gesetzentwurf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„Änderungen des Tierschutzgesetzes“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Reg. Nr. 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Das Tierschutzgesetz (</w:t>
      </w:r>
      <w:r>
        <w:rPr>
          <w:sz w:val="24"/>
          <w:i/>
        </w:rPr>
        <w:t xml:space="preserve">Latvijas Republikas Saeimas un Ministru Kabineta Ziņotājs</w:t>
      </w:r>
      <w:r>
        <w:rPr>
          <w:sz w:val="24"/>
        </w:rPr>
        <w:t xml:space="preserve"> [Reporter der Saeima und des Ministerkabinetts der Republik Lettland], 2000, Nr. 2;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Nr. 2;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Nr. 6, 16, 2005, Nr. 10, 2007, Nr. 3;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Nr. 3;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Nr. 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[das Amtsblatt], 2010, Nr. 62, 205;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Nr. 50;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Nr. 123;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Nr. 128;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Nr. 248A wird wie folgt geändert: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In Artikel 10 Absatz 10 wird das Wort „Pelztierfarmen“ gestrichen.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Kapitel II wird durch Artikel 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wie folgt ergänzt: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‘</w:t>
      </w:r>
      <w:r>
        <w:rPr>
          <w:sz w:val="24"/>
          <w:b/>
          <w:rFonts w:ascii="Times New Roman" w:hAnsi="Times New Roman"/>
        </w:rPr>
        <w:t xml:space="preserve">Artikel 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Die Zucht und Haltung von Nutztieren ist verboten, wenn der einzige oder der Hauptzweck der Zucht oder Haltung die Pelzerzeugung ist.“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Die Übergangsbestimmungen werden durch § 22 wie folgt ergänzt: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„22.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Artikel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davon tritt am 1. Januar 2028 in Kraft.“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