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99BC" w14:textId="77777777" w:rsidR="003179E1" w:rsidRPr="009B371D" w:rsidRDefault="003179E1" w:rsidP="003179E1">
      <w:pPr>
        <w:jc w:val="center"/>
      </w:pPr>
      <w:r>
        <w:t>(Progetto)</w:t>
      </w:r>
    </w:p>
    <w:p w14:paraId="04089EF6" w14:textId="77777777" w:rsidR="003179E1" w:rsidRPr="009B371D" w:rsidRDefault="003179E1" w:rsidP="003179E1">
      <w:pPr>
        <w:jc w:val="center"/>
      </w:pPr>
      <w:r>
        <w:t>DECRETO DI APPLICAZIONE</w:t>
      </w:r>
    </w:p>
    <w:p w14:paraId="59C6F8CA" w14:textId="77777777" w:rsidR="003179E1" w:rsidRPr="009B371D" w:rsidRDefault="003179E1" w:rsidP="003179E1">
      <w:pPr>
        <w:spacing w:after="200"/>
        <w:jc w:val="center"/>
      </w:pPr>
      <w:r>
        <w:rPr>
          <w:b/>
        </w:rPr>
        <w:t>Ministero della Difesa della Repubblica slovacca</w:t>
      </w:r>
    </w:p>
    <w:p w14:paraId="41434AC7" w14:textId="77777777" w:rsidR="003179E1" w:rsidRPr="00AF65DF" w:rsidRDefault="003179E1" w:rsidP="003179E1">
      <w:pPr>
        <w:spacing w:after="200"/>
        <w:jc w:val="center"/>
        <w:rPr>
          <w:b/>
        </w:rPr>
      </w:pPr>
      <w:r>
        <w:rPr>
          <w:b/>
        </w:rPr>
        <w:t>del ............. 2021</w:t>
      </w:r>
    </w:p>
    <w:p w14:paraId="4D9895A0" w14:textId="77777777" w:rsidR="003179E1" w:rsidRPr="009B371D" w:rsidRDefault="003179E1" w:rsidP="003179E1">
      <w:pPr>
        <w:jc w:val="center"/>
        <w:rPr>
          <w:b/>
        </w:rPr>
      </w:pPr>
      <w:r>
        <w:rPr>
          <w:b/>
        </w:rPr>
        <w:t>in materia di esplosivi, articoli esplosivi e munizioni per la difesa dello Stato, i requisiti essenziali per tali prodotti specificati, i termini e le procedure di valutazione della conformità, altri dettagli della valutazione della conformità e i dettagli dei risultati della valutazione della conformità</w:t>
      </w:r>
    </w:p>
    <w:p w14:paraId="71B0F317" w14:textId="77777777" w:rsidR="003179E1" w:rsidRPr="009B371D" w:rsidRDefault="003179E1" w:rsidP="001E34A3">
      <w:pPr>
        <w:spacing w:before="240" w:after="240"/>
        <w:ind w:firstLine="709"/>
        <w:jc w:val="both"/>
      </w:pPr>
      <w:r>
        <w:t>Ai sensi dell'articolo 87, paragrafo 2, lettera a), della legge n. 58/2014 sugli esplosivi, gli oggetti esplosivi e le munizioni e recante modifica di taluni atti, come modificata dalla legge n. 259/2021 (in prosieguo: la "legge"), il Ministero della Difesa della Repubblica slovacca (in prosieguo: il "Ministero della Difesa") dispone quanto segue:</w:t>
      </w:r>
    </w:p>
    <w:p w14:paraId="2C6A9CA3" w14:textId="77777777" w:rsidR="003179E1" w:rsidRPr="009B371D" w:rsidRDefault="003179E1" w:rsidP="001E34A3">
      <w:pPr>
        <w:spacing w:before="120" w:after="120"/>
        <w:jc w:val="center"/>
      </w:pPr>
      <w:r>
        <w:rPr>
          <w:b/>
        </w:rPr>
        <w:t>Sezione 1</w:t>
      </w:r>
    </w:p>
    <w:p w14:paraId="1107E69E" w14:textId="77777777" w:rsidR="003179E1" w:rsidRPr="009B371D" w:rsidRDefault="003179E1" w:rsidP="001E34A3">
      <w:pPr>
        <w:spacing w:before="120" w:after="120"/>
        <w:jc w:val="center"/>
      </w:pPr>
      <w:r>
        <w:rPr>
          <w:b/>
        </w:rPr>
        <w:t>Oggetto</w:t>
      </w:r>
    </w:p>
    <w:p w14:paraId="77270739" w14:textId="77777777" w:rsidR="003179E1" w:rsidRPr="00DD00B4" w:rsidRDefault="003179E1" w:rsidP="003179E1">
      <w:pPr>
        <w:spacing w:after="120"/>
        <w:ind w:firstLine="301"/>
        <w:jc w:val="both"/>
      </w:pPr>
      <w:r>
        <w:t>(1) Il presente decreto disciplina</w:t>
      </w:r>
    </w:p>
    <w:p w14:paraId="2F4D0F04" w14:textId="77777777" w:rsidR="003179E1" w:rsidRPr="00DD00B4" w:rsidRDefault="003179E1" w:rsidP="003179E1">
      <w:pPr>
        <w:pStyle w:val="ListParagraph"/>
        <w:numPr>
          <w:ilvl w:val="0"/>
          <w:numId w:val="1"/>
        </w:numPr>
        <w:ind w:left="658" w:hanging="357"/>
        <w:jc w:val="both"/>
      </w:pPr>
      <w:r>
        <w:t>esplosivi, articoli esplosivi e munizioni per la difesa dello Stato come prodotti specificati,</w:t>
      </w:r>
      <w:r w:rsidR="00664786" w:rsidRPr="009B371D">
        <w:rPr>
          <w:rStyle w:val="FootnoteReference"/>
        </w:rPr>
        <w:footnoteReference w:id="1"/>
      </w:r>
      <w:r>
        <w:t>)</w:t>
      </w:r>
    </w:p>
    <w:p w14:paraId="3A45E94A" w14:textId="77777777" w:rsidR="003179E1" w:rsidRPr="00DD00B4" w:rsidRDefault="003179E1" w:rsidP="003179E1">
      <w:pPr>
        <w:pStyle w:val="ListParagraph"/>
        <w:numPr>
          <w:ilvl w:val="0"/>
          <w:numId w:val="1"/>
        </w:numPr>
        <w:ind w:left="658" w:hanging="357"/>
        <w:jc w:val="both"/>
      </w:pPr>
      <w:r>
        <w:t>requisiti essenziali per il prodotto specificato,</w:t>
      </w:r>
    </w:p>
    <w:p w14:paraId="271397BF" w14:textId="77777777" w:rsidR="003179E1" w:rsidRPr="00DD00B4" w:rsidRDefault="003179E1" w:rsidP="003179E1">
      <w:pPr>
        <w:pStyle w:val="ListParagraph"/>
        <w:numPr>
          <w:ilvl w:val="0"/>
          <w:numId w:val="1"/>
        </w:numPr>
        <w:ind w:left="658" w:hanging="357"/>
        <w:jc w:val="both"/>
      </w:pPr>
      <w:r>
        <w:t>termini e procedure per la valutazione della conformità di un determinato prodotto;</w:t>
      </w:r>
    </w:p>
    <w:p w14:paraId="35B14863" w14:textId="77777777" w:rsidR="003179E1" w:rsidRPr="00DD00B4" w:rsidRDefault="003179E1" w:rsidP="003179E1">
      <w:pPr>
        <w:pStyle w:val="ListParagraph"/>
        <w:numPr>
          <w:ilvl w:val="0"/>
          <w:numId w:val="1"/>
        </w:numPr>
        <w:ind w:left="658" w:hanging="357"/>
        <w:jc w:val="both"/>
      </w:pPr>
      <w:r>
        <w:t>altri dettagli della valutazione della conformità del prodotto specificato;</w:t>
      </w:r>
    </w:p>
    <w:p w14:paraId="6D32DB2C" w14:textId="77777777" w:rsidR="003179E1" w:rsidRPr="00DD00B4" w:rsidRDefault="003179E1" w:rsidP="003179E1">
      <w:pPr>
        <w:pStyle w:val="ListParagraph"/>
        <w:numPr>
          <w:ilvl w:val="0"/>
          <w:numId w:val="1"/>
        </w:numPr>
        <w:spacing w:after="120"/>
        <w:ind w:left="658" w:hanging="357"/>
        <w:jc w:val="both"/>
      </w:pPr>
      <w:r>
        <w:t>informazioni dettagliate sui documenti finali di valutazione della conformità del prodotto specificato.</w:t>
      </w:r>
    </w:p>
    <w:p w14:paraId="530F25B0" w14:textId="77777777" w:rsidR="003179E1" w:rsidRPr="009B371D" w:rsidRDefault="003179E1" w:rsidP="003179E1">
      <w:pPr>
        <w:spacing w:after="120"/>
        <w:ind w:firstLine="300"/>
        <w:jc w:val="both"/>
      </w:pPr>
      <w:r>
        <w:t>(2) Il presente decreto si applica ad un determinato prodotto</w:t>
      </w:r>
    </w:p>
    <w:p w14:paraId="0725B0C6" w14:textId="77777777" w:rsidR="003179E1" w:rsidRPr="009B371D" w:rsidRDefault="003179E1" w:rsidP="001E34A3">
      <w:pPr>
        <w:pStyle w:val="ListParagraph"/>
        <w:numPr>
          <w:ilvl w:val="0"/>
          <w:numId w:val="2"/>
        </w:numPr>
        <w:spacing w:after="120"/>
        <w:ind w:left="357" w:hanging="357"/>
        <w:jc w:val="both"/>
      </w:pPr>
      <w:r>
        <w:t xml:space="preserve">fornito alle </w:t>
      </w:r>
    </w:p>
    <w:p w14:paraId="4BFB5B9E" w14:textId="77777777" w:rsidR="003179E1" w:rsidRPr="009B371D" w:rsidRDefault="003179E1" w:rsidP="001E34A3">
      <w:pPr>
        <w:pStyle w:val="ListParagraph"/>
        <w:numPr>
          <w:ilvl w:val="1"/>
          <w:numId w:val="2"/>
        </w:numPr>
        <w:ind w:left="714" w:hanging="357"/>
        <w:jc w:val="both"/>
      </w:pPr>
      <w:r>
        <w:t>forze armate della Repubblica slovacca,</w:t>
      </w:r>
    </w:p>
    <w:p w14:paraId="04F6A560" w14:textId="77777777" w:rsidR="003179E1" w:rsidRPr="009B371D" w:rsidRDefault="003179E1" w:rsidP="001E34A3">
      <w:pPr>
        <w:pStyle w:val="ListParagraph"/>
        <w:numPr>
          <w:ilvl w:val="1"/>
          <w:numId w:val="2"/>
        </w:numPr>
        <w:ind w:left="714" w:hanging="357"/>
        <w:jc w:val="both"/>
      </w:pPr>
      <w:r>
        <w:t>alla Polizia militare,</w:t>
      </w:r>
    </w:p>
    <w:p w14:paraId="053319B6" w14:textId="77777777" w:rsidR="003179E1" w:rsidRPr="009B371D" w:rsidRDefault="003179E1" w:rsidP="001E34A3">
      <w:pPr>
        <w:pStyle w:val="ListParagraph"/>
        <w:numPr>
          <w:ilvl w:val="1"/>
          <w:numId w:val="2"/>
        </w:numPr>
        <w:ind w:left="714" w:hanging="357"/>
        <w:jc w:val="both"/>
      </w:pPr>
      <w:r>
        <w:t>all'Intelligence militare,</w:t>
      </w:r>
    </w:p>
    <w:p w14:paraId="146E19AF" w14:textId="77777777" w:rsidR="003179E1" w:rsidRPr="009B371D" w:rsidRDefault="003179E1" w:rsidP="001E34A3">
      <w:pPr>
        <w:pStyle w:val="ListParagraph"/>
        <w:numPr>
          <w:ilvl w:val="1"/>
          <w:numId w:val="2"/>
        </w:numPr>
        <w:spacing w:after="120"/>
        <w:ind w:left="714" w:hanging="357"/>
        <w:jc w:val="both"/>
      </w:pPr>
      <w:r>
        <w:t>alle organizzazioni di bilancio di competenza del Ministero della Difesa, o</w:t>
      </w:r>
    </w:p>
    <w:p w14:paraId="5EDC1BC0" w14:textId="77777777" w:rsidR="003179E1" w:rsidRPr="009B371D" w:rsidRDefault="003179E1" w:rsidP="001E34A3">
      <w:pPr>
        <w:pStyle w:val="ListParagraph"/>
        <w:numPr>
          <w:ilvl w:val="0"/>
          <w:numId w:val="2"/>
        </w:numPr>
        <w:spacing w:after="120"/>
        <w:ind w:left="357" w:hanging="357"/>
        <w:jc w:val="both"/>
      </w:pPr>
      <w:r>
        <w:t>sotto la responsabilità dei soggetti di cui alla lettera a).</w:t>
      </w:r>
    </w:p>
    <w:p w14:paraId="3D217209" w14:textId="77777777" w:rsidR="003179E1" w:rsidRPr="009B371D" w:rsidRDefault="003179E1" w:rsidP="001E34A3">
      <w:pPr>
        <w:spacing w:before="120" w:after="120"/>
        <w:jc w:val="center"/>
      </w:pPr>
      <w:r>
        <w:rPr>
          <w:b/>
        </w:rPr>
        <w:t>Sezione 2</w:t>
      </w:r>
    </w:p>
    <w:p w14:paraId="4720A294" w14:textId="77777777" w:rsidR="003179E1" w:rsidRPr="009B371D" w:rsidRDefault="003179E1" w:rsidP="001E34A3">
      <w:pPr>
        <w:spacing w:before="120" w:after="120"/>
        <w:jc w:val="center"/>
        <w:rPr>
          <w:b/>
        </w:rPr>
      </w:pPr>
      <w:r>
        <w:rPr>
          <w:b/>
        </w:rPr>
        <w:t>Requisiti essenziali per il prodotto specificato</w:t>
      </w:r>
    </w:p>
    <w:p w14:paraId="4A09E367" w14:textId="77777777" w:rsidR="003179E1" w:rsidRPr="009B371D" w:rsidRDefault="003179E1" w:rsidP="003179E1">
      <w:pPr>
        <w:spacing w:after="120"/>
        <w:ind w:firstLine="708"/>
        <w:jc w:val="both"/>
      </w:pPr>
      <w:r>
        <w:t xml:space="preserve">(1) Il prodotto specificato deve essere progettato, fabbricato, fornito e immagazzinato in modo che sia sicuro, funzionale e affidabile durante l'uso e in condizioni normali e prevedibili, prestando particolare attenzione alle norme di sicurezza e alle procedure comuni, fino al suo utilizzo, in modo da non mettere in pericolo la vita e la salute delle persone e prevenire danni alle cose. </w:t>
      </w:r>
    </w:p>
    <w:p w14:paraId="7865C5E0" w14:textId="77777777" w:rsidR="003179E1" w:rsidRPr="009B371D" w:rsidRDefault="003179E1" w:rsidP="003179E1">
      <w:pPr>
        <w:spacing w:after="120"/>
        <w:ind w:firstLine="708"/>
        <w:jc w:val="both"/>
      </w:pPr>
      <w:r>
        <w:lastRenderedPageBreak/>
        <w:t>(2) I requisiti essenziali per il prodotto specificato sono determinati dai requisiti tecnici per la sua sicurezza, funzionalità e affidabilità di cui al paragrafo 1, specificati nella documentazione tecnica; e</w:t>
      </w:r>
    </w:p>
    <w:p w14:paraId="73650BF2" w14:textId="77777777" w:rsidR="003179E1" w:rsidRPr="009B371D" w:rsidRDefault="003179E1" w:rsidP="003179E1">
      <w:pPr>
        <w:ind w:left="641" w:hanging="357"/>
        <w:jc w:val="both"/>
      </w:pPr>
      <w:r>
        <w:t>a)</w:t>
      </w:r>
      <w:r>
        <w:tab/>
        <w:t>standard alleato,</w:t>
      </w:r>
      <w:r w:rsidRPr="009B371D">
        <w:rPr>
          <w:vertAlign w:val="superscript"/>
        </w:rPr>
        <w:footnoteReference w:id="2"/>
      </w:r>
      <w:r>
        <w:t xml:space="preserve">) </w:t>
      </w:r>
    </w:p>
    <w:p w14:paraId="06884093" w14:textId="77777777" w:rsidR="003179E1" w:rsidRPr="009B371D" w:rsidRDefault="003179E1" w:rsidP="003179E1">
      <w:pPr>
        <w:ind w:left="641" w:hanging="357"/>
        <w:jc w:val="both"/>
      </w:pPr>
      <w:r>
        <w:t>b)</w:t>
      </w:r>
      <w:r>
        <w:tab/>
        <w:t>Norma slovacca in materia di difesa o altro documento di attuazione della standardizzazione in materia di difesa,</w:t>
      </w:r>
      <w:r w:rsidRPr="009B371D">
        <w:rPr>
          <w:vertAlign w:val="superscript"/>
        </w:rPr>
        <w:footnoteReference w:id="3"/>
      </w:r>
      <w:r>
        <w:t>)</w:t>
      </w:r>
    </w:p>
    <w:p w14:paraId="3421EC0B" w14:textId="77777777" w:rsidR="003179E1" w:rsidRPr="009B371D" w:rsidRDefault="003179E1" w:rsidP="003179E1">
      <w:pPr>
        <w:ind w:left="641" w:hanging="357"/>
        <w:jc w:val="both"/>
      </w:pPr>
      <w:r>
        <w:t>c)</w:t>
      </w:r>
      <w:r>
        <w:tab/>
        <w:t>norma tecnica</w:t>
      </w:r>
      <w:r w:rsidRPr="009B371D">
        <w:rPr>
          <w:vertAlign w:val="superscript"/>
        </w:rPr>
        <w:footnoteReference w:id="4"/>
      </w:r>
      <w:r>
        <w:t xml:space="preserve">) o in un'altra specifica tecnica, </w:t>
      </w:r>
    </w:p>
    <w:p w14:paraId="14693505" w14:textId="77777777" w:rsidR="003179E1" w:rsidRPr="009B371D" w:rsidRDefault="003179E1" w:rsidP="003179E1">
      <w:pPr>
        <w:ind w:left="641" w:hanging="357"/>
        <w:jc w:val="both"/>
      </w:pPr>
      <w:r>
        <w:t>d)</w:t>
      </w:r>
      <w:r>
        <w:tab/>
        <w:t xml:space="preserve">regolamento militare interno. </w:t>
      </w:r>
    </w:p>
    <w:p w14:paraId="2323BE2F" w14:textId="77777777" w:rsidR="003179E1" w:rsidRPr="009B371D" w:rsidRDefault="003179E1" w:rsidP="003179E1">
      <w:pPr>
        <w:jc w:val="both"/>
      </w:pPr>
    </w:p>
    <w:p w14:paraId="2D43E1D9" w14:textId="77777777" w:rsidR="003179E1" w:rsidRPr="009B371D" w:rsidRDefault="003179E1" w:rsidP="001E34A3">
      <w:pPr>
        <w:spacing w:before="120" w:after="120"/>
        <w:jc w:val="center"/>
        <w:rPr>
          <w:b/>
        </w:rPr>
      </w:pPr>
      <w:r>
        <w:rPr>
          <w:b/>
        </w:rPr>
        <w:t>Valutazione della conformità di un prodotto specificato</w:t>
      </w:r>
    </w:p>
    <w:p w14:paraId="203C1455" w14:textId="77777777" w:rsidR="003179E1" w:rsidRPr="009B371D" w:rsidRDefault="003179E1" w:rsidP="001E34A3">
      <w:pPr>
        <w:spacing w:before="120" w:after="120"/>
        <w:jc w:val="center"/>
      </w:pPr>
      <w:r>
        <w:rPr>
          <w:b/>
        </w:rPr>
        <w:t>Sezione 3</w:t>
      </w:r>
    </w:p>
    <w:p w14:paraId="3BE4B3D5" w14:textId="77777777" w:rsidR="003179E1" w:rsidRPr="009B371D" w:rsidRDefault="003179E1" w:rsidP="001E34A3">
      <w:pPr>
        <w:spacing w:before="120" w:after="120"/>
        <w:jc w:val="center"/>
        <w:rPr>
          <w:b/>
        </w:rPr>
      </w:pPr>
      <w:r>
        <w:rPr>
          <w:b/>
        </w:rPr>
        <w:t>Procedure di valutazione della conformità per un determinato prodotto</w:t>
      </w:r>
    </w:p>
    <w:p w14:paraId="4FD3B9A3" w14:textId="77777777" w:rsidR="003179E1" w:rsidRPr="009B371D" w:rsidRDefault="003179E1" w:rsidP="003179E1">
      <w:pPr>
        <w:spacing w:after="120"/>
        <w:ind w:firstLine="708"/>
        <w:jc w:val="both"/>
      </w:pPr>
      <w:r>
        <w:t>(1) La valutazione della conformità di un determinato prodotto è effettuata mediante prove, valutazioni e confronti delle sue condizioni tecniche con i requisiti essenziali. Le specifiche dei singoli tipi di prove da effettuare per valutare la conformità di un determinato prodotto si basano sulla documentazione tecnica e sui documenti di cui alla sezione 2, punto 2.</w:t>
      </w:r>
    </w:p>
    <w:p w14:paraId="08857218" w14:textId="77777777" w:rsidR="003179E1" w:rsidRPr="009B371D" w:rsidRDefault="003179E1" w:rsidP="003179E1">
      <w:pPr>
        <w:spacing w:after="120"/>
        <w:ind w:firstLine="708"/>
        <w:jc w:val="both"/>
      </w:pPr>
      <w:r>
        <w:t>(2) La valutazione della conformità di un determinato prodotto è effettuata secondo un programma di prova di una persona autorizzata, che definisce l'insieme delle prove necessarie per valutare la conformità di un determinato prodotto, contiene le metodologie di prova e un elenco delle apparecchiature di prova e determina le dimensioni del campione del prodotto specificato necessarie per la valutazione della conformità.</w:t>
      </w:r>
    </w:p>
    <w:p w14:paraId="0276A7F6" w14:textId="77777777" w:rsidR="003179E1" w:rsidRPr="009B371D" w:rsidRDefault="003179E1" w:rsidP="001E34A3">
      <w:pPr>
        <w:spacing w:after="120"/>
        <w:ind w:firstLine="709"/>
        <w:jc w:val="both"/>
      </w:pPr>
      <w:r>
        <w:t xml:space="preserve">(3) Un prodotto specificato è presentato per la valutazione della conformità in una serie di prodotti specificati. </w:t>
      </w:r>
    </w:p>
    <w:p w14:paraId="1D164669" w14:textId="77777777" w:rsidR="003179E1" w:rsidRPr="009B371D" w:rsidRDefault="003179E1" w:rsidP="001E34A3">
      <w:pPr>
        <w:spacing w:after="120"/>
        <w:ind w:firstLine="709"/>
        <w:jc w:val="both"/>
      </w:pPr>
      <w:r>
        <w:t xml:space="preserve">(4) Se una parte di una serie di un prodotto specificato è esposta durante il suo ciclo di vita a condizioni climatiche o ad altre condizioni ambientali diverse da quelle specificate nella documentazione tecnica per il magazzinaggio o il trasporto, tale parte del lotto è considerata una serie separata recante una nuova marcatura e la valutazione della conformità di tale parte della serie del prodotto specificato è effettuata separatamente.  </w:t>
      </w:r>
    </w:p>
    <w:p w14:paraId="7A97ECE8" w14:textId="77777777" w:rsidR="003179E1" w:rsidRPr="009B371D" w:rsidRDefault="003179E1" w:rsidP="001E34A3">
      <w:pPr>
        <w:spacing w:after="120"/>
        <w:ind w:firstLine="709"/>
        <w:jc w:val="both"/>
      </w:pPr>
      <w:r>
        <w:t>(5) La valutazione della conformità di un determinato prodotto è effettuata sulla base di una domanda di valutazione della conformità presentata a una persona autorizzata</w:t>
      </w:r>
      <w:r w:rsidRPr="009B371D">
        <w:rPr>
          <w:rStyle w:val="FootnoteReference"/>
        </w:rPr>
        <w:footnoteReference w:id="5"/>
      </w:r>
      <w:r>
        <w:t>, corredata dei documenti di accompagnamento.</w:t>
      </w:r>
    </w:p>
    <w:p w14:paraId="31686B0E" w14:textId="77777777" w:rsidR="003179E1" w:rsidRPr="009B371D" w:rsidRDefault="003179E1" w:rsidP="003179E1">
      <w:pPr>
        <w:spacing w:after="120"/>
        <w:ind w:firstLine="708"/>
        <w:jc w:val="both"/>
      </w:pPr>
      <w:r>
        <w:t xml:space="preserve">(6) I documenti giustificativi di cui al paragrafo 5 sono: </w:t>
      </w:r>
    </w:p>
    <w:p w14:paraId="0DDFCBC9" w14:textId="77777777" w:rsidR="003179E1" w:rsidRPr="009B371D" w:rsidRDefault="003179E1" w:rsidP="003179E1">
      <w:pPr>
        <w:spacing w:after="120"/>
        <w:ind w:left="641" w:hanging="357"/>
        <w:jc w:val="both"/>
      </w:pPr>
      <w:r>
        <w:t>a)</w:t>
      </w:r>
      <w:r>
        <w:tab/>
        <w:t xml:space="preserve">documentazione tecnica; se il richiedente della valutazione della conformità di un determinato prodotto ai sensi della sezione 1, comma 2, lettera b), non dispone della documentazione tecnica predisposta dal fabbricante, ai fini del presente decreto è considerata documentazione tecnica anche altra documentazione del prodotto specificato che specifica i requisiti tecnici di cui alla sezione 2, comma 2, ed è sufficiente per valutare la conformità del prodotto specificato; </w:t>
      </w:r>
    </w:p>
    <w:p w14:paraId="5D998D5F" w14:textId="77777777" w:rsidR="003179E1" w:rsidRPr="009B371D" w:rsidRDefault="003179E1" w:rsidP="003179E1">
      <w:pPr>
        <w:spacing w:after="120"/>
        <w:ind w:left="641" w:hanging="357"/>
        <w:jc w:val="both"/>
      </w:pPr>
      <w:r>
        <w:lastRenderedPageBreak/>
        <w:t>b)</w:t>
      </w:r>
      <w:r>
        <w:tab/>
        <w:t>la relazione finale dell'ultima valutazione della conformità del prodotto specificato, se la valutazione della conformità è effettuata;</w:t>
      </w:r>
    </w:p>
    <w:p w14:paraId="66D16DEB" w14:textId="77777777" w:rsidR="003179E1" w:rsidRPr="009B371D" w:rsidRDefault="003179E1" w:rsidP="003179E1">
      <w:pPr>
        <w:spacing w:after="120"/>
        <w:ind w:left="641" w:hanging="357"/>
        <w:jc w:val="both"/>
      </w:pPr>
      <w:r>
        <w:t>c)</w:t>
      </w:r>
      <w:r>
        <w:tab/>
        <w:t>informazioni sulle condizioni di stoccaggio, trasporto e manipolazione</w:t>
      </w:r>
      <w:r w:rsidRPr="009B371D">
        <w:rPr>
          <w:rStyle w:val="FootnoteReference"/>
        </w:rPr>
        <w:footnoteReference w:id="6"/>
      </w:r>
      <w:r>
        <w:t>) del prodotto specificato durante il suo ciclo di vita.</w:t>
      </w:r>
    </w:p>
    <w:p w14:paraId="0B72CC9B" w14:textId="77777777" w:rsidR="003179E1" w:rsidRPr="009B371D" w:rsidRDefault="003179E1" w:rsidP="003A0C93">
      <w:pPr>
        <w:shd w:val="clear" w:color="auto" w:fill="FFFFFF"/>
        <w:ind w:firstLine="709"/>
        <w:jc w:val="both"/>
      </w:pPr>
      <w:r>
        <w:t>(7) La valutazione della conformità di un prodotto specificato è effettuata in condizioni climatiche il più possibile vicine alle condizioni alle quali il prodotto specificato è esposto durante il suo ciclo di vita durante l'uso, il magazzinaggio, il trasporto o la manipolazione.</w:t>
      </w:r>
    </w:p>
    <w:p w14:paraId="4E200FEE" w14:textId="77777777" w:rsidR="001E34A3" w:rsidRDefault="003179E1" w:rsidP="001E34A3">
      <w:pPr>
        <w:spacing w:before="120" w:after="120"/>
        <w:jc w:val="center"/>
        <w:rPr>
          <w:b/>
        </w:rPr>
      </w:pPr>
      <w:r>
        <w:rPr>
          <w:b/>
        </w:rPr>
        <w:t>Sezione 4</w:t>
      </w:r>
    </w:p>
    <w:p w14:paraId="3F0FEB16" w14:textId="77777777" w:rsidR="003179E1" w:rsidRPr="009B371D" w:rsidRDefault="003179E1" w:rsidP="001E34A3">
      <w:pPr>
        <w:spacing w:before="120" w:after="120"/>
        <w:jc w:val="center"/>
        <w:rPr>
          <w:b/>
        </w:rPr>
      </w:pPr>
      <w:r>
        <w:rPr>
          <w:b/>
        </w:rPr>
        <w:t>Campione di valutazione della conformità</w:t>
      </w:r>
    </w:p>
    <w:p w14:paraId="60BA8BB9" w14:textId="77777777" w:rsidR="003179E1" w:rsidRPr="009B371D" w:rsidRDefault="003179E1" w:rsidP="003179E1">
      <w:pPr>
        <w:spacing w:after="120"/>
        <w:ind w:firstLine="708"/>
        <w:jc w:val="both"/>
      </w:pPr>
      <w:r>
        <w:t>(1) Deve essere presentato un campione per la valutazione della conformità di un determinato prodotto, che rappresenta una serie del prodotto specificato; la dimensione del campione è determinata dal programma di prova della persona autorizzata.</w:t>
      </w:r>
    </w:p>
    <w:p w14:paraId="6F8F2526" w14:textId="77777777" w:rsidR="003179E1" w:rsidRPr="009B371D" w:rsidRDefault="003179E1" w:rsidP="003179E1">
      <w:pPr>
        <w:spacing w:after="120"/>
        <w:ind w:firstLine="708"/>
        <w:jc w:val="both"/>
      </w:pPr>
      <w:r>
        <w:t xml:space="preserve">(2) Se, a causa della quantità limitata di un prodotto specificato a norma della sezione 1, paragrafo 2, lettera b), non è possibile presentare per la valutazione della conformità un campione delle dimensioni di cui al paragrafo 1, la valutazione della conformità può essere effettuata su un campione più piccolo del prodotto specificato, previo consenso della persona autorizzata. </w:t>
      </w:r>
    </w:p>
    <w:p w14:paraId="6191270D" w14:textId="77777777" w:rsidR="003179E1" w:rsidRPr="009B371D" w:rsidRDefault="003179E1" w:rsidP="001E34A3">
      <w:pPr>
        <w:spacing w:before="120" w:after="120"/>
        <w:jc w:val="center"/>
      </w:pPr>
      <w:r>
        <w:rPr>
          <w:b/>
        </w:rPr>
        <w:t>Sezione 5</w:t>
      </w:r>
    </w:p>
    <w:p w14:paraId="18940E7E" w14:textId="77777777" w:rsidR="003179E1" w:rsidRPr="009B371D" w:rsidRDefault="003179E1" w:rsidP="001E34A3">
      <w:pPr>
        <w:spacing w:before="120" w:after="120"/>
        <w:jc w:val="center"/>
        <w:rPr>
          <w:b/>
        </w:rPr>
      </w:pPr>
      <w:r>
        <w:rPr>
          <w:b/>
        </w:rPr>
        <w:t>Termini per la valutazione della conformità di un determinato prodotto</w:t>
      </w:r>
    </w:p>
    <w:p w14:paraId="02FCB96A" w14:textId="77777777" w:rsidR="003179E1" w:rsidRPr="009B371D" w:rsidRDefault="003179E1" w:rsidP="003179E1">
      <w:pPr>
        <w:spacing w:after="120"/>
        <w:ind w:firstLine="708"/>
        <w:jc w:val="both"/>
      </w:pPr>
      <w:r>
        <w:t>(1) La valutazione della conformità di un prodotto specificato a norma della sezione 1, punto 2, lettera b), deve essere effettuata al più tardi sei mesi prima della scadenza del/i</w:t>
      </w:r>
    </w:p>
    <w:p w14:paraId="3461CF7B" w14:textId="77777777" w:rsidR="003179E1" w:rsidRPr="009B371D" w:rsidRDefault="003179E1" w:rsidP="003179E1">
      <w:pPr>
        <w:ind w:left="709" w:hanging="425"/>
        <w:jc w:val="both"/>
      </w:pPr>
      <w:r>
        <w:t>a)</w:t>
      </w:r>
      <w:r>
        <w:tab/>
        <w:t>periodo di garanzia del prodotto specificato,</w:t>
      </w:r>
    </w:p>
    <w:p w14:paraId="27616F77" w14:textId="77777777" w:rsidR="003179E1" w:rsidRPr="009B371D" w:rsidRDefault="003179E1" w:rsidP="003179E1">
      <w:pPr>
        <w:spacing w:after="120"/>
        <w:ind w:left="709" w:hanging="425"/>
        <w:jc w:val="both"/>
      </w:pPr>
      <w:r>
        <w:t>b)</w:t>
      </w:r>
      <w:r>
        <w:tab/>
        <w:t>termini per le valutazioni periodiche della conformità.</w:t>
      </w:r>
    </w:p>
    <w:p w14:paraId="5FFDE12D" w14:textId="77777777" w:rsidR="003179E1" w:rsidRPr="009B371D" w:rsidRDefault="003179E1" w:rsidP="003179E1">
      <w:pPr>
        <w:spacing w:after="120"/>
        <w:ind w:firstLine="708"/>
        <w:jc w:val="both"/>
      </w:pPr>
      <w:r>
        <w:t>(2) Il periodo per la valutazione periodica della conformità di cui al paragrafo 1, lettera b), decorre dalla data di rilascio dei documenti di valutazione della conformità definitivi di cui al paragrafo 1 o al paragrafo 3 e termina alla scadenza di</w:t>
      </w:r>
    </w:p>
    <w:p w14:paraId="29B456FD" w14:textId="77777777" w:rsidR="003179E1" w:rsidRPr="009B371D" w:rsidRDefault="003179E1" w:rsidP="003179E1">
      <w:pPr>
        <w:ind w:left="709" w:hanging="425"/>
        <w:jc w:val="both"/>
      </w:pPr>
      <w:r>
        <w:t>a)</w:t>
      </w:r>
      <w:r>
        <w:tab/>
        <w:t>cinque anni, nel caso di un prodotto specifico della prima categoria di cui alla sezione 6, paragrafo 5, lettera a);</w:t>
      </w:r>
    </w:p>
    <w:p w14:paraId="0679E102" w14:textId="77777777" w:rsidR="003179E1" w:rsidRPr="009B371D" w:rsidRDefault="003179E1" w:rsidP="003179E1">
      <w:pPr>
        <w:spacing w:after="120"/>
        <w:ind w:left="709" w:hanging="425"/>
        <w:jc w:val="both"/>
      </w:pPr>
      <w:r>
        <w:t>b)</w:t>
      </w:r>
      <w:r>
        <w:tab/>
        <w:t xml:space="preserve">due anni, nel caso di un prodotto specifico della seconda categoria a norma della sezione 6, paragrafo 5, lettera b). </w:t>
      </w:r>
    </w:p>
    <w:p w14:paraId="0CB9CCF1" w14:textId="77777777" w:rsidR="003179E1" w:rsidRPr="009B371D" w:rsidRDefault="003179E1" w:rsidP="003179E1">
      <w:pPr>
        <w:spacing w:after="120"/>
        <w:ind w:firstLine="708"/>
        <w:jc w:val="both"/>
      </w:pPr>
      <w:r>
        <w:t>(3) La valutazione della conformità di un prodotto specificato a norma della sezione 1, punto 2, lettera b), deve essere effettuata entro un anno dalla data in cui</w:t>
      </w:r>
    </w:p>
    <w:p w14:paraId="4EF7EA67" w14:textId="77777777" w:rsidR="003179E1" w:rsidRPr="009B371D" w:rsidRDefault="003179E1" w:rsidP="003179E1">
      <w:pPr>
        <w:ind w:left="709" w:hanging="425"/>
        <w:jc w:val="both"/>
      </w:pPr>
      <w:r>
        <w:t>a)</w:t>
      </w:r>
      <w:r>
        <w:tab/>
        <w:t xml:space="preserve">il prodotto specificato è oggetto di un'inchiesta sull'incidente, </w:t>
      </w:r>
    </w:p>
    <w:p w14:paraId="17E85BBE" w14:textId="77777777" w:rsidR="003179E1" w:rsidRPr="009B371D" w:rsidRDefault="003179E1" w:rsidP="003179E1">
      <w:pPr>
        <w:ind w:left="709" w:hanging="425"/>
        <w:jc w:val="both"/>
      </w:pPr>
      <w:r>
        <w:t>b)</w:t>
      </w:r>
      <w:r>
        <w:tab/>
        <w:t>sussistono ragionevoli dubbi circa la sua condizione tecnica e la sua qualità da parte del Ministero della Difesa; o</w:t>
      </w:r>
    </w:p>
    <w:p w14:paraId="48145832" w14:textId="77777777" w:rsidR="003179E1" w:rsidRDefault="003179E1" w:rsidP="003179E1">
      <w:pPr>
        <w:spacing w:after="120"/>
        <w:ind w:left="641" w:hanging="357"/>
        <w:jc w:val="both"/>
      </w:pPr>
      <w:r>
        <w:t>c)</w:t>
      </w:r>
      <w:r>
        <w:tab/>
        <w:t>il prodotto specificato cessa di essere esposto a condizioni climatiche o ad altre condizioni diverse da quelle specificate nella documentazione tecnica per il suo stoccaggio o trasporto.</w:t>
      </w:r>
    </w:p>
    <w:p w14:paraId="4F885DA4" w14:textId="77777777" w:rsidR="003179E1" w:rsidRPr="009B371D" w:rsidRDefault="003179E1" w:rsidP="00A27FC2">
      <w:pPr>
        <w:keepNext/>
        <w:keepLines/>
        <w:spacing w:before="120" w:after="120"/>
        <w:jc w:val="center"/>
        <w:rPr>
          <w:b/>
        </w:rPr>
      </w:pPr>
      <w:r>
        <w:rPr>
          <w:b/>
        </w:rPr>
        <w:lastRenderedPageBreak/>
        <w:t>Informazioni dettagliate sugli elementi da fornire della valutazione della conformità</w:t>
      </w:r>
    </w:p>
    <w:p w14:paraId="3D7D3080" w14:textId="77777777" w:rsidR="003179E1" w:rsidRPr="009B371D" w:rsidRDefault="003179E1" w:rsidP="00A27FC2">
      <w:pPr>
        <w:keepNext/>
        <w:keepLines/>
        <w:spacing w:before="120" w:after="120"/>
        <w:jc w:val="center"/>
      </w:pPr>
      <w:r>
        <w:rPr>
          <w:b/>
        </w:rPr>
        <w:t>Sezione 6</w:t>
      </w:r>
    </w:p>
    <w:p w14:paraId="06BA62C3" w14:textId="77777777" w:rsidR="003179E1" w:rsidRDefault="003179E1" w:rsidP="00A27FC2">
      <w:pPr>
        <w:keepNext/>
        <w:keepLines/>
        <w:spacing w:before="120" w:after="120"/>
        <w:jc w:val="center"/>
        <w:rPr>
          <w:b/>
        </w:rPr>
      </w:pPr>
      <w:r>
        <w:rPr>
          <w:b/>
        </w:rPr>
        <w:t xml:space="preserve">Protocollo finale </w:t>
      </w:r>
    </w:p>
    <w:p w14:paraId="376B9886" w14:textId="77777777" w:rsidR="002839F4" w:rsidRPr="009B371D" w:rsidRDefault="002839F4" w:rsidP="001C6811">
      <w:pPr>
        <w:spacing w:after="120"/>
        <w:ind w:firstLine="709"/>
        <w:jc w:val="both"/>
      </w:pPr>
      <w:r>
        <w:t>(1) I risultati della valutazione della conformità di un determinato prodotto sono indicati nella relazione finale su cui si basa la decisione di conformità.</w:t>
      </w:r>
    </w:p>
    <w:p w14:paraId="35C723AC" w14:textId="77777777" w:rsidR="003179E1" w:rsidRPr="009B371D" w:rsidRDefault="003179E1" w:rsidP="001C6811">
      <w:pPr>
        <w:spacing w:after="120"/>
        <w:ind w:firstLine="709"/>
        <w:jc w:val="both"/>
      </w:pPr>
      <w:r>
        <w:t>(2) Il protocollo definitivo comprende in particolare:</w:t>
      </w:r>
    </w:p>
    <w:p w14:paraId="33B052E7" w14:textId="77777777" w:rsidR="003179E1" w:rsidRPr="009B371D" w:rsidRDefault="003179E1" w:rsidP="00307491">
      <w:pPr>
        <w:pStyle w:val="ListParagraph"/>
        <w:numPr>
          <w:ilvl w:val="0"/>
          <w:numId w:val="10"/>
        </w:numPr>
        <w:jc w:val="both"/>
      </w:pPr>
      <w:r>
        <w:t>le pertinenti disposizioni della legge e del presente decreto;</w:t>
      </w:r>
    </w:p>
    <w:p w14:paraId="0E694475" w14:textId="77777777" w:rsidR="003179E1" w:rsidRPr="00032B23" w:rsidRDefault="003179E1" w:rsidP="00307491">
      <w:pPr>
        <w:pStyle w:val="ListParagraph"/>
        <w:numPr>
          <w:ilvl w:val="0"/>
          <w:numId w:val="10"/>
        </w:numPr>
        <w:jc w:val="both"/>
      </w:pPr>
      <w:r>
        <w:t>i dati identificativi della persona autorizzata che ha effettuato la valutazione della conformità del prodotto specificato e il numero di decisione della sua autorizzazione;</w:t>
      </w:r>
    </w:p>
    <w:p w14:paraId="7773FC7D" w14:textId="77777777" w:rsidR="003179E1" w:rsidRPr="00032B23" w:rsidRDefault="003179E1" w:rsidP="00307491">
      <w:pPr>
        <w:pStyle w:val="ListParagraph"/>
        <w:numPr>
          <w:ilvl w:val="0"/>
          <w:numId w:val="10"/>
        </w:numPr>
        <w:jc w:val="both"/>
      </w:pPr>
      <w:r>
        <w:t>numero della relazione finale, data e luogo di rilascio,</w:t>
      </w:r>
    </w:p>
    <w:p w14:paraId="37AA4C42" w14:textId="77777777" w:rsidR="003179E1" w:rsidRPr="009B371D" w:rsidRDefault="003179E1" w:rsidP="00307491">
      <w:pPr>
        <w:pStyle w:val="ListParagraph"/>
        <w:numPr>
          <w:ilvl w:val="0"/>
          <w:numId w:val="10"/>
        </w:numPr>
        <w:jc w:val="both"/>
      </w:pPr>
      <w:r>
        <w:t>i dati identificativi del richiedente della valutazione della conformità di un determinato prodotto,</w:t>
      </w:r>
    </w:p>
    <w:p w14:paraId="1B3C5BC4" w14:textId="77777777" w:rsidR="003179E1" w:rsidRPr="009B371D" w:rsidRDefault="003179E1" w:rsidP="00307491">
      <w:pPr>
        <w:pStyle w:val="ListParagraph"/>
        <w:numPr>
          <w:ilvl w:val="0"/>
          <w:numId w:val="10"/>
        </w:numPr>
        <w:jc w:val="both"/>
      </w:pPr>
      <w:r>
        <w:t>dati di base sul prodotto specificato;</w:t>
      </w:r>
    </w:p>
    <w:p w14:paraId="7599353B" w14:textId="77777777" w:rsidR="003179E1" w:rsidRPr="009B371D" w:rsidRDefault="003179E1" w:rsidP="00307491">
      <w:pPr>
        <w:pStyle w:val="ListParagraph"/>
        <w:numPr>
          <w:ilvl w:val="0"/>
          <w:numId w:val="10"/>
        </w:numPr>
        <w:jc w:val="both"/>
      </w:pPr>
      <w:r>
        <w:t>le date delle prove effettuate e una descrizione dei loro progressi,</w:t>
      </w:r>
    </w:p>
    <w:p w14:paraId="119C2022" w14:textId="77777777" w:rsidR="003179E1" w:rsidRPr="009B371D" w:rsidRDefault="003179E1" w:rsidP="00307491">
      <w:pPr>
        <w:pStyle w:val="ListParagraph"/>
        <w:numPr>
          <w:ilvl w:val="0"/>
          <w:numId w:val="10"/>
        </w:numPr>
        <w:jc w:val="both"/>
      </w:pPr>
      <w:r>
        <w:t>informazioni dettagliate sui risultati delle prove effettuate,</w:t>
      </w:r>
    </w:p>
    <w:p w14:paraId="2D896A08" w14:textId="77777777" w:rsidR="003179E1" w:rsidRPr="009B371D" w:rsidRDefault="003179E1" w:rsidP="00307491">
      <w:pPr>
        <w:pStyle w:val="ListParagraph"/>
        <w:numPr>
          <w:ilvl w:val="0"/>
          <w:numId w:val="10"/>
        </w:numPr>
        <w:jc w:val="both"/>
      </w:pPr>
      <w:r>
        <w:t>codice di classificazione assegnato</w:t>
      </w:r>
      <w:r w:rsidRPr="009B371D">
        <w:rPr>
          <w:vertAlign w:val="superscript"/>
        </w:rPr>
        <w:footnoteReference w:id="7"/>
      </w:r>
      <w:r>
        <w:t xml:space="preserve">) del prodotto specificato, </w:t>
      </w:r>
    </w:p>
    <w:p w14:paraId="0BB578CB" w14:textId="77777777" w:rsidR="003179E1" w:rsidRPr="009B371D" w:rsidRDefault="003179E1" w:rsidP="00307491">
      <w:pPr>
        <w:pStyle w:val="ListParagraph"/>
        <w:numPr>
          <w:ilvl w:val="0"/>
          <w:numId w:val="10"/>
        </w:numPr>
        <w:jc w:val="both"/>
      </w:pPr>
      <w:r>
        <w:t xml:space="preserve">la classificazione del prodotto specificato a norma della sezione 1, punto 2, lettera b), nella categoria di cui al paragrafo 5; </w:t>
      </w:r>
    </w:p>
    <w:p w14:paraId="4BE7CCF3" w14:textId="77777777" w:rsidR="003179E1" w:rsidRPr="009B371D" w:rsidRDefault="003179E1" w:rsidP="00307491">
      <w:pPr>
        <w:pStyle w:val="ListParagraph"/>
        <w:numPr>
          <w:ilvl w:val="0"/>
          <w:numId w:val="10"/>
        </w:numPr>
        <w:jc w:val="both"/>
      </w:pPr>
      <w:r>
        <w:t>elenco dei documenti di riferimento che sono rapporti di prova</w:t>
      </w:r>
      <w:r w:rsidRPr="009B371D">
        <w:rPr>
          <w:rStyle w:val="FootnoteReference"/>
        </w:rPr>
        <w:footnoteReference w:id="8"/>
      </w:r>
      <w:r>
        <w:t xml:space="preserve">), verbali dei lavori del comitato di esperti della persona autorizzata, documentazione tecnica e documenti di cui alla sezione 2, punto 2, che specificano i requisiti tecnici per il prodotto specificato; </w:t>
      </w:r>
    </w:p>
    <w:p w14:paraId="16AE71E1" w14:textId="77777777" w:rsidR="003179E1" w:rsidRPr="009B371D" w:rsidRDefault="003179E1" w:rsidP="00307491">
      <w:pPr>
        <w:pStyle w:val="ListParagraph"/>
        <w:numPr>
          <w:ilvl w:val="0"/>
          <w:numId w:val="10"/>
        </w:numPr>
        <w:spacing w:after="120"/>
        <w:jc w:val="both"/>
      </w:pPr>
      <w:r>
        <w:t>nome, cognome, funzione e firma della persona autorizzata ad agire per conto della persona autorizzata, nonché il timbro della persona autorizzata.</w:t>
      </w:r>
    </w:p>
    <w:p w14:paraId="3D5371EC" w14:textId="77777777" w:rsidR="003179E1" w:rsidRPr="009B371D" w:rsidRDefault="003179E1" w:rsidP="003179E1">
      <w:pPr>
        <w:spacing w:after="120"/>
        <w:ind w:firstLine="641"/>
        <w:jc w:val="both"/>
      </w:pPr>
      <w:r>
        <w:t xml:space="preserve">(3) I dati identificativi di cui al paragrafo 2, lettere b) e d), sono: </w:t>
      </w:r>
    </w:p>
    <w:p w14:paraId="45463284" w14:textId="77777777" w:rsidR="003179E1" w:rsidRPr="009B371D" w:rsidRDefault="003179E1" w:rsidP="00DD2CA9">
      <w:pPr>
        <w:pStyle w:val="ListParagraph"/>
        <w:numPr>
          <w:ilvl w:val="0"/>
          <w:numId w:val="12"/>
        </w:numPr>
        <w:jc w:val="both"/>
      </w:pPr>
      <w:r>
        <w:t>il nome o la ragione sociale, la sede sociale, la forma giuridica e il numero di identificazione dell'impresa, nel caso di una persona giuridica;</w:t>
      </w:r>
    </w:p>
    <w:p w14:paraId="310CCC3E" w14:textId="77777777" w:rsidR="003179E1" w:rsidRPr="009B371D" w:rsidRDefault="003179E1" w:rsidP="00DD2CA9">
      <w:pPr>
        <w:pStyle w:val="ListParagraph"/>
        <w:numPr>
          <w:ilvl w:val="0"/>
          <w:numId w:val="12"/>
        </w:numPr>
        <w:spacing w:after="120"/>
        <w:jc w:val="both"/>
      </w:pPr>
      <w:r>
        <w:t>nome e cognome, ragione sociale, sede di attività e numero di identificazione dell'impresa nel caso di una persona fisica.</w:t>
      </w:r>
    </w:p>
    <w:p w14:paraId="53043BA4" w14:textId="77777777" w:rsidR="003179E1" w:rsidRPr="009B371D" w:rsidRDefault="003179E1" w:rsidP="003179E1">
      <w:pPr>
        <w:spacing w:after="120"/>
        <w:ind w:firstLine="708"/>
        <w:jc w:val="both"/>
      </w:pPr>
      <w:r>
        <w:t>(4) Le indicazioni di cui al paragrafo 2, lettera e), sono il nome completo e il numero di serie del prodotto specificato.</w:t>
      </w:r>
    </w:p>
    <w:p w14:paraId="6470E99A" w14:textId="77777777" w:rsidR="003179E1" w:rsidRPr="009B371D" w:rsidRDefault="003179E1" w:rsidP="003179E1">
      <w:pPr>
        <w:ind w:left="284" w:firstLine="424"/>
        <w:jc w:val="both"/>
      </w:pPr>
      <w:r>
        <w:t xml:space="preserve">(5) Un prodotto specificato a norma della sezione 1, punto 2, lettera b), è classificato, in base ai risultati della valutazione di conformità, nella </w:t>
      </w:r>
    </w:p>
    <w:p w14:paraId="5ABEAFC8" w14:textId="77777777" w:rsidR="003179E1" w:rsidRPr="009B371D" w:rsidRDefault="003179E1" w:rsidP="00DD2CA9">
      <w:pPr>
        <w:pStyle w:val="ListParagraph"/>
        <w:numPr>
          <w:ilvl w:val="0"/>
          <w:numId w:val="16"/>
        </w:numPr>
        <w:jc w:val="both"/>
      </w:pPr>
      <w:r>
        <w:t>prima categoria, se il prodotto specificato è pienamente conforme ai requisiti essenziali;</w:t>
      </w:r>
    </w:p>
    <w:p w14:paraId="606A68A4" w14:textId="77777777" w:rsidR="003179E1" w:rsidRPr="009B371D" w:rsidRDefault="003179E1" w:rsidP="00DD2CA9">
      <w:pPr>
        <w:pStyle w:val="ListParagraph"/>
        <w:numPr>
          <w:ilvl w:val="0"/>
          <w:numId w:val="16"/>
        </w:numPr>
        <w:jc w:val="both"/>
      </w:pPr>
      <w:r>
        <w:t>seconda categoria, se il prodotto specificato è sicuro e non soddisfa in tutto o in parte gli altri requisiti essenziali;</w:t>
      </w:r>
    </w:p>
    <w:p w14:paraId="6D3D4560" w14:textId="77777777" w:rsidR="003179E1" w:rsidRPr="009B371D" w:rsidRDefault="003179E1" w:rsidP="00DD2CA9">
      <w:pPr>
        <w:pStyle w:val="ListParagraph"/>
        <w:numPr>
          <w:ilvl w:val="0"/>
          <w:numId w:val="16"/>
        </w:numPr>
        <w:spacing w:after="120"/>
        <w:jc w:val="both"/>
      </w:pPr>
      <w:r>
        <w:t>terza categoria, se il prodotto specificato non è sicuro e non soddisfa in tutto o in parte gli altri requisiti essenziali.</w:t>
      </w:r>
    </w:p>
    <w:p w14:paraId="629B5FFF" w14:textId="77777777" w:rsidR="003179E1" w:rsidRPr="009B371D" w:rsidRDefault="003179E1" w:rsidP="003179E1">
      <w:pPr>
        <w:spacing w:after="120"/>
        <w:ind w:left="709" w:hanging="1"/>
        <w:jc w:val="both"/>
      </w:pPr>
      <w:r>
        <w:t>(6) Per un determinato prodotto incluso nella</w:t>
      </w:r>
    </w:p>
    <w:p w14:paraId="7DBE97AB" w14:textId="77777777" w:rsidR="003179E1" w:rsidRPr="009B371D" w:rsidRDefault="003179E1" w:rsidP="00DD2CA9">
      <w:pPr>
        <w:pStyle w:val="ListParagraph"/>
        <w:numPr>
          <w:ilvl w:val="0"/>
          <w:numId w:val="14"/>
        </w:numPr>
        <w:jc w:val="both"/>
      </w:pPr>
      <w:r>
        <w:t>prima categoria, la relazione finale e la decisione di conformità,</w:t>
      </w:r>
    </w:p>
    <w:p w14:paraId="13CD79C1" w14:textId="77777777" w:rsidR="003179E1" w:rsidRPr="00DD2CA9" w:rsidRDefault="003179E1" w:rsidP="00DD2CA9">
      <w:pPr>
        <w:pStyle w:val="ListParagraph"/>
        <w:numPr>
          <w:ilvl w:val="0"/>
          <w:numId w:val="14"/>
        </w:numPr>
        <w:spacing w:after="120"/>
        <w:jc w:val="both"/>
      </w:pPr>
      <w:r>
        <w:lastRenderedPageBreak/>
        <w:t xml:space="preserve">seconda o terza categoria, è rilasciato un protocollo definitivo </w:t>
      </w:r>
      <w:bookmarkStart w:id="1" w:name="_Hlk79993103"/>
      <w:r>
        <w:t>che definisce le condizioni per la manipolazione appropriata</w:t>
      </w:r>
      <w:bookmarkEnd w:id="1"/>
      <w:r>
        <w:t xml:space="preserve"> del prodotto specificato; non è adottata una decisione di conformità.</w:t>
      </w:r>
    </w:p>
    <w:p w14:paraId="4CC493B0" w14:textId="77777777" w:rsidR="003179E1" w:rsidRPr="009B371D" w:rsidRDefault="003179E1" w:rsidP="001E34A3">
      <w:pPr>
        <w:spacing w:before="120" w:after="120"/>
        <w:jc w:val="center"/>
      </w:pPr>
      <w:r>
        <w:rPr>
          <w:b/>
        </w:rPr>
        <w:t>Sezione 7</w:t>
      </w:r>
    </w:p>
    <w:p w14:paraId="2C62B815" w14:textId="77777777" w:rsidR="003179E1" w:rsidRPr="009B371D" w:rsidRDefault="003179E1" w:rsidP="001E34A3">
      <w:pPr>
        <w:spacing w:before="120" w:after="120"/>
        <w:jc w:val="center"/>
        <w:rPr>
          <w:b/>
        </w:rPr>
      </w:pPr>
      <w:r>
        <w:rPr>
          <w:b/>
        </w:rPr>
        <w:t>Decisione di conformità</w:t>
      </w:r>
    </w:p>
    <w:p w14:paraId="623CBBBE" w14:textId="77777777" w:rsidR="003179E1" w:rsidRPr="009B371D" w:rsidRDefault="003179E1" w:rsidP="003179E1">
      <w:pPr>
        <w:ind w:firstLine="644"/>
        <w:jc w:val="both"/>
      </w:pPr>
      <w:r>
        <w:t xml:space="preserve">La decisione di conformità comprende in particolare: </w:t>
      </w:r>
    </w:p>
    <w:p w14:paraId="4EFB581E" w14:textId="77777777" w:rsidR="003179E1" w:rsidRPr="009B371D" w:rsidRDefault="003179E1" w:rsidP="003179E1">
      <w:pPr>
        <w:pStyle w:val="ListParagraph"/>
        <w:numPr>
          <w:ilvl w:val="0"/>
          <w:numId w:val="3"/>
        </w:numPr>
        <w:contextualSpacing/>
        <w:jc w:val="both"/>
      </w:pPr>
      <w:r>
        <w:t>le pertinenti disposizioni della legge e del presente decreto;</w:t>
      </w:r>
    </w:p>
    <w:p w14:paraId="1B70468D" w14:textId="77777777" w:rsidR="003179E1" w:rsidRPr="009B371D" w:rsidRDefault="003179E1" w:rsidP="003179E1">
      <w:pPr>
        <w:pStyle w:val="ListParagraph"/>
        <w:numPr>
          <w:ilvl w:val="0"/>
          <w:numId w:val="3"/>
        </w:numPr>
        <w:contextualSpacing/>
        <w:jc w:val="both"/>
      </w:pPr>
      <w:r>
        <w:t xml:space="preserve">i dati identificativi della persona autorizzata di cui alla sezione 6, paragrafo 3, che ha effettuato la valutazione della conformità del prodotto specificato e il numero della decisione relativa alla sua autorizzazione; </w:t>
      </w:r>
    </w:p>
    <w:p w14:paraId="3D4F45EC" w14:textId="77777777" w:rsidR="003179E1" w:rsidRPr="009B371D" w:rsidRDefault="003179E1" w:rsidP="003179E1">
      <w:pPr>
        <w:pStyle w:val="ListParagraph"/>
        <w:numPr>
          <w:ilvl w:val="0"/>
          <w:numId w:val="3"/>
        </w:numPr>
        <w:contextualSpacing/>
        <w:jc w:val="both"/>
      </w:pPr>
      <w:r>
        <w:t>il numero della decisione di conformità,</w:t>
      </w:r>
    </w:p>
    <w:p w14:paraId="253A3924" w14:textId="77777777" w:rsidR="003179E1" w:rsidRPr="009B371D" w:rsidRDefault="003179E1" w:rsidP="003179E1">
      <w:pPr>
        <w:pStyle w:val="ListParagraph"/>
        <w:numPr>
          <w:ilvl w:val="0"/>
          <w:numId w:val="3"/>
        </w:numPr>
        <w:contextualSpacing/>
        <w:jc w:val="both"/>
      </w:pPr>
      <w:r>
        <w:t>i dati identificativi del richiedente la valutazione della conformità di un prodotto specificato a norma della sezione 6, paragrafo 3;</w:t>
      </w:r>
    </w:p>
    <w:p w14:paraId="45AEDBB7" w14:textId="77777777" w:rsidR="003179E1" w:rsidRPr="009B371D" w:rsidRDefault="003179E1" w:rsidP="003179E1">
      <w:pPr>
        <w:pStyle w:val="ListParagraph"/>
        <w:numPr>
          <w:ilvl w:val="0"/>
          <w:numId w:val="3"/>
        </w:numPr>
        <w:contextualSpacing/>
        <w:jc w:val="both"/>
      </w:pPr>
      <w:r>
        <w:t>dati di base sul prodotto specificato a norma della sezione 6, paragrafo 4,</w:t>
      </w:r>
    </w:p>
    <w:p w14:paraId="602FD9D0" w14:textId="77777777" w:rsidR="003179E1" w:rsidRPr="009B371D" w:rsidRDefault="003179E1" w:rsidP="003179E1">
      <w:pPr>
        <w:pStyle w:val="ListParagraph"/>
        <w:numPr>
          <w:ilvl w:val="0"/>
          <w:numId w:val="3"/>
        </w:numPr>
        <w:contextualSpacing/>
        <w:jc w:val="both"/>
      </w:pPr>
      <w:r>
        <w:t>l'indicazione della documentazione tecnica e dei documenti di cui alla sezione 2, punto 2, che specificano i requisiti tecnici per il prodotto specificato;</w:t>
      </w:r>
    </w:p>
    <w:p w14:paraId="26C3F4B4" w14:textId="77777777" w:rsidR="003179E1" w:rsidRPr="009B371D" w:rsidRDefault="003179E1" w:rsidP="003179E1">
      <w:pPr>
        <w:pStyle w:val="ListParagraph"/>
        <w:numPr>
          <w:ilvl w:val="0"/>
          <w:numId w:val="3"/>
        </w:numPr>
        <w:contextualSpacing/>
        <w:jc w:val="both"/>
      </w:pPr>
      <w:r>
        <w:t>la data di scadenza della decisione di conformità,</w:t>
      </w:r>
    </w:p>
    <w:p w14:paraId="468F65B2" w14:textId="77777777" w:rsidR="003179E1" w:rsidRPr="009B371D" w:rsidRDefault="003179E1" w:rsidP="003179E1">
      <w:pPr>
        <w:pStyle w:val="ListParagraph"/>
        <w:numPr>
          <w:ilvl w:val="0"/>
          <w:numId w:val="3"/>
        </w:numPr>
        <w:contextualSpacing/>
        <w:jc w:val="both"/>
      </w:pPr>
      <w:r>
        <w:t>che limitano la decisione di conformità al prodotto specificato oggetto della valutazione della conformità;</w:t>
      </w:r>
    </w:p>
    <w:p w14:paraId="063D425F" w14:textId="77777777" w:rsidR="003179E1" w:rsidRPr="009B371D" w:rsidRDefault="003179E1" w:rsidP="003179E1">
      <w:pPr>
        <w:pStyle w:val="ListParagraph"/>
        <w:numPr>
          <w:ilvl w:val="0"/>
          <w:numId w:val="3"/>
        </w:numPr>
        <w:spacing w:after="120"/>
        <w:contextualSpacing/>
        <w:jc w:val="both"/>
      </w:pPr>
      <w:r>
        <w:t>un elenco dei documenti di riferimento, che sono la relazione finale, la documentazione tecnica e i documenti di cui alla sezione 2, punto 2, che specificano i requisiti tecnici per il prodotto specificato;</w:t>
      </w:r>
    </w:p>
    <w:p w14:paraId="7727EEC8" w14:textId="77777777" w:rsidR="003179E1" w:rsidRPr="009B371D" w:rsidRDefault="003179E1" w:rsidP="003179E1">
      <w:pPr>
        <w:pStyle w:val="ListParagraph"/>
        <w:numPr>
          <w:ilvl w:val="0"/>
          <w:numId w:val="3"/>
        </w:numPr>
        <w:spacing w:after="120"/>
        <w:contextualSpacing/>
        <w:jc w:val="both"/>
      </w:pPr>
      <w:r>
        <w:t>la data e il luogo di rilascio della decisione di conformità,</w:t>
      </w:r>
    </w:p>
    <w:p w14:paraId="5200584E" w14:textId="77777777" w:rsidR="003179E1" w:rsidRPr="009B371D" w:rsidRDefault="003179E1" w:rsidP="003179E1">
      <w:pPr>
        <w:pStyle w:val="ListParagraph"/>
        <w:numPr>
          <w:ilvl w:val="0"/>
          <w:numId w:val="3"/>
        </w:numPr>
        <w:spacing w:after="120"/>
        <w:contextualSpacing/>
        <w:jc w:val="both"/>
      </w:pPr>
      <w:r>
        <w:t>nome, cognome, funzione e firma della persona autorizzata ad agire per conto della persona autorizzata, nonché il timbro della persona autorizzata.</w:t>
      </w:r>
    </w:p>
    <w:p w14:paraId="724886AB" w14:textId="77777777" w:rsidR="003179E1" w:rsidRPr="009B371D" w:rsidRDefault="003179E1" w:rsidP="001E34A3">
      <w:pPr>
        <w:spacing w:before="120" w:after="120"/>
        <w:jc w:val="center"/>
      </w:pPr>
      <w:r>
        <w:rPr>
          <w:b/>
        </w:rPr>
        <w:t>Sezione 8</w:t>
      </w:r>
    </w:p>
    <w:p w14:paraId="63634242" w14:textId="77777777" w:rsidR="003179E1" w:rsidRPr="009B371D" w:rsidRDefault="003179E1" w:rsidP="001E34A3">
      <w:pPr>
        <w:spacing w:before="120" w:after="120"/>
        <w:jc w:val="center"/>
        <w:rPr>
          <w:b/>
        </w:rPr>
      </w:pPr>
      <w:r>
        <w:rPr>
          <w:b/>
        </w:rPr>
        <w:t>Disposizioni transitorie</w:t>
      </w:r>
    </w:p>
    <w:p w14:paraId="71F1CCCB" w14:textId="77777777" w:rsidR="003179E1" w:rsidRPr="009B371D" w:rsidRDefault="003179E1" w:rsidP="001E34A3">
      <w:pPr>
        <w:spacing w:after="120"/>
        <w:ind w:firstLine="709"/>
        <w:jc w:val="both"/>
      </w:pPr>
      <w:r>
        <w:t>(1) Un prodotto specifico sottoposto a prova da una persona autorizzata prima del 30 aprile 2022 si considera valutato ai sensi del presente decreto e la successiva valutazione della conformità del prodotto specificato è effettuata entro il termine stabilito nel verbale di prova rilasciato, fatto salvo l'articolo 5, paragrafo 3.</w:t>
      </w:r>
    </w:p>
    <w:p w14:paraId="644A7A62" w14:textId="77777777" w:rsidR="003179E1" w:rsidRDefault="003179E1" w:rsidP="001E34A3">
      <w:pPr>
        <w:pStyle w:val="Default"/>
        <w:spacing w:after="120"/>
        <w:ind w:firstLine="709"/>
        <w:jc w:val="both"/>
        <w:rPr>
          <w:color w:val="auto"/>
          <w:szCs w:val="20"/>
        </w:rPr>
      </w:pPr>
      <w:r>
        <w:rPr>
          <w:color w:val="auto"/>
        </w:rPr>
        <w:t>(2) Per relazione finale di cui alla sezione 3, punto 6, lettera b), si intende anche il verbale di prova rilasciato prima del 30 aprile 2022.</w:t>
      </w:r>
    </w:p>
    <w:p w14:paraId="1845FE83" w14:textId="77777777" w:rsidR="003179E1" w:rsidRPr="009B371D" w:rsidRDefault="003179E1" w:rsidP="001E34A3">
      <w:pPr>
        <w:spacing w:before="120" w:after="120"/>
        <w:jc w:val="center"/>
        <w:rPr>
          <w:b/>
        </w:rPr>
      </w:pPr>
      <w:r>
        <w:rPr>
          <w:b/>
        </w:rPr>
        <w:t>Disposizioni finali</w:t>
      </w:r>
    </w:p>
    <w:p w14:paraId="50419333" w14:textId="77777777" w:rsidR="003179E1" w:rsidRPr="009B371D" w:rsidRDefault="003179E1" w:rsidP="001E34A3">
      <w:pPr>
        <w:spacing w:before="120" w:after="120"/>
        <w:jc w:val="center"/>
        <w:rPr>
          <w:b/>
        </w:rPr>
      </w:pPr>
      <w:r>
        <w:rPr>
          <w:b/>
        </w:rPr>
        <w:t>Sezione 9</w:t>
      </w:r>
    </w:p>
    <w:p w14:paraId="7EB8DA6C" w14:textId="77777777" w:rsidR="003179E1" w:rsidRPr="009B371D" w:rsidRDefault="003179E1" w:rsidP="003179E1">
      <w:pPr>
        <w:spacing w:line="23" w:lineRule="atLeast"/>
        <w:ind w:firstLine="708"/>
        <w:jc w:val="both"/>
      </w:pPr>
      <w:r>
        <w:t>Il decreto del Ministero della Difesa della Repubblica slovacca, del 28 maggio 2014, n. ÚLP-12-13/2014-ODL, relativo alle condizioni e ai termini per l'esame degli esplosivi, degli oggetti esplosivi, delle munizioni e dei loro imballaggi, nonché alle indicazioni dei protocolli per l'esame delle loro condizioni tecniche (avviso del Ministero della Difesa della Repubblica slovacca n. 143/2014), è annullato.</w:t>
      </w:r>
    </w:p>
    <w:p w14:paraId="14A06BB4" w14:textId="77777777" w:rsidR="003179E1" w:rsidRPr="009B371D" w:rsidRDefault="003179E1" w:rsidP="00A27FC2">
      <w:pPr>
        <w:keepNext/>
        <w:spacing w:before="120" w:after="120"/>
        <w:jc w:val="center"/>
        <w:rPr>
          <w:b/>
        </w:rPr>
      </w:pPr>
      <w:r>
        <w:rPr>
          <w:b/>
        </w:rPr>
        <w:lastRenderedPageBreak/>
        <w:t>Sezione 10</w:t>
      </w:r>
    </w:p>
    <w:p w14:paraId="6950A5A4" w14:textId="77777777" w:rsidR="003179E1" w:rsidRPr="009B371D" w:rsidRDefault="003179E1" w:rsidP="00A27FC2">
      <w:pPr>
        <w:keepNext/>
        <w:ind w:firstLine="709"/>
        <w:jc w:val="both"/>
      </w:pPr>
      <w:r>
        <w:t>Il presente decreto è stato adottato in conformità di un atto giuridicamente vincolante dell'Unione europea nel settore delle norme tecniche.</w:t>
      </w:r>
      <w:r w:rsidRPr="009B371D">
        <w:rPr>
          <w:rStyle w:val="FootnoteReference"/>
        </w:rPr>
        <w:footnoteReference w:id="9"/>
      </w:r>
      <w:r>
        <w:t>)</w:t>
      </w:r>
    </w:p>
    <w:p w14:paraId="55EF68D5" w14:textId="77777777" w:rsidR="003179E1" w:rsidRPr="009B371D" w:rsidRDefault="003179E1" w:rsidP="001E34A3">
      <w:pPr>
        <w:spacing w:before="120" w:after="120"/>
        <w:jc w:val="center"/>
      </w:pPr>
      <w:r>
        <w:rPr>
          <w:b/>
        </w:rPr>
        <w:t>Sezione 11</w:t>
      </w:r>
    </w:p>
    <w:p w14:paraId="5C958E91" w14:textId="77777777" w:rsidR="003179E1" w:rsidRPr="009B371D" w:rsidRDefault="003179E1" w:rsidP="001E34A3">
      <w:pPr>
        <w:spacing w:before="120" w:after="120"/>
        <w:jc w:val="center"/>
      </w:pPr>
      <w:r>
        <w:rPr>
          <w:b/>
        </w:rPr>
        <w:t>Entrata in vigore</w:t>
      </w:r>
    </w:p>
    <w:p w14:paraId="708B2CAF" w14:textId="77777777" w:rsidR="00E05D46" w:rsidRDefault="003179E1" w:rsidP="00A650CD">
      <w:pPr>
        <w:spacing w:after="120"/>
        <w:ind w:firstLine="708"/>
        <w:jc w:val="both"/>
      </w:pPr>
      <w:r>
        <w:t>Il presente decreto di applicazione entra in vigore il 1° maggio 2022.</w:t>
      </w:r>
    </w:p>
    <w:p w14:paraId="263E37E0" w14:textId="77777777" w:rsidR="006C45EF" w:rsidRDefault="006C45EF" w:rsidP="00A650CD">
      <w:pPr>
        <w:spacing w:after="120"/>
        <w:ind w:firstLine="708"/>
        <w:jc w:val="both"/>
      </w:pPr>
    </w:p>
    <w:p w14:paraId="3BF2616B" w14:textId="77777777" w:rsidR="006C45EF" w:rsidRPr="003179E1" w:rsidRDefault="006C45EF" w:rsidP="00A650CD">
      <w:pPr>
        <w:spacing w:after="120"/>
        <w:ind w:firstLine="708"/>
        <w:jc w:val="both"/>
      </w:pPr>
    </w:p>
    <w:sectPr w:rsidR="006C45EF" w:rsidRPr="003179E1" w:rsidSect="00F73C22">
      <w:footerReference w:type="default" r:id="rId8"/>
      <w:foot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25EC" w14:textId="77777777" w:rsidR="00A53B3F" w:rsidRDefault="00A53B3F" w:rsidP="009D27D3">
      <w:r>
        <w:separator/>
      </w:r>
    </w:p>
  </w:endnote>
  <w:endnote w:type="continuationSeparator" w:id="0">
    <w:p w14:paraId="2EBEB371" w14:textId="77777777" w:rsidR="00A53B3F" w:rsidRDefault="00A53B3F" w:rsidP="009D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783" w14:textId="77777777" w:rsidR="009C3518" w:rsidRDefault="009C3518" w:rsidP="00B42961">
    <w:pPr>
      <w:pStyle w:val="Footer"/>
      <w:jc w:val="center"/>
    </w:pPr>
    <w:r>
      <w:fldChar w:fldCharType="begin"/>
    </w:r>
    <w:r>
      <w:instrText>PAGE   \* MERGEFORMAT</w:instrText>
    </w:r>
    <w:r>
      <w:fldChar w:fldCharType="separate"/>
    </w:r>
    <w:r w:rsidR="008171AE">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6FCE" w14:textId="77777777" w:rsidR="004F7CA9" w:rsidRDefault="004F7CA9">
    <w:pPr>
      <w:pStyle w:val="Footer"/>
      <w:jc w:val="center"/>
    </w:pPr>
  </w:p>
  <w:p w14:paraId="333A284C" w14:textId="77777777" w:rsidR="004F7CA9" w:rsidRDefault="004F7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6023B" w14:textId="77777777" w:rsidR="00A53B3F" w:rsidRDefault="00A53B3F" w:rsidP="009D27D3">
      <w:r>
        <w:separator/>
      </w:r>
    </w:p>
  </w:footnote>
  <w:footnote w:type="continuationSeparator" w:id="0">
    <w:p w14:paraId="4E9095AD" w14:textId="77777777" w:rsidR="00A53B3F" w:rsidRDefault="00A53B3F" w:rsidP="009D27D3">
      <w:r>
        <w:continuationSeparator/>
      </w:r>
    </w:p>
  </w:footnote>
  <w:footnote w:id="1">
    <w:p w14:paraId="56E54B6F" w14:textId="77777777" w:rsidR="00664786" w:rsidRDefault="00664786" w:rsidP="00664786">
      <w:pPr>
        <w:ind w:left="170" w:hanging="170"/>
        <w:jc w:val="both"/>
      </w:pPr>
      <w:r>
        <w:rPr>
          <w:rStyle w:val="FootnoteReference"/>
          <w:sz w:val="20"/>
          <w:szCs w:val="20"/>
        </w:rPr>
        <w:footnoteRef/>
      </w:r>
      <w:r>
        <w:rPr>
          <w:rStyle w:val="FootnoteReference"/>
          <w:sz w:val="20"/>
          <w:vertAlign w:val="baseline"/>
        </w:rPr>
        <w:t>) Sezione 4 della legge n. 56/2018 sulla valutazione della conformità del prodotto, sulla messa a disposizione nel mercato di un determinato prodotto</w:t>
      </w:r>
      <w:r>
        <w:rPr>
          <w:sz w:val="20"/>
        </w:rPr>
        <w:t xml:space="preserve"> </w:t>
      </w:r>
      <w:r>
        <w:rPr>
          <w:rStyle w:val="FootnoteReference"/>
          <w:sz w:val="20"/>
          <w:vertAlign w:val="baseline"/>
        </w:rPr>
        <w:t xml:space="preserve"> e recante modifica di determinati atti</w:t>
      </w:r>
      <w:r>
        <w:rPr>
          <w:color w:val="FF0000"/>
          <w:sz w:val="20"/>
        </w:rPr>
        <w:t xml:space="preserve"> </w:t>
      </w:r>
      <w:r>
        <w:rPr>
          <w:sz w:val="20"/>
        </w:rPr>
        <w:t xml:space="preserve"> come modificata dalla legge n. 259/2021 Racc.</w:t>
      </w:r>
      <w:r>
        <w:rPr>
          <w:rStyle w:val="FootnoteReference"/>
          <w:sz w:val="20"/>
          <w:vertAlign w:val="baseline"/>
        </w:rPr>
        <w:t xml:space="preserve"> </w:t>
      </w:r>
    </w:p>
  </w:footnote>
  <w:footnote w:id="2">
    <w:p w14:paraId="358BD0E5" w14:textId="77777777" w:rsidR="003179E1" w:rsidRDefault="003179E1" w:rsidP="003179E1">
      <w:pPr>
        <w:ind w:left="170" w:hanging="170"/>
        <w:jc w:val="both"/>
      </w:pPr>
      <w:r>
        <w:rPr>
          <w:rStyle w:val="FootnoteReference"/>
          <w:sz w:val="20"/>
          <w:szCs w:val="20"/>
        </w:rPr>
        <w:footnoteRef/>
      </w:r>
      <w:r>
        <w:rPr>
          <w:sz w:val="20"/>
        </w:rPr>
        <w:t xml:space="preserve">) </w:t>
      </w:r>
      <w:r>
        <w:rPr>
          <w:sz w:val="20"/>
        </w:rPr>
        <w:t xml:space="preserve">Sezione 2, paragrafo 5, della legge n. 11/2004 Racc. sulla standardizzazione della difesa, la codificazione e la verifica da parte dello Stato della qualità dei prodotti e dei servizi destinati alla difesa, come modificata. </w:t>
      </w:r>
    </w:p>
  </w:footnote>
  <w:footnote w:id="3">
    <w:p w14:paraId="4FD9A66D" w14:textId="77777777" w:rsidR="003179E1" w:rsidRDefault="003179E1" w:rsidP="003179E1">
      <w:pPr>
        <w:ind w:left="284" w:hanging="284"/>
        <w:jc w:val="both"/>
      </w:pPr>
      <w:r>
        <w:rPr>
          <w:rStyle w:val="FootnoteReference"/>
          <w:sz w:val="20"/>
          <w:szCs w:val="20"/>
        </w:rPr>
        <w:footnoteRef/>
      </w:r>
      <w:r>
        <w:rPr>
          <w:sz w:val="20"/>
        </w:rPr>
        <w:t xml:space="preserve">) </w:t>
      </w:r>
      <w:r>
        <w:rPr>
          <w:sz w:val="20"/>
        </w:rPr>
        <w:t>Sezione 2, paragrafi 1, 7 e 8, lettera d), della legge n. 11/2004, come modificata.</w:t>
      </w:r>
    </w:p>
  </w:footnote>
  <w:footnote w:id="4">
    <w:p w14:paraId="6BD27724" w14:textId="77777777" w:rsidR="003179E1" w:rsidRDefault="003179E1" w:rsidP="003179E1">
      <w:pPr>
        <w:pStyle w:val="FootnoteText"/>
      </w:pPr>
      <w:r>
        <w:rPr>
          <w:rStyle w:val="FootnoteReference"/>
        </w:rPr>
        <w:footnoteRef/>
      </w:r>
      <w:r>
        <w:t xml:space="preserve">) </w:t>
      </w:r>
      <w:r>
        <w:t xml:space="preserve">Sezione 3, paragrafo 1, della legge n. 60/2018 sulla standardizzazione tecnica. </w:t>
      </w:r>
    </w:p>
  </w:footnote>
  <w:footnote w:id="5">
    <w:p w14:paraId="04318E3A" w14:textId="77777777" w:rsidR="003179E1" w:rsidRDefault="003179E1" w:rsidP="003179E1">
      <w:pPr>
        <w:ind w:left="284" w:hanging="284"/>
        <w:jc w:val="both"/>
      </w:pPr>
      <w:r>
        <w:rPr>
          <w:rStyle w:val="FootnoteReference"/>
          <w:sz w:val="20"/>
          <w:szCs w:val="20"/>
        </w:rPr>
        <w:footnoteRef/>
      </w:r>
      <w:r>
        <w:rPr>
          <w:sz w:val="20"/>
        </w:rPr>
        <w:t xml:space="preserve">) </w:t>
      </w:r>
      <w:r>
        <w:rPr>
          <w:sz w:val="20"/>
        </w:rPr>
        <w:t>Sezione 10 della legge n. 56/2018.</w:t>
      </w:r>
    </w:p>
  </w:footnote>
  <w:footnote w:id="6">
    <w:p w14:paraId="7C29FB24" w14:textId="77777777" w:rsidR="003179E1" w:rsidRDefault="003179E1" w:rsidP="003179E1">
      <w:pPr>
        <w:pStyle w:val="FootnoteText"/>
      </w:pPr>
      <w:r>
        <w:rPr>
          <w:rStyle w:val="FootnoteReference"/>
        </w:rPr>
        <w:footnoteRef/>
      </w:r>
      <w:r>
        <w:t xml:space="preserve">) </w:t>
      </w:r>
      <w:r>
        <w:t xml:space="preserve">Sezione 4 del decreto del Ministero della Difesa della Repubblica slovacca del 28 maggio 2014 n. ÚLP-12-14/2014-ODL sulle condizioni di deposito di esplosivi, oggetti esplosivi e munizioni negli edifici che sono istituiti come strutture per la difesa dello Stato e sulla portata minima dei dati relativi allo stoccaggio di esplosivi, oggetti esplosivi e munizioni in tali edifici (avviso del Ministero della Difesa della Repubblica slovacca n. 145/2014).  </w:t>
      </w:r>
    </w:p>
  </w:footnote>
  <w:footnote w:id="7">
    <w:p w14:paraId="71949D7E" w14:textId="77777777" w:rsidR="003179E1" w:rsidRDefault="003179E1" w:rsidP="003179E1">
      <w:pPr>
        <w:pStyle w:val="FootnoteText"/>
      </w:pPr>
      <w:r>
        <w:rPr>
          <w:rStyle w:val="FootnoteReference"/>
        </w:rPr>
        <w:footnoteRef/>
      </w:r>
      <w:r>
        <w:t xml:space="preserve">) </w:t>
      </w:r>
      <w:r>
        <w:t xml:space="preserve">Accordo europeo relativo al trasporto internazionale di merci pericolose su strada (ADR), come modificato (decreto del ministro degli Affari esteri n. 64/1987 Racc.). </w:t>
      </w:r>
    </w:p>
  </w:footnote>
  <w:footnote w:id="8">
    <w:p w14:paraId="6D6AF012" w14:textId="6C3F87C3" w:rsidR="003179E1" w:rsidRDefault="003179E1" w:rsidP="003179E1">
      <w:pPr>
        <w:pStyle w:val="FootnoteText"/>
      </w:pPr>
      <w:r>
        <w:rPr>
          <w:rStyle w:val="FootnoteReference"/>
        </w:rPr>
        <w:footnoteRef/>
      </w:r>
      <w:r>
        <w:t>)</w:t>
      </w:r>
      <w:r>
        <w:tab/>
      </w:r>
      <w:r>
        <w:t>STN EN ISO/IEC 17025 Requisiti generali per la competenza dei laboratori di prova e taratura (ISO/IEC 17025)</w:t>
      </w:r>
      <w:bookmarkStart w:id="0" w:name="_Hlk79993301"/>
      <w:r>
        <w:t xml:space="preserve"> (01 5253)</w:t>
      </w:r>
      <w:bookmarkEnd w:id="0"/>
      <w:r>
        <w:t>.</w:t>
      </w:r>
    </w:p>
  </w:footnote>
  <w:footnote w:id="9">
    <w:p w14:paraId="3A88C1C6" w14:textId="15D83D38" w:rsidR="003179E1" w:rsidRDefault="003179E1" w:rsidP="003179E1">
      <w:pPr>
        <w:pStyle w:val="FootnoteText"/>
      </w:pPr>
      <w:r>
        <w:rPr>
          <w:rStyle w:val="FootnoteReference"/>
        </w:rPr>
        <w:footnoteRef/>
      </w:r>
      <w:r>
        <w:t>) Direttiva (UE) 2015/1535 del Parlamento europeo e del Consiglio, del 9 settembre 2015, che prevede una procedura d'informazione nel settore delle regolamentazioni tecniche e delle regole relative ai servizi della società dell'informazione (GU L 241 del 17.9.2015).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558"/>
    <w:multiLevelType w:val="hybridMultilevel"/>
    <w:tmpl w:val="66FC4AD4"/>
    <w:lvl w:ilvl="0" w:tplc="F88EF0C2">
      <w:start w:val="1"/>
      <w:numFmt w:val="lowerLetter"/>
      <w:lvlText w:val="%1)"/>
      <w:lvlJc w:val="left"/>
      <w:pPr>
        <w:tabs>
          <w:tab w:val="num" w:pos="397"/>
        </w:tabs>
        <w:ind w:left="397" w:hanging="397"/>
      </w:pPr>
      <w:rPr>
        <w:rFonts w:ascii="Times New Roman" w:hAnsi="Times New Roman" w:cs="Times New Roman" w:hint="default"/>
        <w:sz w:val="24"/>
        <w:szCs w:val="24"/>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BAB19A3"/>
    <w:multiLevelType w:val="hybridMultilevel"/>
    <w:tmpl w:val="92C07BD2"/>
    <w:lvl w:ilvl="0" w:tplc="26166B6A">
      <w:start w:val="1"/>
      <w:numFmt w:val="lowerLetter"/>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22263B63"/>
    <w:multiLevelType w:val="hybridMultilevel"/>
    <w:tmpl w:val="1458BF2E"/>
    <w:lvl w:ilvl="0" w:tplc="B5B0D98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5A8489C"/>
    <w:multiLevelType w:val="hybridMultilevel"/>
    <w:tmpl w:val="BBA2DF9A"/>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283F4016"/>
    <w:multiLevelType w:val="hybridMultilevel"/>
    <w:tmpl w:val="AC1E816E"/>
    <w:lvl w:ilvl="0" w:tplc="6BDAED8C">
      <w:start w:val="1"/>
      <w:numFmt w:val="lowerLetter"/>
      <w:lvlText w:val="%1)"/>
      <w:lvlJc w:val="left"/>
      <w:pPr>
        <w:ind w:left="988" w:hanging="4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32BB6FF9"/>
    <w:multiLevelType w:val="hybridMultilevel"/>
    <w:tmpl w:val="1EC25246"/>
    <w:lvl w:ilvl="0" w:tplc="1958A896">
      <w:start w:val="1"/>
      <w:numFmt w:val="lowerLetter"/>
      <w:lvlText w:val="%1)"/>
      <w:lvlJc w:val="left"/>
      <w:pPr>
        <w:ind w:left="660" w:hanging="360"/>
      </w:pPr>
      <w:rPr>
        <w:rFonts w:cs="Times New Roman" w:hint="default"/>
        <w:sz w:val="24"/>
      </w:rPr>
    </w:lvl>
    <w:lvl w:ilvl="1" w:tplc="A2FABC74">
      <w:start w:val="1"/>
      <w:numFmt w:val="decimal"/>
      <w:lvlText w:val="%2."/>
      <w:lvlJc w:val="left"/>
      <w:pPr>
        <w:ind w:left="1380" w:hanging="360"/>
      </w:pPr>
      <w:rPr>
        <w:rFonts w:hint="default"/>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6" w15:restartNumberingAfterBreak="0">
    <w:nsid w:val="3B0A3496"/>
    <w:multiLevelType w:val="hybridMultilevel"/>
    <w:tmpl w:val="4CDE327E"/>
    <w:lvl w:ilvl="0" w:tplc="041B0017">
      <w:start w:val="1"/>
      <w:numFmt w:val="lowerLetter"/>
      <w:lvlText w:val="%1)"/>
      <w:lvlJc w:val="left"/>
      <w:pPr>
        <w:ind w:left="643"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7" w15:restartNumberingAfterBreak="0">
    <w:nsid w:val="3F987419"/>
    <w:multiLevelType w:val="hybridMultilevel"/>
    <w:tmpl w:val="CC402E3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5DD467C0"/>
    <w:multiLevelType w:val="hybridMultilevel"/>
    <w:tmpl w:val="096E1DD4"/>
    <w:lvl w:ilvl="0" w:tplc="26166B6A">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685140"/>
    <w:multiLevelType w:val="hybridMultilevel"/>
    <w:tmpl w:val="0EC85ADC"/>
    <w:lvl w:ilvl="0" w:tplc="26166B6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612A54A5"/>
    <w:multiLevelType w:val="hybridMultilevel"/>
    <w:tmpl w:val="E92E2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661541"/>
    <w:multiLevelType w:val="hybridMultilevel"/>
    <w:tmpl w:val="30C8F6AC"/>
    <w:lvl w:ilvl="0" w:tplc="26166B6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CC93197"/>
    <w:multiLevelType w:val="hybridMultilevel"/>
    <w:tmpl w:val="9C34E09C"/>
    <w:lvl w:ilvl="0" w:tplc="6BDAED8C">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71AE6540"/>
    <w:multiLevelType w:val="hybridMultilevel"/>
    <w:tmpl w:val="4EA6C42A"/>
    <w:lvl w:ilvl="0" w:tplc="3536BE9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7FA53A27"/>
    <w:multiLevelType w:val="hybridMultilevel"/>
    <w:tmpl w:val="10443FC6"/>
    <w:lvl w:ilvl="0" w:tplc="1958A896">
      <w:start w:val="1"/>
      <w:numFmt w:val="lowerLetter"/>
      <w:lvlText w:val="%1)"/>
      <w:lvlJc w:val="left"/>
      <w:pPr>
        <w:ind w:left="360" w:hanging="360"/>
      </w:pPr>
      <w:rPr>
        <w:rFonts w:cs="Times New Roman" w:hint="default"/>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4"/>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0"/>
  </w:num>
  <w:num w:numId="10">
    <w:abstractNumId w:val="11"/>
  </w:num>
  <w:num w:numId="11">
    <w:abstractNumId w:val="1"/>
  </w:num>
  <w:num w:numId="12">
    <w:abstractNumId w:val="9"/>
  </w:num>
  <w:num w:numId="13">
    <w:abstractNumId w:val="8"/>
  </w:num>
  <w:num w:numId="14">
    <w:abstractNumId w:val="12"/>
  </w:num>
  <w:num w:numId="15">
    <w:abstractNumId w:val="4"/>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B8"/>
    <w:rsid w:val="00001C84"/>
    <w:rsid w:val="000030E6"/>
    <w:rsid w:val="00004F31"/>
    <w:rsid w:val="00011591"/>
    <w:rsid w:val="00022628"/>
    <w:rsid w:val="00025762"/>
    <w:rsid w:val="00031915"/>
    <w:rsid w:val="00032B23"/>
    <w:rsid w:val="0003604E"/>
    <w:rsid w:val="0004484F"/>
    <w:rsid w:val="000474F2"/>
    <w:rsid w:val="00050CDC"/>
    <w:rsid w:val="000571C2"/>
    <w:rsid w:val="000627B8"/>
    <w:rsid w:val="00072E3A"/>
    <w:rsid w:val="00074331"/>
    <w:rsid w:val="00077AC6"/>
    <w:rsid w:val="00091900"/>
    <w:rsid w:val="000944ED"/>
    <w:rsid w:val="000A6990"/>
    <w:rsid w:val="000A6EE2"/>
    <w:rsid w:val="000B0FD6"/>
    <w:rsid w:val="000B5BAC"/>
    <w:rsid w:val="000C43B0"/>
    <w:rsid w:val="000C739A"/>
    <w:rsid w:val="000F04D3"/>
    <w:rsid w:val="000F7AA3"/>
    <w:rsid w:val="00104CEC"/>
    <w:rsid w:val="00112BBB"/>
    <w:rsid w:val="00113CB2"/>
    <w:rsid w:val="00114AB8"/>
    <w:rsid w:val="00116DC8"/>
    <w:rsid w:val="00122376"/>
    <w:rsid w:val="001317D4"/>
    <w:rsid w:val="00132294"/>
    <w:rsid w:val="0013421F"/>
    <w:rsid w:val="001402E4"/>
    <w:rsid w:val="00140FFE"/>
    <w:rsid w:val="0014302C"/>
    <w:rsid w:val="00143354"/>
    <w:rsid w:val="00156355"/>
    <w:rsid w:val="001573DF"/>
    <w:rsid w:val="00165714"/>
    <w:rsid w:val="00171004"/>
    <w:rsid w:val="00171416"/>
    <w:rsid w:val="00184981"/>
    <w:rsid w:val="00185D0E"/>
    <w:rsid w:val="00193CB1"/>
    <w:rsid w:val="001975AB"/>
    <w:rsid w:val="001A5A51"/>
    <w:rsid w:val="001A5F46"/>
    <w:rsid w:val="001C4B0E"/>
    <w:rsid w:val="001C5033"/>
    <w:rsid w:val="001C5817"/>
    <w:rsid w:val="001C6811"/>
    <w:rsid w:val="001E34A3"/>
    <w:rsid w:val="001E34D8"/>
    <w:rsid w:val="001F35B0"/>
    <w:rsid w:val="001F47ED"/>
    <w:rsid w:val="002047BF"/>
    <w:rsid w:val="002047F6"/>
    <w:rsid w:val="002054EF"/>
    <w:rsid w:val="00214AD6"/>
    <w:rsid w:val="00224A3E"/>
    <w:rsid w:val="00227EBD"/>
    <w:rsid w:val="00236DB3"/>
    <w:rsid w:val="002411CE"/>
    <w:rsid w:val="002463C2"/>
    <w:rsid w:val="00256AAE"/>
    <w:rsid w:val="00266491"/>
    <w:rsid w:val="0027275B"/>
    <w:rsid w:val="0028174D"/>
    <w:rsid w:val="002839F4"/>
    <w:rsid w:val="00284BB1"/>
    <w:rsid w:val="0029164F"/>
    <w:rsid w:val="00291AEC"/>
    <w:rsid w:val="0029293D"/>
    <w:rsid w:val="00295D25"/>
    <w:rsid w:val="002A5BA7"/>
    <w:rsid w:val="002A665E"/>
    <w:rsid w:val="002B2CD2"/>
    <w:rsid w:val="002C0488"/>
    <w:rsid w:val="002D1025"/>
    <w:rsid w:val="002E1181"/>
    <w:rsid w:val="002E7AFC"/>
    <w:rsid w:val="002E7DA9"/>
    <w:rsid w:val="003006ED"/>
    <w:rsid w:val="003058CC"/>
    <w:rsid w:val="00307491"/>
    <w:rsid w:val="00310F3A"/>
    <w:rsid w:val="003179E1"/>
    <w:rsid w:val="00331DC2"/>
    <w:rsid w:val="00333A0E"/>
    <w:rsid w:val="003361F7"/>
    <w:rsid w:val="003418EE"/>
    <w:rsid w:val="00345A7A"/>
    <w:rsid w:val="003547AC"/>
    <w:rsid w:val="0036416E"/>
    <w:rsid w:val="0037147F"/>
    <w:rsid w:val="0037509B"/>
    <w:rsid w:val="00392628"/>
    <w:rsid w:val="00392E6A"/>
    <w:rsid w:val="00393FF2"/>
    <w:rsid w:val="003956F0"/>
    <w:rsid w:val="003A0C93"/>
    <w:rsid w:val="003A4A94"/>
    <w:rsid w:val="003B596E"/>
    <w:rsid w:val="003C23D9"/>
    <w:rsid w:val="003E07A0"/>
    <w:rsid w:val="003E1E6E"/>
    <w:rsid w:val="003E32ED"/>
    <w:rsid w:val="003F5EFA"/>
    <w:rsid w:val="003F6A4C"/>
    <w:rsid w:val="00401CF8"/>
    <w:rsid w:val="00402D33"/>
    <w:rsid w:val="00407B13"/>
    <w:rsid w:val="0041038A"/>
    <w:rsid w:val="00412AC9"/>
    <w:rsid w:val="00412F4C"/>
    <w:rsid w:val="004169CD"/>
    <w:rsid w:val="0042178B"/>
    <w:rsid w:val="00421F71"/>
    <w:rsid w:val="0043248F"/>
    <w:rsid w:val="00434DA0"/>
    <w:rsid w:val="004362F8"/>
    <w:rsid w:val="004571BB"/>
    <w:rsid w:val="00462744"/>
    <w:rsid w:val="00464470"/>
    <w:rsid w:val="004732F2"/>
    <w:rsid w:val="00476AE7"/>
    <w:rsid w:val="00477CE4"/>
    <w:rsid w:val="00480425"/>
    <w:rsid w:val="00481B49"/>
    <w:rsid w:val="004842BE"/>
    <w:rsid w:val="0049006E"/>
    <w:rsid w:val="0049333D"/>
    <w:rsid w:val="004948C5"/>
    <w:rsid w:val="004A52EB"/>
    <w:rsid w:val="004B1B0D"/>
    <w:rsid w:val="004B61A8"/>
    <w:rsid w:val="004C35D1"/>
    <w:rsid w:val="004C7422"/>
    <w:rsid w:val="004F181A"/>
    <w:rsid w:val="004F7CA9"/>
    <w:rsid w:val="00515A30"/>
    <w:rsid w:val="0052659D"/>
    <w:rsid w:val="005268F0"/>
    <w:rsid w:val="00526BC4"/>
    <w:rsid w:val="00527B14"/>
    <w:rsid w:val="00530EF1"/>
    <w:rsid w:val="00536FC7"/>
    <w:rsid w:val="00552339"/>
    <w:rsid w:val="00561E8F"/>
    <w:rsid w:val="005632DE"/>
    <w:rsid w:val="0056472A"/>
    <w:rsid w:val="00564F11"/>
    <w:rsid w:val="00564FE1"/>
    <w:rsid w:val="00574E67"/>
    <w:rsid w:val="00575AEC"/>
    <w:rsid w:val="005B1920"/>
    <w:rsid w:val="005B43F0"/>
    <w:rsid w:val="005B5FA6"/>
    <w:rsid w:val="005C22B3"/>
    <w:rsid w:val="005C60D2"/>
    <w:rsid w:val="005D766C"/>
    <w:rsid w:val="005E0A2A"/>
    <w:rsid w:val="005E3552"/>
    <w:rsid w:val="005E73EA"/>
    <w:rsid w:val="00611162"/>
    <w:rsid w:val="0061321F"/>
    <w:rsid w:val="00613D9F"/>
    <w:rsid w:val="00615106"/>
    <w:rsid w:val="0062737B"/>
    <w:rsid w:val="00635441"/>
    <w:rsid w:val="00664786"/>
    <w:rsid w:val="006659F9"/>
    <w:rsid w:val="00665EEC"/>
    <w:rsid w:val="006660B3"/>
    <w:rsid w:val="006669FC"/>
    <w:rsid w:val="006717D3"/>
    <w:rsid w:val="00672599"/>
    <w:rsid w:val="00673417"/>
    <w:rsid w:val="00673508"/>
    <w:rsid w:val="00683002"/>
    <w:rsid w:val="00683C0B"/>
    <w:rsid w:val="006967B3"/>
    <w:rsid w:val="006A3C6C"/>
    <w:rsid w:val="006C45EF"/>
    <w:rsid w:val="006C4D1E"/>
    <w:rsid w:val="006D3990"/>
    <w:rsid w:val="006D3DD0"/>
    <w:rsid w:val="006E083F"/>
    <w:rsid w:val="006E7FB8"/>
    <w:rsid w:val="006F6EB2"/>
    <w:rsid w:val="006F7A11"/>
    <w:rsid w:val="00701BDB"/>
    <w:rsid w:val="007079D3"/>
    <w:rsid w:val="00711FD6"/>
    <w:rsid w:val="00713C98"/>
    <w:rsid w:val="007220EA"/>
    <w:rsid w:val="00732992"/>
    <w:rsid w:val="00736F4C"/>
    <w:rsid w:val="00762648"/>
    <w:rsid w:val="00767528"/>
    <w:rsid w:val="007701FC"/>
    <w:rsid w:val="007844BA"/>
    <w:rsid w:val="00794BB0"/>
    <w:rsid w:val="007A7497"/>
    <w:rsid w:val="007B066B"/>
    <w:rsid w:val="007B420B"/>
    <w:rsid w:val="007C1A39"/>
    <w:rsid w:val="007D103D"/>
    <w:rsid w:val="007D3154"/>
    <w:rsid w:val="007D7F03"/>
    <w:rsid w:val="007E2C05"/>
    <w:rsid w:val="00800FB8"/>
    <w:rsid w:val="00802F84"/>
    <w:rsid w:val="0080616E"/>
    <w:rsid w:val="008061B8"/>
    <w:rsid w:val="00806FFD"/>
    <w:rsid w:val="00810807"/>
    <w:rsid w:val="00811A35"/>
    <w:rsid w:val="00816141"/>
    <w:rsid w:val="00816437"/>
    <w:rsid w:val="0081649D"/>
    <w:rsid w:val="008171AE"/>
    <w:rsid w:val="00822E49"/>
    <w:rsid w:val="0083251E"/>
    <w:rsid w:val="00846DE9"/>
    <w:rsid w:val="00847A06"/>
    <w:rsid w:val="00863234"/>
    <w:rsid w:val="00867E20"/>
    <w:rsid w:val="00884EBF"/>
    <w:rsid w:val="00886CD6"/>
    <w:rsid w:val="00891DEC"/>
    <w:rsid w:val="008971A7"/>
    <w:rsid w:val="008A0F54"/>
    <w:rsid w:val="008C00DF"/>
    <w:rsid w:val="008C3365"/>
    <w:rsid w:val="008C6761"/>
    <w:rsid w:val="008F1AA6"/>
    <w:rsid w:val="009053ED"/>
    <w:rsid w:val="0090617D"/>
    <w:rsid w:val="00906FF2"/>
    <w:rsid w:val="0091127B"/>
    <w:rsid w:val="009263F0"/>
    <w:rsid w:val="009326B4"/>
    <w:rsid w:val="009328A2"/>
    <w:rsid w:val="00934ECF"/>
    <w:rsid w:val="00936A50"/>
    <w:rsid w:val="009524E6"/>
    <w:rsid w:val="00952811"/>
    <w:rsid w:val="00955EAE"/>
    <w:rsid w:val="0096466F"/>
    <w:rsid w:val="00966351"/>
    <w:rsid w:val="009679B2"/>
    <w:rsid w:val="00982314"/>
    <w:rsid w:val="0099597B"/>
    <w:rsid w:val="009A1230"/>
    <w:rsid w:val="009B371D"/>
    <w:rsid w:val="009C34F0"/>
    <w:rsid w:val="009C3518"/>
    <w:rsid w:val="009C515D"/>
    <w:rsid w:val="009D09A3"/>
    <w:rsid w:val="009D27D3"/>
    <w:rsid w:val="009D5319"/>
    <w:rsid w:val="009D5369"/>
    <w:rsid w:val="009E1E3A"/>
    <w:rsid w:val="009F0B89"/>
    <w:rsid w:val="009F5CBA"/>
    <w:rsid w:val="00A12307"/>
    <w:rsid w:val="00A275AF"/>
    <w:rsid w:val="00A27FC2"/>
    <w:rsid w:val="00A30D10"/>
    <w:rsid w:val="00A32519"/>
    <w:rsid w:val="00A33439"/>
    <w:rsid w:val="00A45117"/>
    <w:rsid w:val="00A53B3F"/>
    <w:rsid w:val="00A53BF0"/>
    <w:rsid w:val="00A650CD"/>
    <w:rsid w:val="00A70DDE"/>
    <w:rsid w:val="00A747B0"/>
    <w:rsid w:val="00A766B0"/>
    <w:rsid w:val="00A77F55"/>
    <w:rsid w:val="00A842A4"/>
    <w:rsid w:val="00A96F69"/>
    <w:rsid w:val="00AA68B1"/>
    <w:rsid w:val="00AB5F48"/>
    <w:rsid w:val="00AE3818"/>
    <w:rsid w:val="00AE54E0"/>
    <w:rsid w:val="00AF65DF"/>
    <w:rsid w:val="00B13403"/>
    <w:rsid w:val="00B212CC"/>
    <w:rsid w:val="00B21B7D"/>
    <w:rsid w:val="00B300BF"/>
    <w:rsid w:val="00B35BD7"/>
    <w:rsid w:val="00B403FF"/>
    <w:rsid w:val="00B42961"/>
    <w:rsid w:val="00B46563"/>
    <w:rsid w:val="00B46A03"/>
    <w:rsid w:val="00B5335D"/>
    <w:rsid w:val="00B667CF"/>
    <w:rsid w:val="00B71115"/>
    <w:rsid w:val="00B773DB"/>
    <w:rsid w:val="00B80685"/>
    <w:rsid w:val="00B80F91"/>
    <w:rsid w:val="00B84FB7"/>
    <w:rsid w:val="00B90B40"/>
    <w:rsid w:val="00B91B44"/>
    <w:rsid w:val="00B94936"/>
    <w:rsid w:val="00BA04A9"/>
    <w:rsid w:val="00BA0544"/>
    <w:rsid w:val="00BA5703"/>
    <w:rsid w:val="00BA7853"/>
    <w:rsid w:val="00BB3B1B"/>
    <w:rsid w:val="00BC546C"/>
    <w:rsid w:val="00BC7BBD"/>
    <w:rsid w:val="00BC7F30"/>
    <w:rsid w:val="00BD1161"/>
    <w:rsid w:val="00BD3889"/>
    <w:rsid w:val="00BE1A54"/>
    <w:rsid w:val="00BE1D79"/>
    <w:rsid w:val="00BE3B41"/>
    <w:rsid w:val="00BE72A6"/>
    <w:rsid w:val="00C236CE"/>
    <w:rsid w:val="00C2667A"/>
    <w:rsid w:val="00C27539"/>
    <w:rsid w:val="00C32864"/>
    <w:rsid w:val="00C3369C"/>
    <w:rsid w:val="00C33771"/>
    <w:rsid w:val="00C36C27"/>
    <w:rsid w:val="00C37B94"/>
    <w:rsid w:val="00C37E86"/>
    <w:rsid w:val="00C405CD"/>
    <w:rsid w:val="00C408B7"/>
    <w:rsid w:val="00C433DA"/>
    <w:rsid w:val="00C523FE"/>
    <w:rsid w:val="00C52999"/>
    <w:rsid w:val="00C52DFF"/>
    <w:rsid w:val="00C77D78"/>
    <w:rsid w:val="00C87974"/>
    <w:rsid w:val="00C948DB"/>
    <w:rsid w:val="00C96105"/>
    <w:rsid w:val="00CA1D38"/>
    <w:rsid w:val="00CA23DC"/>
    <w:rsid w:val="00CA5B08"/>
    <w:rsid w:val="00CC2A15"/>
    <w:rsid w:val="00CE5086"/>
    <w:rsid w:val="00CE7E7C"/>
    <w:rsid w:val="00D05E93"/>
    <w:rsid w:val="00D25F69"/>
    <w:rsid w:val="00D30762"/>
    <w:rsid w:val="00D50980"/>
    <w:rsid w:val="00D550B3"/>
    <w:rsid w:val="00D567A2"/>
    <w:rsid w:val="00D57F01"/>
    <w:rsid w:val="00D628FB"/>
    <w:rsid w:val="00D65D37"/>
    <w:rsid w:val="00D6679B"/>
    <w:rsid w:val="00D73FED"/>
    <w:rsid w:val="00D81EC3"/>
    <w:rsid w:val="00D84C5E"/>
    <w:rsid w:val="00D911EC"/>
    <w:rsid w:val="00DB373F"/>
    <w:rsid w:val="00DC06C7"/>
    <w:rsid w:val="00DC129B"/>
    <w:rsid w:val="00DC1A60"/>
    <w:rsid w:val="00DC40B9"/>
    <w:rsid w:val="00DD00B4"/>
    <w:rsid w:val="00DD2CA9"/>
    <w:rsid w:val="00DD45C2"/>
    <w:rsid w:val="00DE0390"/>
    <w:rsid w:val="00DF045F"/>
    <w:rsid w:val="00DF342D"/>
    <w:rsid w:val="00DF7D41"/>
    <w:rsid w:val="00E037AC"/>
    <w:rsid w:val="00E05978"/>
    <w:rsid w:val="00E05D46"/>
    <w:rsid w:val="00E41B82"/>
    <w:rsid w:val="00E42880"/>
    <w:rsid w:val="00E44058"/>
    <w:rsid w:val="00E4761B"/>
    <w:rsid w:val="00E50E62"/>
    <w:rsid w:val="00E51BA6"/>
    <w:rsid w:val="00E523C5"/>
    <w:rsid w:val="00E53C2B"/>
    <w:rsid w:val="00E57810"/>
    <w:rsid w:val="00E879AC"/>
    <w:rsid w:val="00E92CEA"/>
    <w:rsid w:val="00E96D5E"/>
    <w:rsid w:val="00EA1E7D"/>
    <w:rsid w:val="00EA7F97"/>
    <w:rsid w:val="00EB5554"/>
    <w:rsid w:val="00EC0B41"/>
    <w:rsid w:val="00EC7885"/>
    <w:rsid w:val="00EE1EDD"/>
    <w:rsid w:val="00EF2BAB"/>
    <w:rsid w:val="00EF5D76"/>
    <w:rsid w:val="00EF7183"/>
    <w:rsid w:val="00EF7BC7"/>
    <w:rsid w:val="00F00303"/>
    <w:rsid w:val="00F03DCE"/>
    <w:rsid w:val="00F06C8B"/>
    <w:rsid w:val="00F0760E"/>
    <w:rsid w:val="00F14263"/>
    <w:rsid w:val="00F22F27"/>
    <w:rsid w:val="00F23B90"/>
    <w:rsid w:val="00F3151B"/>
    <w:rsid w:val="00F319C9"/>
    <w:rsid w:val="00F354E2"/>
    <w:rsid w:val="00F459CF"/>
    <w:rsid w:val="00F56E89"/>
    <w:rsid w:val="00F671D9"/>
    <w:rsid w:val="00F67F53"/>
    <w:rsid w:val="00F73C22"/>
    <w:rsid w:val="00F75AD6"/>
    <w:rsid w:val="00F83FCA"/>
    <w:rsid w:val="00F840A0"/>
    <w:rsid w:val="00F85735"/>
    <w:rsid w:val="00F92494"/>
    <w:rsid w:val="00F92776"/>
    <w:rsid w:val="00F94C0E"/>
    <w:rsid w:val="00FB28AB"/>
    <w:rsid w:val="00FC11FB"/>
    <w:rsid w:val="00FD48ED"/>
    <w:rsid w:val="00FD7EFB"/>
    <w:rsid w:val="00FF5A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4A9FB"/>
  <w15:docId w15:val="{6C5705FC-6011-4B06-8579-8F68A2B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DDE"/>
    <w:rPr>
      <w:sz w:val="24"/>
      <w:szCs w:val="24"/>
    </w:rPr>
  </w:style>
  <w:style w:type="paragraph" w:styleId="Heading1">
    <w:name w:val="heading 1"/>
    <w:basedOn w:val="Normal"/>
    <w:next w:val="Normal"/>
    <w:link w:val="Heading1Char"/>
    <w:uiPriority w:val="99"/>
    <w:qFormat/>
    <w:locked/>
    <w:rsid w:val="00050CDC"/>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9"/>
    <w:qFormat/>
    <w:rsid w:val="009061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0617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050CD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CDC"/>
    <w:rPr>
      <w:rFonts w:ascii="Cambria" w:hAnsi="Cambria" w:cs="Times New Roman"/>
      <w:b/>
      <w:bCs/>
      <w:color w:val="365F91"/>
      <w:sz w:val="28"/>
      <w:szCs w:val="28"/>
      <w:lang w:eastAsia="en-US"/>
    </w:rPr>
  </w:style>
  <w:style w:type="character" w:customStyle="1" w:styleId="Heading2Char">
    <w:name w:val="Heading 2 Char"/>
    <w:basedOn w:val="DefaultParagraphFont"/>
    <w:link w:val="Heading2"/>
    <w:uiPriority w:val="99"/>
    <w:locked/>
    <w:rsid w:val="0090617D"/>
    <w:rPr>
      <w:rFonts w:ascii="Arial" w:hAnsi="Arial" w:cs="Arial"/>
      <w:b/>
      <w:bCs/>
      <w:i/>
      <w:iCs/>
      <w:sz w:val="28"/>
      <w:szCs w:val="28"/>
    </w:rPr>
  </w:style>
  <w:style w:type="character" w:customStyle="1" w:styleId="Heading3Char">
    <w:name w:val="Heading 3 Char"/>
    <w:basedOn w:val="DefaultParagraphFont"/>
    <w:link w:val="Heading3"/>
    <w:uiPriority w:val="99"/>
    <w:locked/>
    <w:rsid w:val="0090617D"/>
    <w:rPr>
      <w:rFonts w:ascii="Arial" w:hAnsi="Arial" w:cs="Arial"/>
      <w:b/>
      <w:bCs/>
      <w:sz w:val="26"/>
      <w:szCs w:val="26"/>
    </w:rPr>
  </w:style>
  <w:style w:type="character" w:customStyle="1" w:styleId="Heading4Char">
    <w:name w:val="Heading 4 Char"/>
    <w:basedOn w:val="DefaultParagraphFont"/>
    <w:link w:val="Heading4"/>
    <w:uiPriority w:val="99"/>
    <w:semiHidden/>
    <w:locked/>
    <w:rsid w:val="00050CDC"/>
    <w:rPr>
      <w:rFonts w:ascii="Cambria" w:hAnsi="Cambria" w:cs="Times New Roman"/>
      <w:i/>
      <w:iCs/>
      <w:color w:val="365F91"/>
      <w:sz w:val="24"/>
      <w:szCs w:val="24"/>
    </w:rPr>
  </w:style>
  <w:style w:type="paragraph" w:customStyle="1" w:styleId="Default">
    <w:name w:val="Default"/>
    <w:uiPriority w:val="99"/>
    <w:rsid w:val="008061B8"/>
    <w:pPr>
      <w:autoSpaceDE w:val="0"/>
      <w:autoSpaceDN w:val="0"/>
      <w:adjustRightInd w:val="0"/>
    </w:pPr>
    <w:rPr>
      <w:color w:val="000000"/>
      <w:sz w:val="24"/>
      <w:szCs w:val="24"/>
    </w:rPr>
  </w:style>
  <w:style w:type="paragraph" w:styleId="BalloonText">
    <w:name w:val="Balloon Text"/>
    <w:basedOn w:val="Normal"/>
    <w:link w:val="BalloonTextChar"/>
    <w:uiPriority w:val="99"/>
    <w:rsid w:val="00BC7F30"/>
    <w:rPr>
      <w:rFonts w:ascii="Segoe UI" w:hAnsi="Segoe UI"/>
      <w:sz w:val="18"/>
      <w:szCs w:val="18"/>
    </w:rPr>
  </w:style>
  <w:style w:type="character" w:customStyle="1" w:styleId="BalloonTextChar">
    <w:name w:val="Balloon Text Char"/>
    <w:basedOn w:val="DefaultParagraphFont"/>
    <w:link w:val="BalloonText"/>
    <w:uiPriority w:val="99"/>
    <w:locked/>
    <w:rsid w:val="00BC7F30"/>
    <w:rPr>
      <w:rFonts w:ascii="Segoe UI" w:hAnsi="Segoe UI" w:cs="Times New Roman"/>
      <w:sz w:val="18"/>
    </w:rPr>
  </w:style>
  <w:style w:type="paragraph" w:styleId="ListParagraph">
    <w:name w:val="List Paragraph"/>
    <w:basedOn w:val="Normal"/>
    <w:link w:val="ListParagraphChar"/>
    <w:uiPriority w:val="99"/>
    <w:qFormat/>
    <w:rsid w:val="00D50980"/>
    <w:pPr>
      <w:ind w:left="708"/>
    </w:pPr>
    <w:rPr>
      <w:szCs w:val="20"/>
    </w:rPr>
  </w:style>
  <w:style w:type="character" w:customStyle="1" w:styleId="ListParagraphChar">
    <w:name w:val="List Paragraph Char"/>
    <w:link w:val="ListParagraph"/>
    <w:uiPriority w:val="99"/>
    <w:locked/>
    <w:rsid w:val="009D27D3"/>
    <w:rPr>
      <w:sz w:val="24"/>
    </w:rPr>
  </w:style>
  <w:style w:type="paragraph" w:styleId="FootnoteText">
    <w:name w:val="footnote text"/>
    <w:basedOn w:val="Normal"/>
    <w:link w:val="FootnoteTextChar"/>
    <w:uiPriority w:val="99"/>
    <w:rsid w:val="009D27D3"/>
    <w:pPr>
      <w:keepNext/>
      <w:keepLines/>
      <w:ind w:left="227" w:hanging="227"/>
      <w:jc w:val="both"/>
    </w:pPr>
    <w:rPr>
      <w:sz w:val="20"/>
      <w:szCs w:val="20"/>
    </w:rPr>
  </w:style>
  <w:style w:type="character" w:customStyle="1" w:styleId="FootnoteTextChar">
    <w:name w:val="Footnote Text Char"/>
    <w:basedOn w:val="DefaultParagraphFont"/>
    <w:link w:val="FootnoteText"/>
    <w:uiPriority w:val="99"/>
    <w:locked/>
    <w:rsid w:val="009D27D3"/>
    <w:rPr>
      <w:rFonts w:cs="Times New Roman"/>
    </w:rPr>
  </w:style>
  <w:style w:type="character" w:styleId="FootnoteReference">
    <w:name w:val="footnote reference"/>
    <w:basedOn w:val="DefaultParagraphFont"/>
    <w:uiPriority w:val="99"/>
    <w:rsid w:val="009D27D3"/>
    <w:rPr>
      <w:rFonts w:cs="Times New Roman"/>
      <w:vertAlign w:val="superscript"/>
    </w:rPr>
  </w:style>
  <w:style w:type="paragraph" w:customStyle="1" w:styleId="Zakladnystyl">
    <w:name w:val="Zakladny styl"/>
    <w:uiPriority w:val="99"/>
    <w:rsid w:val="000A6EE2"/>
    <w:rPr>
      <w:sz w:val="24"/>
      <w:szCs w:val="24"/>
    </w:rPr>
  </w:style>
  <w:style w:type="paragraph" w:styleId="NormalWeb">
    <w:name w:val="Normal (Web)"/>
    <w:aliases w:val="webb"/>
    <w:basedOn w:val="Normal"/>
    <w:uiPriority w:val="99"/>
    <w:rsid w:val="00143354"/>
    <w:pPr>
      <w:spacing w:before="100" w:beforeAutospacing="1" w:after="100" w:afterAutospacing="1"/>
    </w:pPr>
  </w:style>
  <w:style w:type="character" w:styleId="Hyperlink">
    <w:name w:val="Hyperlink"/>
    <w:basedOn w:val="DefaultParagraphFont"/>
    <w:uiPriority w:val="99"/>
    <w:rsid w:val="00143354"/>
    <w:rPr>
      <w:rFonts w:cs="Times New Roman"/>
      <w:color w:val="0000FF"/>
      <w:u w:val="single"/>
    </w:rPr>
  </w:style>
  <w:style w:type="paragraph" w:styleId="Header">
    <w:name w:val="header"/>
    <w:basedOn w:val="Normal"/>
    <w:link w:val="HeaderChar"/>
    <w:uiPriority w:val="99"/>
    <w:rsid w:val="005632DE"/>
    <w:pPr>
      <w:tabs>
        <w:tab w:val="center" w:pos="4536"/>
        <w:tab w:val="right" w:pos="9072"/>
      </w:tabs>
    </w:pPr>
  </w:style>
  <w:style w:type="character" w:customStyle="1" w:styleId="HeaderChar">
    <w:name w:val="Header Char"/>
    <w:basedOn w:val="DefaultParagraphFont"/>
    <w:link w:val="Header"/>
    <w:uiPriority w:val="99"/>
    <w:locked/>
    <w:rsid w:val="005632DE"/>
    <w:rPr>
      <w:rFonts w:cs="Times New Roman"/>
      <w:sz w:val="24"/>
      <w:szCs w:val="24"/>
    </w:rPr>
  </w:style>
  <w:style w:type="paragraph" w:styleId="Footer">
    <w:name w:val="footer"/>
    <w:basedOn w:val="Normal"/>
    <w:link w:val="FooterChar"/>
    <w:uiPriority w:val="99"/>
    <w:rsid w:val="005632DE"/>
    <w:pPr>
      <w:tabs>
        <w:tab w:val="center" w:pos="4536"/>
        <w:tab w:val="right" w:pos="9072"/>
      </w:tabs>
    </w:pPr>
  </w:style>
  <w:style w:type="character" w:customStyle="1" w:styleId="FooterChar">
    <w:name w:val="Footer Char"/>
    <w:basedOn w:val="DefaultParagraphFont"/>
    <w:link w:val="Footer"/>
    <w:uiPriority w:val="99"/>
    <w:locked/>
    <w:rsid w:val="005632DE"/>
    <w:rPr>
      <w:rFonts w:cs="Times New Roman"/>
      <w:sz w:val="24"/>
      <w:szCs w:val="24"/>
    </w:rPr>
  </w:style>
  <w:style w:type="paragraph" w:styleId="Title">
    <w:name w:val="Title"/>
    <w:basedOn w:val="Normal"/>
    <w:link w:val="TitleChar"/>
    <w:uiPriority w:val="99"/>
    <w:qFormat/>
    <w:rsid w:val="0090617D"/>
    <w:pPr>
      <w:jc w:val="center"/>
    </w:pPr>
    <w:rPr>
      <w:b/>
      <w:bCs/>
    </w:rPr>
  </w:style>
  <w:style w:type="character" w:customStyle="1" w:styleId="TitleChar">
    <w:name w:val="Title Char"/>
    <w:basedOn w:val="DefaultParagraphFont"/>
    <w:link w:val="Title"/>
    <w:uiPriority w:val="99"/>
    <w:locked/>
    <w:rsid w:val="0090617D"/>
    <w:rPr>
      <w:rFonts w:eastAsia="Times New Roman" w:cs="Times New Roman"/>
      <w:b/>
      <w:bCs/>
      <w:sz w:val="24"/>
      <w:szCs w:val="24"/>
    </w:rPr>
  </w:style>
  <w:style w:type="paragraph" w:styleId="BodyTextIndent">
    <w:name w:val="Body Text Indent"/>
    <w:basedOn w:val="Normal"/>
    <w:link w:val="BodyTextIndentChar"/>
    <w:uiPriority w:val="99"/>
    <w:rsid w:val="0090617D"/>
    <w:pPr>
      <w:ind w:left="708"/>
      <w:jc w:val="both"/>
    </w:pPr>
    <w:rPr>
      <w:rFonts w:ascii="Calibri" w:hAnsi="Calibri"/>
      <w:bCs/>
    </w:rPr>
  </w:style>
  <w:style w:type="character" w:customStyle="1" w:styleId="BodyTextIndentChar">
    <w:name w:val="Body Text Indent Char"/>
    <w:basedOn w:val="DefaultParagraphFont"/>
    <w:link w:val="BodyTextIndent"/>
    <w:uiPriority w:val="99"/>
    <w:locked/>
    <w:rsid w:val="0090617D"/>
    <w:rPr>
      <w:rFonts w:ascii="Calibri" w:hAnsi="Calibri" w:cs="Times New Roman"/>
      <w:bCs/>
      <w:sz w:val="24"/>
      <w:szCs w:val="24"/>
    </w:rPr>
  </w:style>
  <w:style w:type="character" w:styleId="PageNumber">
    <w:name w:val="page number"/>
    <w:basedOn w:val="DefaultParagraphFont"/>
    <w:uiPriority w:val="99"/>
    <w:rsid w:val="00D6679B"/>
    <w:rPr>
      <w:rFonts w:cs="Times New Roman"/>
    </w:rPr>
  </w:style>
  <w:style w:type="paragraph" w:styleId="BodyText">
    <w:name w:val="Body Text"/>
    <w:basedOn w:val="Normal"/>
    <w:link w:val="BodyTextChar"/>
    <w:uiPriority w:val="99"/>
    <w:rsid w:val="00050CDC"/>
    <w:pPr>
      <w:spacing w:after="120"/>
    </w:pPr>
  </w:style>
  <w:style w:type="character" w:customStyle="1" w:styleId="BodyTextChar">
    <w:name w:val="Body Text Char"/>
    <w:basedOn w:val="DefaultParagraphFont"/>
    <w:link w:val="BodyText"/>
    <w:uiPriority w:val="99"/>
    <w:locked/>
    <w:rsid w:val="00050CDC"/>
    <w:rPr>
      <w:rFonts w:eastAsia="Times New Roman" w:cs="Times New Roman"/>
      <w:sz w:val="24"/>
      <w:szCs w:val="24"/>
    </w:rPr>
  </w:style>
  <w:style w:type="character" w:customStyle="1" w:styleId="CommentTextChar">
    <w:name w:val="Comment Text Char"/>
    <w:uiPriority w:val="99"/>
    <w:semiHidden/>
    <w:locked/>
    <w:rsid w:val="00050CDC"/>
    <w:rPr>
      <w:rFonts w:eastAsia="Times New Roman"/>
      <w:sz w:val="20"/>
      <w:lang w:eastAsia="en-US"/>
    </w:rPr>
  </w:style>
  <w:style w:type="paragraph" w:styleId="CommentText">
    <w:name w:val="annotation text"/>
    <w:basedOn w:val="Normal"/>
    <w:link w:val="CommentTextChar1"/>
    <w:uiPriority w:val="99"/>
    <w:semiHidden/>
    <w:rsid w:val="00050CDC"/>
    <w:rPr>
      <w:sz w:val="20"/>
      <w:szCs w:val="20"/>
      <w:lang w:eastAsia="en-US"/>
    </w:rPr>
  </w:style>
  <w:style w:type="character" w:customStyle="1" w:styleId="CommentTextChar1">
    <w:name w:val="Comment Text Char1"/>
    <w:basedOn w:val="DefaultParagraphFont"/>
    <w:link w:val="CommentText"/>
    <w:uiPriority w:val="99"/>
    <w:semiHidden/>
    <w:locked/>
    <w:rsid w:val="00810807"/>
    <w:rPr>
      <w:rFonts w:cs="Times New Roman"/>
      <w:sz w:val="20"/>
      <w:szCs w:val="20"/>
    </w:rPr>
  </w:style>
  <w:style w:type="character" w:customStyle="1" w:styleId="CommentSubjectChar">
    <w:name w:val="Comment Subject Char"/>
    <w:uiPriority w:val="99"/>
    <w:semiHidden/>
    <w:locked/>
    <w:rsid w:val="00050CDC"/>
    <w:rPr>
      <w:rFonts w:eastAsia="Times New Roman"/>
      <w:b/>
      <w:sz w:val="20"/>
      <w:lang w:eastAsia="en-US"/>
    </w:rPr>
  </w:style>
  <w:style w:type="paragraph" w:styleId="CommentSubject">
    <w:name w:val="annotation subject"/>
    <w:basedOn w:val="CommentText"/>
    <w:next w:val="CommentText"/>
    <w:link w:val="CommentSubjectChar1"/>
    <w:uiPriority w:val="99"/>
    <w:semiHidden/>
    <w:rsid w:val="00050CDC"/>
    <w:rPr>
      <w:b/>
      <w:bCs/>
    </w:rPr>
  </w:style>
  <w:style w:type="character" w:customStyle="1" w:styleId="CommentSubjectChar1">
    <w:name w:val="Comment Subject Char1"/>
    <w:basedOn w:val="CommentTextChar"/>
    <w:link w:val="CommentSubject"/>
    <w:uiPriority w:val="99"/>
    <w:semiHidden/>
    <w:locked/>
    <w:rsid w:val="00810807"/>
    <w:rPr>
      <w:rFonts w:eastAsia="Times New Roman" w:cs="Times New Roman"/>
      <w:b/>
      <w:bCs/>
      <w:sz w:val="20"/>
      <w:szCs w:val="20"/>
      <w:lang w:eastAsia="en-US"/>
    </w:rPr>
  </w:style>
  <w:style w:type="character" w:styleId="Strong">
    <w:name w:val="Strong"/>
    <w:basedOn w:val="DefaultParagraphFont"/>
    <w:uiPriority w:val="99"/>
    <w:qFormat/>
    <w:locked/>
    <w:rsid w:val="00050CDC"/>
    <w:rPr>
      <w:rFonts w:cs="Times New Roman"/>
      <w:b/>
    </w:rPr>
  </w:style>
  <w:style w:type="character" w:customStyle="1" w:styleId="ZkladntextChar4">
    <w:name w:val="Základný text Char4"/>
    <w:uiPriority w:val="99"/>
    <w:semiHidden/>
    <w:rsid w:val="00527B14"/>
    <w:rPr>
      <w:color w:val="000000"/>
    </w:rPr>
  </w:style>
  <w:style w:type="paragraph" w:styleId="NoSpacing">
    <w:name w:val="No Spacing"/>
    <w:uiPriority w:val="99"/>
    <w:qFormat/>
    <w:rsid w:val="004948C5"/>
    <w:pPr>
      <w:tabs>
        <w:tab w:val="left" w:pos="540"/>
      </w:tabs>
      <w:jc w:val="both"/>
    </w:pPr>
    <w:rPr>
      <w:color w:val="00B0F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539B-2F72-4A15-933C-72B06609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1886</Words>
  <Characters>10753</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(5) Na základe rozhodnutia o zhode alebo záverečného protokolu môže výrobca, ministerstvo obrany alebo ministerstvo vnútra predĺžiť technickú životnosť výbušniny, výbušného predmetu alebo munície</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Na základe rozhodnutia o zhode alebo záverečného protokolu môže výrobca, ministerstvo obrany alebo ministerstvo vnútra predĺžiť technickú životnosť výbušniny, výbušného predmetu alebo munície</dc:title>
  <dc:subject/>
  <dc:creator>Alexandra</dc:creator>
  <cp:keywords/>
  <dc:description/>
  <cp:lastModifiedBy>Liana Brili</cp:lastModifiedBy>
  <cp:revision>7</cp:revision>
  <cp:lastPrinted>2021-08-24T13:54:00Z</cp:lastPrinted>
  <dcterms:created xsi:type="dcterms:W3CDTF">2021-08-24T07:02:00Z</dcterms:created>
  <dcterms:modified xsi:type="dcterms:W3CDTF">2021-09-07T13:42:00Z</dcterms:modified>
</cp:coreProperties>
</file>