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 xml:space="preserve">7 gennaio 2021</w:t>
      </w:r>
      <w:r>
        <w:tab/>
      </w:r>
      <w:r>
        <w:t xml:space="preserve">Regolamento n. 19</w:t>
      </w:r>
    </w:p>
    <w:p w14:paraId="1C495F9E" w14:textId="3C7F2203" w:rsidR="00AF1E99" w:rsidRPr="003342A9" w:rsidRDefault="00AF1E99" w:rsidP="00E727FB">
      <w:pPr>
        <w:tabs>
          <w:tab w:val="left" w:pos="6210"/>
        </w:tabs>
        <w:rPr>
          <w:szCs w:val="28"/>
        </w:rPr>
      </w:pPr>
      <w:r>
        <w:t xml:space="preserve">In Riga</w:t>
      </w:r>
      <w:r>
        <w:tab/>
      </w:r>
      <w:r>
        <w:t xml:space="preserve">(Verbale n. 2 articolo 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Regolamento sulle piante e sulle parti di piante vietate ai fini dell'uso negli alimenti</w:t>
      </w:r>
      <w:r>
        <w:rPr>
          <w:b/>
        </w:rPr>
        <w:t xml:space="preserve">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Emanato ai sensi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dell'articolo 4, paragrafo 18 della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legge sulla supervisione della gestione degli alimenti</w:t>
      </w:r>
      <w:r>
        <w:t xml:space="preserve">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 xml:space="preserve">1.</w:t>
      </w:r>
      <w:r>
        <w:rPr>
          <w:color w:val="000000"/>
        </w:rPr>
        <w:t xml:space="preserve"> </w:t>
      </w:r>
      <w:r>
        <w:rPr>
          <w:color w:val="000000"/>
        </w:rPr>
        <w:t xml:space="preserve">Il regolamento stabilisce </w:t>
      </w:r>
      <w:r>
        <w:t xml:space="preserve"> le piante e le parti di piante vietate ai fini dell'uso negli alimenti, quali definite all'allegato del presente regolamento.</w:t>
      </w:r>
      <w:r>
        <w:t xml:space="preserve">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 xml:space="preserve">2.</w:t>
      </w:r>
      <w:r>
        <w:rPr>
          <w:color w:val="000000" w:themeColor="text1"/>
        </w:rPr>
        <w:t xml:space="preserve"> </w:t>
      </w:r>
      <w:r>
        <w:rPr>
          <w:color w:val="000000" w:themeColor="text1"/>
          <w:shd w:val="clear" w:color="auto" w:fill="FFFFFF"/>
        </w:rPr>
        <w:t xml:space="preserve">Alimenti legalmente commercializzati in un altro </w:t>
      </w:r>
      <w:r>
        <w:rPr>
          <w:color w:val="000000" w:themeColor="text1"/>
          <w:rStyle w:val="highlight"/>
        </w:rPr>
        <w:t xml:space="preserve">Stato membro dell'Unione europea o in Turchia</w:t>
      </w:r>
      <w:r>
        <w:rPr>
          <w:color w:val="000000" w:themeColor="text1"/>
          <w:shd w:val="clear" w:color="auto" w:fill="FFFFFF"/>
        </w:rPr>
        <w:t xml:space="preserve"> o originari e legalmente commercializzati in uno dei paesi dell'Associazione europea di libero scambio che è parte contraente dell'accordo sullo Spazio economico europeo possono essere distribuiti sul mercato lettone nel rispetto della legislazione dell'Unione europea direttamente applicabile in materia di reciproco riconoscimento delle merci.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 xml:space="preserve">Riferimenti alla Direttiva dell'Unione europea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 xml:space="preserve">Le disposizioni giuridiche sono concordate con la Commissione europea e gli Stati membri dell'Unione europea in conformità della direttiva (UE) 2015/1535 del Parlamento europeo e del Consiglio, del 9 settembre 2015, che prevede una procedura d’informazione nel settore delle regolamentazioni tecniche e delle regole relative ai servizi della società dell’informazione.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sz w:val="28"/>
          <w:color w:val="auto"/>
          <w:rFonts w:ascii="Times New Roman" w:hAnsi="Times New Roman"/>
        </w:rPr>
        <w:t xml:space="preserve">Il Primo ministro</w:t>
      </w:r>
      <w:r>
        <w:rPr>
          <w:sz w:val="28"/>
          <w:color w:val="auto"/>
          <w:rFonts w:ascii="Times New Roman" w:hAnsi="Times New Roman"/>
        </w:rPr>
        <w:tab/>
      </w:r>
      <w:r>
        <w:rPr>
          <w:sz w:val="28"/>
          <w:rFonts w:ascii="Times New Roman" w:hAnsi="Times New Roman"/>
        </w:rPr>
        <w:t xml:space="preserve">A. </w:t>
      </w:r>
      <w:r>
        <w:rPr>
          <w:sz w:val="28"/>
          <w:color w:val="auto"/>
          <w:rFonts w:ascii="Times New Roman" w:hAnsi="Times New Roman"/>
        </w:rPr>
        <w:t xml:space="preserve">K. Kariņš</w:t>
      </w:r>
    </w:p>
    <w:p w14:paraId="229806FC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3D50C5C4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5EBFD056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Il ministro dell'Agricoltura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 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Allegato</w:t>
      </w:r>
      <w:r>
        <w:t xml:space="preserve">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al regolamento del Gabinetto</w:t>
      </w:r>
      <w:r>
        <w:t xml:space="preserve">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N. 19 del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7 gennaio 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 xml:space="preserve">Piante e parti di piante vietate ai fini dell'uso negli alimenti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N.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Nome della pianta in italiano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Denominazione botanica della pianta in latino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Pianta o parte di pianta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Adonide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Palma di Betel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 xml:space="preserve">L'intera pianta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Aristolochia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montana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Arnica montana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chamissonis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L'intera pianta</w:t>
            </w:r>
            <w:r>
              <w:rPr>
                <w:sz w:val="24"/>
                <w:b/>
                <w:color w:val="FF0000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Farinello antielmintico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color w:val="000000" w:themeColor="text1"/>
                <w:sz w:val="24"/>
                <w:i/>
              </w:rPr>
              <w:t xml:space="preserve"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Baptisia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Dulcamara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Atropa belladonna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i/>
                <w:color w:val="000000" w:themeColor="text1"/>
              </w:rPr>
              <w:t xml:space="preserve">Atropa </w:t>
            </w:r>
            <w:r>
              <w:rPr>
                <w:sz w:val="24"/>
                <w:i/>
              </w:rPr>
              <w:t xml:space="preserve">belladonna</w:t>
            </w:r>
            <w:r>
              <w:rPr>
                <w:sz w:val="24"/>
              </w:rPr>
              <w:t xml:space="preserve"> L.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L'intera pianta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Corydalis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Uva di volpe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Euforbia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Dieffenbachia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Giusquiamo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Efedra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131413"/>
                <w:sz w:val="24"/>
                <w:i/>
              </w:rPr>
              <w:t xml:space="preserve"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Brugmansia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Brugmansia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Felce aquilina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Uva turca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Fritillaria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Gelsemium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Gelsemium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Heliotropium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Ipecacuana del Nicaragua, ipecacuana di Panama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Karst., syn. </w:t>
            </w:r>
            <w:r>
              <w:rPr>
                <w:color w:val="000000" w:themeColor="text1"/>
                <w:sz w:val="24"/>
                <w:i/>
              </w:rPr>
              <w:t xml:space="preserve">Uragoga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O. Kuntze, </w:t>
            </w:r>
            <w:r>
              <w:rPr>
                <w:color w:val="000000" w:themeColor="text1"/>
                <w:sz w:val="24"/>
                <w:i/>
              </w:rPr>
              <w:t xml:space="preserve"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Radici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Ipecacuana di Rio, ipecacuana del Brasile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A. Rich. syn. </w:t>
            </w:r>
            <w:r>
              <w:rPr>
                <w:color w:val="000000" w:themeColor="text1"/>
                <w:sz w:val="24"/>
                <w:i/>
              </w:rPr>
              <w:t xml:space="preserve">Uragoga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Baill., </w:t>
            </w:r>
            <w:r>
              <w:rPr>
                <w:color w:val="000000" w:themeColor="text1"/>
                <w:sz w:val="24"/>
                <w:i/>
              </w:rPr>
              <w:t xml:space="preserve">Psychotria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Muell, Arg.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(auch Stokes)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Radici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Agrifoglio comune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Foglie, frutti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Yohimbe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rStyle w:val="italics"/>
              </w:rPr>
              <w:t xml:space="preserve">Pausinystalia yohimbe</w:t>
            </w:r>
            <w:r>
              <w:rPr>
                <w:color w:val="000000" w:themeColor="text1"/>
                <w:sz w:val="24"/>
                <w:i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Corteccia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Pervinca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Pervinca del Madagascar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Catharanthus roseus</w:t>
            </w:r>
            <w:r>
              <w:rPr>
                <w:color w:val="000000" w:themeColor="text1"/>
                <w:sz w:val="24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Mughetto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Senecione di S. Giacomo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Asaro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L'intera pianta</w:t>
            </w:r>
            <w:r>
              <w:rPr>
                <w:sz w:val="24"/>
                <w:color w:val="FF0000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Aconito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Lobelia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Mandragola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Menispermo rampicante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Frutti, radici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Sigillo di Salomone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Morella comune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nigrum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Oleandro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Aquilegia comune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L'intera pianta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Felce maschio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Jaborandi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Pilocarpus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Piscidia piscipula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Sassafrasso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Bryonia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  <w:color w:val="000000" w:themeColor="text1"/>
                <w:sz w:val="24"/>
                <w:szCs w:val="24"/>
                <w:rFonts w:eastAsia="Calibri"/>
              </w:rPr>
            </w:pPr>
            <w:r>
              <w:rPr>
                <w:color w:val="000000" w:themeColor="text1"/>
                <w:sz w:val="24"/>
                <w:i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Noce vomica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Strophanthus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Cohosh blu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color w:val="000000" w:themeColor="text1"/>
                <w:sz w:val="24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Cicuta maggiore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Consolida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Tuia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Drimia maritima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Bulbi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Digitale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Stramonio comune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Datura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Veratro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Colchico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Anemone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Fior di stecco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Maggiociondolo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L'intera pianta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Il ministro dell'Agricoltura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 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F700" w14:textId="77777777" w:rsidR="00E340AE" w:rsidRDefault="00E340AE" w:rsidP="004B3C2F">
      <w:r>
        <w:separator/>
      </w:r>
    </w:p>
  </w:endnote>
  <w:endnote w:type="continuationSeparator" w:id="0">
    <w:p w14:paraId="66D68A6A" w14:textId="77777777" w:rsidR="00E340AE" w:rsidRDefault="00E340AE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71B3" w14:textId="77777777" w:rsidR="00E340AE" w:rsidRDefault="00E340AE" w:rsidP="004B3C2F">
      <w:r>
        <w:separator/>
      </w:r>
    </w:p>
  </w:footnote>
  <w:footnote w:type="continuationSeparator" w:id="0">
    <w:p w14:paraId="6907ADB8" w14:textId="77777777" w:rsidR="00E340AE" w:rsidRDefault="00E340AE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7</cp:revision>
  <cp:lastPrinted>2020-12-17T08:29:00Z</cp:lastPrinted>
  <dcterms:created xsi:type="dcterms:W3CDTF">2021-01-28T10:51:00Z</dcterms:created>
  <dcterms:modified xsi:type="dcterms:W3CDTF">2021-08-27T14:16:00Z</dcterms:modified>
  <cp:category/>
</cp:coreProperties>
</file>