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NÁVRH HLAV NÁVRHU ZÁKONA</w:t>
      </w:r>
    </w:p>
    <w:p w14:paraId="58D6E3A3" w14:textId="18E2AD2E" w:rsidR="008803E5" w:rsidRPr="00835148" w:rsidRDefault="008803E5" w:rsidP="00883C74">
      <w:pPr>
        <w:pStyle w:val="TOCHeading"/>
        <w:spacing w:before="240"/>
        <w:jc w:val="center"/>
      </w:pPr>
      <w:r>
        <w:t>ČÁST 4A NÁVRHU ZÁKONA O VOLEBNÍ REFORMĚ Z ROKU 2022</w:t>
      </w:r>
    </w:p>
    <w:p w14:paraId="2B7A6478" w14:textId="04763F9F" w:rsidR="003C524C" w:rsidRPr="00835148" w:rsidRDefault="003C524C" w:rsidP="00883C74">
      <w:pPr>
        <w:pStyle w:val="TOCHeading"/>
        <w:spacing w:before="240" w:after="120"/>
        <w:jc w:val="center"/>
      </w:pPr>
      <w:r>
        <w:t xml:space="preserve">REGULACE INFORMACÍ O VOLEBNÍM PROCESU, ON-LINE INFORMACÍ O VOLBÁCH A MANIPULATIVNÍHO NEBO NEAUTENTICKÉHO CHOVÁNÍ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9435E9" w:rsidRDefault="003C524C" w:rsidP="009A3E29">
      <w:pPr>
        <w:jc w:val="center"/>
        <w:rPr>
          <w:rFonts w:ascii="Times New Roman" w:hAnsi="Times New Roman" w:cs="Times New Roman"/>
          <w:sz w:val="20"/>
          <w:szCs w:val="20"/>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Obsah</w:t>
          </w:r>
        </w:p>
        <w:p w14:paraId="5A9FA4B7" w14:textId="752B52FE" w:rsidR="009435E9" w:rsidRPr="009435E9" w:rsidRDefault="003C524C">
          <w:pPr>
            <w:pStyle w:val="TOC1"/>
            <w:rPr>
              <w:rFonts w:asciiTheme="minorHAnsi" w:eastAsiaTheme="minorEastAsia" w:hAnsiTheme="minorHAnsi" w:cstheme="minorBidi"/>
              <w:b w:val="0"/>
              <w:bCs w:val="0"/>
              <w:sz w:val="20"/>
              <w:szCs w:val="20"/>
              <w:lang w:val="en-US"/>
            </w:rPr>
          </w:pPr>
          <w:r w:rsidRPr="00883C74">
            <w:rPr>
              <w:b w:val="0"/>
              <w:sz w:val="20"/>
            </w:rPr>
            <w:fldChar w:fldCharType="begin"/>
          </w:r>
          <w:r w:rsidRPr="00883C74">
            <w:rPr>
              <w:b w:val="0"/>
              <w:sz w:val="20"/>
            </w:rPr>
            <w:instrText xml:space="preserve"> TOC \o "1-3" \h \z \u </w:instrText>
          </w:r>
          <w:r w:rsidRPr="00883C74">
            <w:rPr>
              <w:b w:val="0"/>
              <w:sz w:val="20"/>
            </w:rPr>
            <w:fldChar w:fldCharType="separate"/>
          </w:r>
          <w:hyperlink w:anchor="_Toc106274784" w:history="1">
            <w:r w:rsidR="009435E9" w:rsidRPr="009435E9">
              <w:rPr>
                <w:rStyle w:val="Hyperlink"/>
                <w:b w:val="0"/>
                <w:bCs w:val="0"/>
                <w:sz w:val="20"/>
                <w:szCs w:val="20"/>
              </w:rPr>
              <w:t>Kapitola 1: Úvod</w:t>
            </w:r>
            <w:r w:rsidR="009435E9" w:rsidRPr="009435E9">
              <w:rPr>
                <w:b w:val="0"/>
                <w:bCs w:val="0"/>
                <w:webHidden/>
                <w:sz w:val="20"/>
                <w:szCs w:val="20"/>
              </w:rPr>
              <w:tab/>
            </w:r>
            <w:r w:rsidR="009435E9" w:rsidRPr="009435E9">
              <w:rPr>
                <w:b w:val="0"/>
                <w:bCs w:val="0"/>
                <w:webHidden/>
                <w:sz w:val="20"/>
                <w:szCs w:val="20"/>
              </w:rPr>
              <w:fldChar w:fldCharType="begin"/>
            </w:r>
            <w:r w:rsidR="009435E9" w:rsidRPr="009435E9">
              <w:rPr>
                <w:b w:val="0"/>
                <w:bCs w:val="0"/>
                <w:webHidden/>
                <w:sz w:val="20"/>
                <w:szCs w:val="20"/>
              </w:rPr>
              <w:instrText xml:space="preserve"> PAGEREF _Toc106274784 \h </w:instrText>
            </w:r>
            <w:r w:rsidR="009435E9" w:rsidRPr="009435E9">
              <w:rPr>
                <w:b w:val="0"/>
                <w:bCs w:val="0"/>
                <w:webHidden/>
                <w:sz w:val="20"/>
                <w:szCs w:val="20"/>
              </w:rPr>
            </w:r>
            <w:r w:rsidR="009435E9" w:rsidRPr="009435E9">
              <w:rPr>
                <w:b w:val="0"/>
                <w:bCs w:val="0"/>
                <w:webHidden/>
                <w:sz w:val="20"/>
                <w:szCs w:val="20"/>
              </w:rPr>
              <w:fldChar w:fldCharType="separate"/>
            </w:r>
            <w:r w:rsidR="009435E9" w:rsidRPr="009435E9">
              <w:rPr>
                <w:b w:val="0"/>
                <w:bCs w:val="0"/>
                <w:webHidden/>
                <w:sz w:val="20"/>
                <w:szCs w:val="20"/>
              </w:rPr>
              <w:t>3</w:t>
            </w:r>
            <w:r w:rsidR="009435E9" w:rsidRPr="009435E9">
              <w:rPr>
                <w:b w:val="0"/>
                <w:bCs w:val="0"/>
                <w:webHidden/>
                <w:sz w:val="20"/>
                <w:szCs w:val="20"/>
              </w:rPr>
              <w:fldChar w:fldCharType="end"/>
            </w:r>
          </w:hyperlink>
        </w:p>
        <w:p w14:paraId="397EF345" w14:textId="38231582" w:rsidR="009435E9" w:rsidRPr="009435E9" w:rsidRDefault="009435E9">
          <w:pPr>
            <w:pStyle w:val="TOC1"/>
            <w:rPr>
              <w:rFonts w:asciiTheme="minorHAnsi" w:eastAsiaTheme="minorEastAsia" w:hAnsiTheme="minorHAnsi" w:cstheme="minorBidi"/>
              <w:b w:val="0"/>
              <w:bCs w:val="0"/>
              <w:sz w:val="20"/>
              <w:szCs w:val="20"/>
              <w:lang w:val="en-US"/>
            </w:rPr>
          </w:pPr>
          <w:hyperlink w:anchor="_Toc106274785" w:history="1">
            <w:r w:rsidRPr="009435E9">
              <w:rPr>
                <w:rStyle w:val="Hyperlink"/>
                <w:b w:val="0"/>
                <w:bCs w:val="0"/>
                <w:sz w:val="20"/>
                <w:szCs w:val="20"/>
              </w:rPr>
              <w:t>Hlava 1: Další definice, pokud jde o část 4A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_Toc106274785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3</w:t>
            </w:r>
            <w:r w:rsidRPr="009435E9">
              <w:rPr>
                <w:b w:val="0"/>
                <w:bCs w:val="0"/>
                <w:webHidden/>
                <w:sz w:val="20"/>
                <w:szCs w:val="20"/>
              </w:rPr>
              <w:fldChar w:fldCharType="end"/>
            </w:r>
          </w:hyperlink>
        </w:p>
        <w:p w14:paraId="56478265" w14:textId="77B5ECAA" w:rsidR="009435E9" w:rsidRPr="009435E9" w:rsidRDefault="009435E9">
          <w:pPr>
            <w:pStyle w:val="TOC1"/>
            <w:rPr>
              <w:rFonts w:asciiTheme="minorHAnsi" w:eastAsiaTheme="minorEastAsia" w:hAnsiTheme="minorHAnsi" w:cstheme="minorBidi"/>
              <w:b w:val="0"/>
              <w:bCs w:val="0"/>
              <w:sz w:val="20"/>
              <w:szCs w:val="20"/>
              <w:lang w:val="en-US"/>
            </w:rPr>
          </w:pPr>
          <w:hyperlink w:anchor="_Toc106274786" w:history="1">
            <w:r w:rsidRPr="009435E9">
              <w:rPr>
                <w:rStyle w:val="Hyperlink"/>
                <w:b w:val="0"/>
                <w:bCs w:val="0"/>
                <w:sz w:val="20"/>
                <w:szCs w:val="20"/>
              </w:rPr>
              <w:t>Hlava 2: Funkce komise, pokud jde o on-line informace o volbách a manipulativní nebo neautentické chování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_Toc106274786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6</w:t>
            </w:r>
            <w:r w:rsidRPr="009435E9">
              <w:rPr>
                <w:b w:val="0"/>
                <w:bCs w:val="0"/>
                <w:webHidden/>
                <w:sz w:val="20"/>
                <w:szCs w:val="20"/>
              </w:rPr>
              <w:fldChar w:fldCharType="end"/>
            </w:r>
          </w:hyperlink>
        </w:p>
        <w:p w14:paraId="10623EDA" w14:textId="0057D69C" w:rsidR="009435E9" w:rsidRPr="009435E9" w:rsidRDefault="009435E9">
          <w:pPr>
            <w:pStyle w:val="TOC1"/>
            <w:rPr>
              <w:rFonts w:asciiTheme="minorHAnsi" w:eastAsiaTheme="minorEastAsia" w:hAnsiTheme="minorHAnsi" w:cstheme="minorBidi"/>
              <w:b w:val="0"/>
              <w:bCs w:val="0"/>
              <w:sz w:val="20"/>
              <w:szCs w:val="20"/>
              <w:lang w:val="en-US"/>
            </w:rPr>
          </w:pPr>
          <w:hyperlink w:anchor="_Toc106274787" w:history="1">
            <w:r w:rsidRPr="009435E9">
              <w:rPr>
                <w:rStyle w:val="Hyperlink"/>
                <w:b w:val="0"/>
                <w:bCs w:val="0"/>
                <w:sz w:val="20"/>
                <w:szCs w:val="20"/>
              </w:rPr>
              <w:t>Hlava 3: Zřízení a úloha poradního výboru</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_Toc106274787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6</w:t>
            </w:r>
            <w:r w:rsidRPr="009435E9">
              <w:rPr>
                <w:b w:val="0"/>
                <w:bCs w:val="0"/>
                <w:webHidden/>
                <w:sz w:val="20"/>
                <w:szCs w:val="20"/>
              </w:rPr>
              <w:fldChar w:fldCharType="end"/>
            </w:r>
          </w:hyperlink>
        </w:p>
        <w:p w14:paraId="2411E2BA" w14:textId="0A6FF235" w:rsidR="009435E9" w:rsidRPr="009435E9" w:rsidRDefault="009435E9">
          <w:pPr>
            <w:pStyle w:val="TOC1"/>
            <w:rPr>
              <w:rFonts w:asciiTheme="minorHAnsi" w:eastAsiaTheme="minorEastAsia" w:hAnsiTheme="minorHAnsi" w:cstheme="minorBidi"/>
              <w:b w:val="0"/>
              <w:bCs w:val="0"/>
              <w:sz w:val="20"/>
              <w:szCs w:val="20"/>
              <w:lang w:val="en-US"/>
            </w:rPr>
          </w:pPr>
          <w:hyperlink w:anchor="_Toc106274788" w:history="1">
            <w:r w:rsidRPr="009435E9">
              <w:rPr>
                <w:rStyle w:val="Hyperlink"/>
                <w:b w:val="0"/>
                <w:bCs w:val="0"/>
                <w:sz w:val="20"/>
                <w:szCs w:val="20"/>
              </w:rPr>
              <w:t>Hlava 4: Zřízení a úloha rady zúčastněných stran</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_Toc106274788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7</w:t>
            </w:r>
            <w:r w:rsidRPr="009435E9">
              <w:rPr>
                <w:b w:val="0"/>
                <w:bCs w:val="0"/>
                <w:webHidden/>
                <w:sz w:val="20"/>
                <w:szCs w:val="20"/>
              </w:rPr>
              <w:fldChar w:fldCharType="end"/>
            </w:r>
          </w:hyperlink>
        </w:p>
        <w:p w14:paraId="5D33AF84" w14:textId="3A2E645E" w:rsidR="009435E9" w:rsidRPr="009435E9" w:rsidRDefault="009435E9">
          <w:pPr>
            <w:pStyle w:val="TOC1"/>
            <w:rPr>
              <w:rFonts w:asciiTheme="minorHAnsi" w:eastAsiaTheme="minorEastAsia" w:hAnsiTheme="minorHAnsi" w:cstheme="minorBidi"/>
              <w:b w:val="0"/>
              <w:bCs w:val="0"/>
              <w:sz w:val="20"/>
              <w:szCs w:val="20"/>
              <w:lang w:val="en-US"/>
            </w:rPr>
          </w:pPr>
          <w:hyperlink w:anchor="_Toc106274789" w:history="1">
            <w:r w:rsidRPr="009435E9">
              <w:rPr>
                <w:rStyle w:val="Hyperlink"/>
                <w:b w:val="0"/>
                <w:bCs w:val="0"/>
                <w:sz w:val="20"/>
                <w:szCs w:val="20"/>
              </w:rPr>
              <w:t>[Hlava 5 byla zrušena]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_Toc106274789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8</w:t>
            </w:r>
            <w:r w:rsidRPr="009435E9">
              <w:rPr>
                <w:b w:val="0"/>
                <w:bCs w:val="0"/>
                <w:webHidden/>
                <w:sz w:val="20"/>
                <w:szCs w:val="20"/>
              </w:rPr>
              <w:fldChar w:fldCharType="end"/>
            </w:r>
          </w:hyperlink>
        </w:p>
        <w:p w14:paraId="22E152C4" w14:textId="587C4AC1" w:rsidR="009435E9" w:rsidRPr="009435E9" w:rsidRDefault="009435E9">
          <w:pPr>
            <w:pStyle w:val="TOC1"/>
            <w:rPr>
              <w:rFonts w:asciiTheme="minorHAnsi" w:eastAsiaTheme="minorEastAsia" w:hAnsiTheme="minorHAnsi" w:cstheme="minorBidi"/>
              <w:b w:val="0"/>
              <w:bCs w:val="0"/>
              <w:sz w:val="20"/>
              <w:szCs w:val="20"/>
              <w:lang w:val="en-US"/>
            </w:rPr>
          </w:pPr>
          <w:hyperlink w:anchor="_Toc106274790" w:history="1">
            <w:r w:rsidRPr="009435E9">
              <w:rPr>
                <w:rStyle w:val="Hyperlink"/>
                <w:b w:val="0"/>
                <w:bCs w:val="0"/>
                <w:sz w:val="20"/>
                <w:szCs w:val="20"/>
              </w:rPr>
              <w:t>Hlava 6: Povinnost on-line platforem poskytovat informace komisi</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_Toc106274790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8</w:t>
            </w:r>
            <w:r w:rsidRPr="009435E9">
              <w:rPr>
                <w:b w:val="0"/>
                <w:bCs w:val="0"/>
                <w:webHidden/>
                <w:sz w:val="20"/>
                <w:szCs w:val="20"/>
              </w:rPr>
              <w:fldChar w:fldCharType="end"/>
            </w:r>
          </w:hyperlink>
        </w:p>
        <w:p w14:paraId="3930EDB0" w14:textId="15FDF7DC" w:rsidR="009435E9" w:rsidRPr="009435E9" w:rsidRDefault="009435E9">
          <w:pPr>
            <w:pStyle w:val="TOC1"/>
            <w:rPr>
              <w:rFonts w:asciiTheme="minorHAnsi" w:eastAsiaTheme="minorEastAsia" w:hAnsiTheme="minorHAnsi" w:cstheme="minorBidi"/>
              <w:b w:val="0"/>
              <w:bCs w:val="0"/>
              <w:sz w:val="20"/>
              <w:szCs w:val="20"/>
              <w:lang w:val="en-US"/>
            </w:rPr>
          </w:pPr>
          <w:hyperlink w:anchor="_Toc106274791" w:history="1">
            <w:r w:rsidRPr="009435E9">
              <w:rPr>
                <w:rStyle w:val="Hyperlink"/>
                <w:b w:val="0"/>
                <w:bCs w:val="0"/>
                <w:sz w:val="20"/>
                <w:szCs w:val="20"/>
              </w:rPr>
              <w:t>Hlava 7: Povinnost on-line platformy zavést mechanismus oznamování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_Toc106274791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9</w:t>
            </w:r>
            <w:r w:rsidRPr="009435E9">
              <w:rPr>
                <w:b w:val="0"/>
                <w:bCs w:val="0"/>
                <w:webHidden/>
                <w:sz w:val="20"/>
                <w:szCs w:val="20"/>
              </w:rPr>
              <w:fldChar w:fldCharType="end"/>
            </w:r>
          </w:hyperlink>
        </w:p>
        <w:p w14:paraId="251B5387" w14:textId="42BC546C" w:rsidR="009435E9" w:rsidRPr="009435E9" w:rsidRDefault="009435E9">
          <w:pPr>
            <w:pStyle w:val="TOC1"/>
            <w:rPr>
              <w:rFonts w:asciiTheme="minorHAnsi" w:eastAsiaTheme="minorEastAsia" w:hAnsiTheme="minorHAnsi" w:cstheme="minorBidi"/>
              <w:b w:val="0"/>
              <w:bCs w:val="0"/>
              <w:sz w:val="20"/>
              <w:szCs w:val="20"/>
              <w:lang w:val="en-US"/>
            </w:rPr>
          </w:pPr>
          <w:hyperlink w:anchor="_Toc106274792" w:history="1">
            <w:r w:rsidRPr="009435E9">
              <w:rPr>
                <w:rStyle w:val="Hyperlink"/>
                <w:b w:val="0"/>
                <w:bCs w:val="0"/>
                <w:sz w:val="20"/>
                <w:szCs w:val="20"/>
              </w:rPr>
              <w:t>Kapitola 3: Pravomoci komise</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_Toc106274792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9</w:t>
            </w:r>
            <w:r w:rsidRPr="009435E9">
              <w:rPr>
                <w:b w:val="0"/>
                <w:bCs w:val="0"/>
                <w:webHidden/>
                <w:sz w:val="20"/>
                <w:szCs w:val="20"/>
              </w:rPr>
              <w:fldChar w:fldCharType="end"/>
            </w:r>
          </w:hyperlink>
        </w:p>
        <w:p w14:paraId="24602CAC" w14:textId="222D3128" w:rsidR="009435E9" w:rsidRPr="009435E9" w:rsidRDefault="009435E9">
          <w:pPr>
            <w:pStyle w:val="TOC1"/>
            <w:rPr>
              <w:rFonts w:asciiTheme="minorHAnsi" w:eastAsiaTheme="minorEastAsia" w:hAnsiTheme="minorHAnsi" w:cstheme="minorBidi"/>
              <w:b w:val="0"/>
              <w:bCs w:val="0"/>
              <w:sz w:val="20"/>
              <w:szCs w:val="20"/>
              <w:lang w:val="en-US"/>
            </w:rPr>
          </w:pPr>
          <w:hyperlink w:anchor="_Toc106274793" w:history="1">
            <w:r w:rsidRPr="009435E9">
              <w:rPr>
                <w:rStyle w:val="Hyperlink"/>
                <w:b w:val="0"/>
                <w:bCs w:val="0"/>
                <w:sz w:val="20"/>
                <w:szCs w:val="20"/>
              </w:rPr>
              <w:t>Hlava 8: Sledování on-line informací o volbách prováděné komisí a související vyšetřování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_Toc106274793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9</w:t>
            </w:r>
            <w:r w:rsidRPr="009435E9">
              <w:rPr>
                <w:b w:val="0"/>
                <w:bCs w:val="0"/>
                <w:webHidden/>
                <w:sz w:val="20"/>
                <w:szCs w:val="20"/>
              </w:rPr>
              <w:fldChar w:fldCharType="end"/>
            </w:r>
          </w:hyperlink>
        </w:p>
        <w:p w14:paraId="189E9907" w14:textId="467AC9DD" w:rsidR="009435E9" w:rsidRPr="009435E9" w:rsidRDefault="009435E9">
          <w:pPr>
            <w:pStyle w:val="TOC1"/>
            <w:rPr>
              <w:rFonts w:asciiTheme="minorHAnsi" w:eastAsiaTheme="minorEastAsia" w:hAnsiTheme="minorHAnsi" w:cstheme="minorBidi"/>
              <w:b w:val="0"/>
              <w:bCs w:val="0"/>
              <w:sz w:val="20"/>
              <w:szCs w:val="20"/>
              <w:lang w:val="en-US"/>
            </w:rPr>
          </w:pPr>
          <w:hyperlink w:anchor="_Toc106274794" w:history="1">
            <w:r w:rsidRPr="009435E9">
              <w:rPr>
                <w:rStyle w:val="Hyperlink"/>
                <w:b w:val="0"/>
                <w:bCs w:val="0"/>
                <w:sz w:val="20"/>
                <w:szCs w:val="20"/>
              </w:rPr>
              <w:t>Hlava 8A: Přenesení pravomocí komise na úředníka pověřeného prováděním politiky [nebo jiného člena komise]</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_Toc106274794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11</w:t>
            </w:r>
            <w:r w:rsidRPr="009435E9">
              <w:rPr>
                <w:b w:val="0"/>
                <w:bCs w:val="0"/>
                <w:webHidden/>
                <w:sz w:val="20"/>
                <w:szCs w:val="20"/>
              </w:rPr>
              <w:fldChar w:fldCharType="end"/>
            </w:r>
          </w:hyperlink>
        </w:p>
        <w:p w14:paraId="17617384" w14:textId="4B48D736" w:rsidR="009435E9" w:rsidRPr="009435E9" w:rsidRDefault="009435E9">
          <w:pPr>
            <w:pStyle w:val="TOC1"/>
            <w:rPr>
              <w:rFonts w:asciiTheme="minorHAnsi" w:eastAsiaTheme="minorEastAsia" w:hAnsiTheme="minorHAnsi" w:cstheme="minorBidi"/>
              <w:b w:val="0"/>
              <w:bCs w:val="0"/>
              <w:sz w:val="20"/>
              <w:szCs w:val="20"/>
              <w:lang w:val="en-US"/>
            </w:rPr>
          </w:pPr>
          <w:hyperlink w:anchor="_Toc106274795" w:history="1">
            <w:r w:rsidRPr="009435E9">
              <w:rPr>
                <w:rStyle w:val="Hyperlink"/>
                <w:b w:val="0"/>
                <w:bCs w:val="0"/>
                <w:sz w:val="20"/>
                <w:szCs w:val="20"/>
              </w:rPr>
              <w:t>Hlava 9: Požadavky na výkon pravomocí komise podle této části</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_Toc106274795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12</w:t>
            </w:r>
            <w:r w:rsidRPr="009435E9">
              <w:rPr>
                <w:b w:val="0"/>
                <w:bCs w:val="0"/>
                <w:webHidden/>
                <w:sz w:val="20"/>
                <w:szCs w:val="20"/>
              </w:rPr>
              <w:fldChar w:fldCharType="end"/>
            </w:r>
          </w:hyperlink>
        </w:p>
        <w:p w14:paraId="10995DDB" w14:textId="02BB9572" w:rsidR="009435E9" w:rsidRPr="009435E9" w:rsidRDefault="009435E9">
          <w:pPr>
            <w:pStyle w:val="TOC1"/>
            <w:rPr>
              <w:rFonts w:asciiTheme="minorHAnsi" w:eastAsiaTheme="minorEastAsia" w:hAnsiTheme="minorHAnsi" w:cstheme="minorBidi"/>
              <w:b w:val="0"/>
              <w:bCs w:val="0"/>
              <w:sz w:val="20"/>
              <w:szCs w:val="20"/>
              <w:lang w:val="en-US"/>
            </w:rPr>
          </w:pPr>
          <w:hyperlink w:anchor="_Toc106274796" w:history="1">
            <w:r w:rsidRPr="009435E9">
              <w:rPr>
                <w:rStyle w:val="Hyperlink"/>
                <w:b w:val="0"/>
                <w:bCs w:val="0"/>
                <w:sz w:val="20"/>
                <w:szCs w:val="20"/>
              </w:rPr>
              <w:t>Hlava 10: Pravomoci komise</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_Toc106274796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14</w:t>
            </w:r>
            <w:r w:rsidRPr="009435E9">
              <w:rPr>
                <w:b w:val="0"/>
                <w:bCs w:val="0"/>
                <w:webHidden/>
                <w:sz w:val="20"/>
                <w:szCs w:val="20"/>
              </w:rPr>
              <w:fldChar w:fldCharType="end"/>
            </w:r>
          </w:hyperlink>
        </w:p>
        <w:p w14:paraId="66B2584C" w14:textId="35A04004" w:rsidR="009435E9" w:rsidRPr="009435E9" w:rsidRDefault="009435E9">
          <w:pPr>
            <w:pStyle w:val="TOC2"/>
            <w:tabs>
              <w:tab w:val="left" w:pos="720"/>
              <w:tab w:val="right" w:leader="dot" w:pos="9010"/>
            </w:tabs>
            <w:rPr>
              <w:rFonts w:eastAsiaTheme="minorEastAsia"/>
              <w:b w:val="0"/>
              <w:bCs w:val="0"/>
              <w:noProof/>
              <w:sz w:val="20"/>
              <w:szCs w:val="20"/>
              <w:lang w:val="en-US"/>
            </w:rPr>
          </w:pPr>
          <w:hyperlink w:anchor="_Toc106274797" w:history="1">
            <w:r w:rsidRPr="009435E9">
              <w:rPr>
                <w:rStyle w:val="Hyperlink"/>
                <w:b w:val="0"/>
                <w:bCs w:val="0"/>
                <w:noProof/>
                <w:sz w:val="20"/>
                <w:szCs w:val="20"/>
              </w:rPr>
              <w:t>(i)</w:t>
            </w:r>
            <w:r w:rsidRPr="009435E9">
              <w:rPr>
                <w:rFonts w:eastAsiaTheme="minorEastAsia"/>
                <w:b w:val="0"/>
                <w:bCs w:val="0"/>
                <w:noProof/>
                <w:sz w:val="20"/>
                <w:szCs w:val="20"/>
                <w:lang w:val="en-US"/>
              </w:rPr>
              <w:tab/>
            </w:r>
            <w:r w:rsidRPr="009435E9">
              <w:rPr>
                <w:rStyle w:val="Hyperlink"/>
                <w:b w:val="0"/>
                <w:bCs w:val="0"/>
                <w:noProof/>
                <w:sz w:val="20"/>
                <w:szCs w:val="20"/>
              </w:rPr>
              <w:t>Hlava 10 bod i): Pravomoc vydat výzvu k odstranění</w:t>
            </w:r>
            <w:r w:rsidRPr="009435E9">
              <w:rPr>
                <w:b w:val="0"/>
                <w:bCs w:val="0"/>
                <w:noProof/>
                <w:webHidden/>
                <w:sz w:val="20"/>
                <w:szCs w:val="20"/>
              </w:rPr>
              <w:tab/>
            </w:r>
            <w:r w:rsidRPr="009435E9">
              <w:rPr>
                <w:b w:val="0"/>
                <w:bCs w:val="0"/>
                <w:noProof/>
                <w:webHidden/>
                <w:sz w:val="20"/>
                <w:szCs w:val="20"/>
              </w:rPr>
              <w:fldChar w:fldCharType="begin"/>
            </w:r>
            <w:r w:rsidRPr="009435E9">
              <w:rPr>
                <w:b w:val="0"/>
                <w:bCs w:val="0"/>
                <w:noProof/>
                <w:webHidden/>
                <w:sz w:val="20"/>
                <w:szCs w:val="20"/>
              </w:rPr>
              <w:instrText xml:space="preserve"> PAGEREF _Toc106274797 \h </w:instrText>
            </w:r>
            <w:r w:rsidRPr="009435E9">
              <w:rPr>
                <w:b w:val="0"/>
                <w:bCs w:val="0"/>
                <w:noProof/>
                <w:webHidden/>
                <w:sz w:val="20"/>
                <w:szCs w:val="20"/>
              </w:rPr>
            </w:r>
            <w:r w:rsidRPr="009435E9">
              <w:rPr>
                <w:b w:val="0"/>
                <w:bCs w:val="0"/>
                <w:noProof/>
                <w:webHidden/>
                <w:sz w:val="20"/>
                <w:szCs w:val="20"/>
              </w:rPr>
              <w:fldChar w:fldCharType="separate"/>
            </w:r>
            <w:r w:rsidRPr="009435E9">
              <w:rPr>
                <w:b w:val="0"/>
                <w:bCs w:val="0"/>
                <w:noProof/>
                <w:webHidden/>
                <w:sz w:val="20"/>
                <w:szCs w:val="20"/>
              </w:rPr>
              <w:t>14</w:t>
            </w:r>
            <w:r w:rsidRPr="009435E9">
              <w:rPr>
                <w:b w:val="0"/>
                <w:bCs w:val="0"/>
                <w:noProof/>
                <w:webHidden/>
                <w:sz w:val="20"/>
                <w:szCs w:val="20"/>
              </w:rPr>
              <w:fldChar w:fldCharType="end"/>
            </w:r>
          </w:hyperlink>
        </w:p>
        <w:p w14:paraId="62F24F39" w14:textId="40B238AA" w:rsidR="009435E9" w:rsidRPr="009435E9" w:rsidRDefault="009435E9">
          <w:pPr>
            <w:pStyle w:val="TOC2"/>
            <w:tabs>
              <w:tab w:val="left" w:pos="720"/>
              <w:tab w:val="right" w:leader="dot" w:pos="9010"/>
            </w:tabs>
            <w:rPr>
              <w:rFonts w:eastAsiaTheme="minorEastAsia"/>
              <w:b w:val="0"/>
              <w:bCs w:val="0"/>
              <w:noProof/>
              <w:sz w:val="20"/>
              <w:szCs w:val="20"/>
              <w:lang w:val="en-US"/>
            </w:rPr>
          </w:pPr>
          <w:hyperlink w:anchor="_Toc106274798" w:history="1">
            <w:r w:rsidRPr="009435E9">
              <w:rPr>
                <w:rStyle w:val="Hyperlink"/>
                <w:b w:val="0"/>
                <w:bCs w:val="0"/>
                <w:noProof/>
                <w:sz w:val="20"/>
                <w:szCs w:val="20"/>
              </w:rPr>
              <w:t>(ii)</w:t>
            </w:r>
            <w:r w:rsidRPr="009435E9">
              <w:rPr>
                <w:rFonts w:eastAsiaTheme="minorEastAsia"/>
                <w:b w:val="0"/>
                <w:bCs w:val="0"/>
                <w:noProof/>
                <w:sz w:val="20"/>
                <w:szCs w:val="20"/>
                <w:lang w:val="en-US"/>
              </w:rPr>
              <w:tab/>
            </w:r>
            <w:r w:rsidRPr="009435E9">
              <w:rPr>
                <w:rStyle w:val="Hyperlink"/>
                <w:b w:val="0"/>
                <w:bCs w:val="0"/>
                <w:noProof/>
                <w:sz w:val="20"/>
                <w:szCs w:val="20"/>
              </w:rPr>
              <w:t>Hlava 10 bod ii): Pravomoc vydat výzvu k opravě</w:t>
            </w:r>
            <w:r w:rsidRPr="009435E9">
              <w:rPr>
                <w:b w:val="0"/>
                <w:bCs w:val="0"/>
                <w:noProof/>
                <w:webHidden/>
                <w:sz w:val="20"/>
                <w:szCs w:val="20"/>
              </w:rPr>
              <w:tab/>
            </w:r>
            <w:r w:rsidRPr="009435E9">
              <w:rPr>
                <w:b w:val="0"/>
                <w:bCs w:val="0"/>
                <w:noProof/>
                <w:webHidden/>
                <w:sz w:val="20"/>
                <w:szCs w:val="20"/>
              </w:rPr>
              <w:fldChar w:fldCharType="begin"/>
            </w:r>
            <w:r w:rsidRPr="009435E9">
              <w:rPr>
                <w:b w:val="0"/>
                <w:bCs w:val="0"/>
                <w:noProof/>
                <w:webHidden/>
                <w:sz w:val="20"/>
                <w:szCs w:val="20"/>
              </w:rPr>
              <w:instrText xml:space="preserve"> PAGEREF _Toc106274798 \h </w:instrText>
            </w:r>
            <w:r w:rsidRPr="009435E9">
              <w:rPr>
                <w:b w:val="0"/>
                <w:bCs w:val="0"/>
                <w:noProof/>
                <w:webHidden/>
                <w:sz w:val="20"/>
                <w:szCs w:val="20"/>
              </w:rPr>
            </w:r>
            <w:r w:rsidRPr="009435E9">
              <w:rPr>
                <w:b w:val="0"/>
                <w:bCs w:val="0"/>
                <w:noProof/>
                <w:webHidden/>
                <w:sz w:val="20"/>
                <w:szCs w:val="20"/>
              </w:rPr>
              <w:fldChar w:fldCharType="separate"/>
            </w:r>
            <w:r w:rsidRPr="009435E9">
              <w:rPr>
                <w:b w:val="0"/>
                <w:bCs w:val="0"/>
                <w:noProof/>
                <w:webHidden/>
                <w:sz w:val="20"/>
                <w:szCs w:val="20"/>
              </w:rPr>
              <w:t>15</w:t>
            </w:r>
            <w:r w:rsidRPr="009435E9">
              <w:rPr>
                <w:b w:val="0"/>
                <w:bCs w:val="0"/>
                <w:noProof/>
                <w:webHidden/>
                <w:sz w:val="20"/>
                <w:szCs w:val="20"/>
              </w:rPr>
              <w:fldChar w:fldCharType="end"/>
            </w:r>
          </w:hyperlink>
        </w:p>
        <w:p w14:paraId="04D621F7" w14:textId="3140A459" w:rsidR="009435E9" w:rsidRPr="009435E9" w:rsidRDefault="009435E9">
          <w:pPr>
            <w:pStyle w:val="TOC2"/>
            <w:tabs>
              <w:tab w:val="left" w:pos="960"/>
              <w:tab w:val="right" w:leader="dot" w:pos="9010"/>
            </w:tabs>
            <w:rPr>
              <w:rFonts w:eastAsiaTheme="minorEastAsia"/>
              <w:b w:val="0"/>
              <w:bCs w:val="0"/>
              <w:noProof/>
              <w:sz w:val="20"/>
              <w:szCs w:val="20"/>
              <w:lang w:val="en-US"/>
            </w:rPr>
          </w:pPr>
          <w:hyperlink w:anchor="_Toc106274799" w:history="1">
            <w:r w:rsidRPr="009435E9">
              <w:rPr>
                <w:rStyle w:val="Hyperlink"/>
                <w:b w:val="0"/>
                <w:bCs w:val="0"/>
                <w:noProof/>
                <w:sz w:val="20"/>
                <w:szCs w:val="20"/>
              </w:rPr>
              <w:t>(iii)</w:t>
            </w:r>
            <w:r w:rsidRPr="009435E9">
              <w:rPr>
                <w:rFonts w:eastAsiaTheme="minorEastAsia"/>
                <w:b w:val="0"/>
                <w:bCs w:val="0"/>
                <w:noProof/>
                <w:sz w:val="20"/>
                <w:szCs w:val="20"/>
                <w:lang w:val="en-US"/>
              </w:rPr>
              <w:tab/>
            </w:r>
            <w:r w:rsidRPr="009435E9">
              <w:rPr>
                <w:rStyle w:val="Hyperlink"/>
                <w:b w:val="0"/>
                <w:bCs w:val="0"/>
                <w:noProof/>
                <w:sz w:val="20"/>
                <w:szCs w:val="20"/>
              </w:rPr>
              <w:t>Hlava 10 bod iii): Pravomoc vydávat nařízení k označení</w:t>
            </w:r>
            <w:r w:rsidRPr="009435E9">
              <w:rPr>
                <w:b w:val="0"/>
                <w:bCs w:val="0"/>
                <w:noProof/>
                <w:webHidden/>
                <w:sz w:val="20"/>
                <w:szCs w:val="20"/>
              </w:rPr>
              <w:tab/>
            </w:r>
            <w:r w:rsidRPr="009435E9">
              <w:rPr>
                <w:b w:val="0"/>
                <w:bCs w:val="0"/>
                <w:noProof/>
                <w:webHidden/>
                <w:sz w:val="20"/>
                <w:szCs w:val="20"/>
              </w:rPr>
              <w:fldChar w:fldCharType="begin"/>
            </w:r>
            <w:r w:rsidRPr="009435E9">
              <w:rPr>
                <w:b w:val="0"/>
                <w:bCs w:val="0"/>
                <w:noProof/>
                <w:webHidden/>
                <w:sz w:val="20"/>
                <w:szCs w:val="20"/>
              </w:rPr>
              <w:instrText xml:space="preserve"> PAGEREF _Toc106274799 \h </w:instrText>
            </w:r>
            <w:r w:rsidRPr="009435E9">
              <w:rPr>
                <w:b w:val="0"/>
                <w:bCs w:val="0"/>
                <w:noProof/>
                <w:webHidden/>
                <w:sz w:val="20"/>
                <w:szCs w:val="20"/>
              </w:rPr>
            </w:r>
            <w:r w:rsidRPr="009435E9">
              <w:rPr>
                <w:b w:val="0"/>
                <w:bCs w:val="0"/>
                <w:noProof/>
                <w:webHidden/>
                <w:sz w:val="20"/>
                <w:szCs w:val="20"/>
              </w:rPr>
              <w:fldChar w:fldCharType="separate"/>
            </w:r>
            <w:r w:rsidRPr="009435E9">
              <w:rPr>
                <w:b w:val="0"/>
                <w:bCs w:val="0"/>
                <w:noProof/>
                <w:webHidden/>
                <w:sz w:val="20"/>
                <w:szCs w:val="20"/>
              </w:rPr>
              <w:t>16</w:t>
            </w:r>
            <w:r w:rsidRPr="009435E9">
              <w:rPr>
                <w:b w:val="0"/>
                <w:bCs w:val="0"/>
                <w:noProof/>
                <w:webHidden/>
                <w:sz w:val="20"/>
                <w:szCs w:val="20"/>
              </w:rPr>
              <w:fldChar w:fldCharType="end"/>
            </w:r>
          </w:hyperlink>
        </w:p>
        <w:p w14:paraId="25E1B58F" w14:textId="4F6466B4" w:rsidR="009435E9" w:rsidRPr="009435E9" w:rsidRDefault="009435E9">
          <w:pPr>
            <w:pStyle w:val="TOC2"/>
            <w:tabs>
              <w:tab w:val="left" w:pos="960"/>
              <w:tab w:val="right" w:leader="dot" w:pos="9010"/>
            </w:tabs>
            <w:rPr>
              <w:rFonts w:eastAsiaTheme="minorEastAsia"/>
              <w:b w:val="0"/>
              <w:bCs w:val="0"/>
              <w:noProof/>
              <w:sz w:val="20"/>
              <w:szCs w:val="20"/>
              <w:lang w:val="en-US"/>
            </w:rPr>
          </w:pPr>
          <w:hyperlink w:anchor="_Toc106274800" w:history="1">
            <w:r w:rsidRPr="009435E9">
              <w:rPr>
                <w:rStyle w:val="Hyperlink"/>
                <w:b w:val="0"/>
                <w:bCs w:val="0"/>
                <w:noProof/>
                <w:sz w:val="20"/>
                <w:szCs w:val="20"/>
              </w:rPr>
              <w:t>(iv)</w:t>
            </w:r>
            <w:r w:rsidRPr="009435E9">
              <w:rPr>
                <w:rFonts w:eastAsiaTheme="minorEastAsia"/>
                <w:b w:val="0"/>
                <w:bCs w:val="0"/>
                <w:noProof/>
                <w:sz w:val="20"/>
                <w:szCs w:val="20"/>
                <w:lang w:val="en-US"/>
              </w:rPr>
              <w:tab/>
            </w:r>
            <w:r w:rsidRPr="009435E9">
              <w:rPr>
                <w:rStyle w:val="Hyperlink"/>
                <w:b w:val="0"/>
                <w:bCs w:val="0"/>
                <w:noProof/>
                <w:sz w:val="20"/>
                <w:szCs w:val="20"/>
              </w:rPr>
              <w:t>Hlava 10 bod iv): Oprávnění k vydání nařízení k blokování přístupu</w:t>
            </w:r>
            <w:r w:rsidRPr="009435E9">
              <w:rPr>
                <w:b w:val="0"/>
                <w:bCs w:val="0"/>
                <w:noProof/>
                <w:webHidden/>
                <w:sz w:val="20"/>
                <w:szCs w:val="20"/>
              </w:rPr>
              <w:tab/>
            </w:r>
            <w:r w:rsidRPr="009435E9">
              <w:rPr>
                <w:b w:val="0"/>
                <w:bCs w:val="0"/>
                <w:noProof/>
                <w:webHidden/>
                <w:sz w:val="20"/>
                <w:szCs w:val="20"/>
              </w:rPr>
              <w:fldChar w:fldCharType="begin"/>
            </w:r>
            <w:r w:rsidRPr="009435E9">
              <w:rPr>
                <w:b w:val="0"/>
                <w:bCs w:val="0"/>
                <w:noProof/>
                <w:webHidden/>
                <w:sz w:val="20"/>
                <w:szCs w:val="20"/>
              </w:rPr>
              <w:instrText xml:space="preserve"> PAGEREF _Toc106274800 \h </w:instrText>
            </w:r>
            <w:r w:rsidRPr="009435E9">
              <w:rPr>
                <w:b w:val="0"/>
                <w:bCs w:val="0"/>
                <w:noProof/>
                <w:webHidden/>
                <w:sz w:val="20"/>
                <w:szCs w:val="20"/>
              </w:rPr>
            </w:r>
            <w:r w:rsidRPr="009435E9">
              <w:rPr>
                <w:b w:val="0"/>
                <w:bCs w:val="0"/>
                <w:noProof/>
                <w:webHidden/>
                <w:sz w:val="20"/>
                <w:szCs w:val="20"/>
              </w:rPr>
              <w:fldChar w:fldCharType="separate"/>
            </w:r>
            <w:r w:rsidRPr="009435E9">
              <w:rPr>
                <w:b w:val="0"/>
                <w:bCs w:val="0"/>
                <w:noProof/>
                <w:webHidden/>
                <w:sz w:val="20"/>
                <w:szCs w:val="20"/>
              </w:rPr>
              <w:t>18</w:t>
            </w:r>
            <w:r w:rsidRPr="009435E9">
              <w:rPr>
                <w:b w:val="0"/>
                <w:bCs w:val="0"/>
                <w:noProof/>
                <w:webHidden/>
                <w:sz w:val="20"/>
                <w:szCs w:val="20"/>
              </w:rPr>
              <w:fldChar w:fldCharType="end"/>
            </w:r>
          </w:hyperlink>
        </w:p>
        <w:p w14:paraId="5EFEE499" w14:textId="529DA3DC" w:rsidR="009435E9" w:rsidRPr="009435E9" w:rsidRDefault="009435E9">
          <w:pPr>
            <w:pStyle w:val="TOC2"/>
            <w:tabs>
              <w:tab w:val="left" w:pos="720"/>
              <w:tab w:val="right" w:leader="dot" w:pos="9010"/>
            </w:tabs>
            <w:rPr>
              <w:rFonts w:eastAsiaTheme="minorEastAsia"/>
              <w:b w:val="0"/>
              <w:bCs w:val="0"/>
              <w:noProof/>
              <w:sz w:val="20"/>
              <w:szCs w:val="20"/>
              <w:lang w:val="en-US"/>
            </w:rPr>
          </w:pPr>
          <w:hyperlink w:anchor="_Toc106274801" w:history="1">
            <w:r w:rsidRPr="009435E9">
              <w:rPr>
                <w:rStyle w:val="Hyperlink"/>
                <w:b w:val="0"/>
                <w:bCs w:val="0"/>
                <w:noProof/>
                <w:sz w:val="20"/>
                <w:szCs w:val="20"/>
              </w:rPr>
              <w:t>(v)</w:t>
            </w:r>
            <w:r w:rsidRPr="009435E9">
              <w:rPr>
                <w:rFonts w:eastAsiaTheme="minorEastAsia"/>
                <w:b w:val="0"/>
                <w:bCs w:val="0"/>
                <w:noProof/>
                <w:sz w:val="20"/>
                <w:szCs w:val="20"/>
                <w:lang w:val="en-US"/>
              </w:rPr>
              <w:tab/>
            </w:r>
            <w:r w:rsidRPr="009435E9">
              <w:rPr>
                <w:rStyle w:val="Hyperlink"/>
                <w:b w:val="0"/>
                <w:bCs w:val="0"/>
                <w:noProof/>
                <w:sz w:val="20"/>
                <w:szCs w:val="20"/>
              </w:rPr>
              <w:t>Hlava 10 bod v): Pravomoci regulovat manipulativní nebo neautentické chování, včetně nezveřejněné činnosti botů</w:t>
            </w:r>
            <w:r w:rsidRPr="009435E9">
              <w:rPr>
                <w:b w:val="0"/>
                <w:bCs w:val="0"/>
                <w:noProof/>
                <w:webHidden/>
                <w:sz w:val="20"/>
                <w:szCs w:val="20"/>
              </w:rPr>
              <w:tab/>
            </w:r>
            <w:r w:rsidRPr="009435E9">
              <w:rPr>
                <w:b w:val="0"/>
                <w:bCs w:val="0"/>
                <w:noProof/>
                <w:webHidden/>
                <w:sz w:val="20"/>
                <w:szCs w:val="20"/>
              </w:rPr>
              <w:fldChar w:fldCharType="begin"/>
            </w:r>
            <w:r w:rsidRPr="009435E9">
              <w:rPr>
                <w:b w:val="0"/>
                <w:bCs w:val="0"/>
                <w:noProof/>
                <w:webHidden/>
                <w:sz w:val="20"/>
                <w:szCs w:val="20"/>
              </w:rPr>
              <w:instrText xml:space="preserve"> PAGEREF _Toc106274801 \h </w:instrText>
            </w:r>
            <w:r w:rsidRPr="009435E9">
              <w:rPr>
                <w:b w:val="0"/>
                <w:bCs w:val="0"/>
                <w:noProof/>
                <w:webHidden/>
                <w:sz w:val="20"/>
                <w:szCs w:val="20"/>
              </w:rPr>
            </w:r>
            <w:r w:rsidRPr="009435E9">
              <w:rPr>
                <w:b w:val="0"/>
                <w:bCs w:val="0"/>
                <w:noProof/>
                <w:webHidden/>
                <w:sz w:val="20"/>
                <w:szCs w:val="20"/>
              </w:rPr>
              <w:fldChar w:fldCharType="separate"/>
            </w:r>
            <w:r w:rsidRPr="009435E9">
              <w:rPr>
                <w:b w:val="0"/>
                <w:bCs w:val="0"/>
                <w:noProof/>
                <w:webHidden/>
                <w:sz w:val="20"/>
                <w:szCs w:val="20"/>
              </w:rPr>
              <w:t>19</w:t>
            </w:r>
            <w:r w:rsidRPr="009435E9">
              <w:rPr>
                <w:b w:val="0"/>
                <w:bCs w:val="0"/>
                <w:noProof/>
                <w:webHidden/>
                <w:sz w:val="20"/>
                <w:szCs w:val="20"/>
              </w:rPr>
              <w:fldChar w:fldCharType="end"/>
            </w:r>
          </w:hyperlink>
        </w:p>
        <w:p w14:paraId="73949D84" w14:textId="6621BF69" w:rsidR="009435E9" w:rsidRPr="009435E9" w:rsidRDefault="009435E9">
          <w:pPr>
            <w:pStyle w:val="TOC1"/>
            <w:rPr>
              <w:rFonts w:asciiTheme="minorHAnsi" w:eastAsiaTheme="minorEastAsia" w:hAnsiTheme="minorHAnsi" w:cstheme="minorBidi"/>
              <w:b w:val="0"/>
              <w:bCs w:val="0"/>
              <w:sz w:val="20"/>
              <w:szCs w:val="20"/>
              <w:lang w:val="en-US"/>
            </w:rPr>
          </w:pPr>
          <w:hyperlink w:anchor="_Toc106274802" w:history="1">
            <w:r w:rsidRPr="009435E9">
              <w:rPr>
                <w:rStyle w:val="Hyperlink"/>
                <w:b w:val="0"/>
                <w:bCs w:val="0"/>
                <w:sz w:val="20"/>
                <w:szCs w:val="20"/>
              </w:rPr>
              <w:t>[Hlava 11 byla zrušena]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_Toc106274802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21</w:t>
            </w:r>
            <w:r w:rsidRPr="009435E9">
              <w:rPr>
                <w:b w:val="0"/>
                <w:bCs w:val="0"/>
                <w:webHidden/>
                <w:sz w:val="20"/>
                <w:szCs w:val="20"/>
              </w:rPr>
              <w:fldChar w:fldCharType="end"/>
            </w:r>
          </w:hyperlink>
        </w:p>
        <w:p w14:paraId="276BCC49" w14:textId="609C46F0" w:rsidR="009435E9" w:rsidRPr="009435E9" w:rsidRDefault="009435E9">
          <w:pPr>
            <w:pStyle w:val="TOC1"/>
            <w:rPr>
              <w:rFonts w:asciiTheme="minorHAnsi" w:eastAsiaTheme="minorEastAsia" w:hAnsiTheme="minorHAnsi" w:cstheme="minorBidi"/>
              <w:b w:val="0"/>
              <w:bCs w:val="0"/>
              <w:sz w:val="20"/>
              <w:szCs w:val="20"/>
              <w:lang w:val="en-US"/>
            </w:rPr>
          </w:pPr>
          <w:hyperlink w:anchor="_Toc106274803" w:history="1">
            <w:r w:rsidRPr="009435E9">
              <w:rPr>
                <w:rStyle w:val="Hyperlink"/>
                <w:b w:val="0"/>
                <w:bCs w:val="0"/>
                <w:sz w:val="20"/>
                <w:szCs w:val="20"/>
              </w:rPr>
              <w:t>Hlava 12: Žádost o příkaz soudu za účelem splnění požadavků výzvy nebo nařízení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_Toc106274803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21</w:t>
            </w:r>
            <w:r w:rsidRPr="009435E9">
              <w:rPr>
                <w:b w:val="0"/>
                <w:bCs w:val="0"/>
                <w:webHidden/>
                <w:sz w:val="20"/>
                <w:szCs w:val="20"/>
              </w:rPr>
              <w:fldChar w:fldCharType="end"/>
            </w:r>
          </w:hyperlink>
        </w:p>
        <w:p w14:paraId="6D88E5C2" w14:textId="4426B58F" w:rsidR="009435E9" w:rsidRPr="009435E9" w:rsidRDefault="009435E9">
          <w:pPr>
            <w:pStyle w:val="TOC1"/>
            <w:rPr>
              <w:rFonts w:asciiTheme="minorHAnsi" w:eastAsiaTheme="minorEastAsia" w:hAnsiTheme="minorHAnsi" w:cstheme="minorBidi"/>
              <w:b w:val="0"/>
              <w:bCs w:val="0"/>
              <w:sz w:val="20"/>
              <w:szCs w:val="20"/>
              <w:lang w:val="en-US"/>
            </w:rPr>
          </w:pPr>
          <w:hyperlink w:anchor="_Toc106274804" w:history="1">
            <w:r w:rsidRPr="009435E9">
              <w:rPr>
                <w:rStyle w:val="Hyperlink"/>
                <w:b w:val="0"/>
                <w:bCs w:val="0"/>
                <w:sz w:val="20"/>
                <w:szCs w:val="20"/>
              </w:rPr>
              <w:t>Hlava 13: Pravomoc vydávat varování určená veřejnosti o činnostech, které mohou narušit spravedlnost nebo integritu voleb nebo referenda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_Toc106274804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21</w:t>
            </w:r>
            <w:r w:rsidRPr="009435E9">
              <w:rPr>
                <w:b w:val="0"/>
                <w:bCs w:val="0"/>
                <w:webHidden/>
                <w:sz w:val="20"/>
                <w:szCs w:val="20"/>
              </w:rPr>
              <w:fldChar w:fldCharType="end"/>
            </w:r>
          </w:hyperlink>
        </w:p>
        <w:p w14:paraId="37E32A21" w14:textId="1C1B7497" w:rsidR="009435E9" w:rsidRPr="009435E9" w:rsidRDefault="009435E9">
          <w:pPr>
            <w:pStyle w:val="TOC1"/>
            <w:rPr>
              <w:rFonts w:asciiTheme="minorHAnsi" w:eastAsiaTheme="minorEastAsia" w:hAnsiTheme="minorHAnsi" w:cstheme="minorBidi"/>
              <w:b w:val="0"/>
              <w:bCs w:val="0"/>
              <w:sz w:val="20"/>
              <w:szCs w:val="20"/>
              <w:lang w:val="en-US"/>
            </w:rPr>
          </w:pPr>
          <w:hyperlink w:anchor="_Toc106274805" w:history="1">
            <w:r w:rsidRPr="009435E9">
              <w:rPr>
                <w:rStyle w:val="Hyperlink"/>
                <w:b w:val="0"/>
                <w:bCs w:val="0"/>
                <w:sz w:val="20"/>
                <w:szCs w:val="20"/>
              </w:rPr>
              <w:t>Hlava 14: Mechanismus pro podávání zpráv ze strany veřejnosti o podezření na dezinformace, zavádějící informace a manipulativní nebo neautentické chování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_Toc106274805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21</w:t>
            </w:r>
            <w:r w:rsidRPr="009435E9">
              <w:rPr>
                <w:b w:val="0"/>
                <w:bCs w:val="0"/>
                <w:webHidden/>
                <w:sz w:val="20"/>
                <w:szCs w:val="20"/>
              </w:rPr>
              <w:fldChar w:fldCharType="end"/>
            </w:r>
          </w:hyperlink>
        </w:p>
        <w:p w14:paraId="20D40823" w14:textId="4AD74D2D" w:rsidR="009435E9" w:rsidRPr="009435E9" w:rsidRDefault="009435E9">
          <w:pPr>
            <w:pStyle w:val="TOC1"/>
            <w:rPr>
              <w:rFonts w:asciiTheme="minorHAnsi" w:eastAsiaTheme="minorEastAsia" w:hAnsiTheme="minorHAnsi" w:cstheme="minorBidi"/>
              <w:b w:val="0"/>
              <w:bCs w:val="0"/>
              <w:sz w:val="20"/>
              <w:szCs w:val="20"/>
              <w:lang w:val="en-US"/>
            </w:rPr>
          </w:pPr>
          <w:hyperlink w:anchor="_Toc106274806" w:history="1">
            <w:r w:rsidRPr="009435E9">
              <w:rPr>
                <w:rStyle w:val="Hyperlink"/>
                <w:b w:val="0"/>
                <w:bCs w:val="0"/>
                <w:sz w:val="20"/>
                <w:szCs w:val="20"/>
              </w:rPr>
              <w:t>Kapitola 4: Procesní práva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_Toc106274806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22</w:t>
            </w:r>
            <w:r w:rsidRPr="009435E9">
              <w:rPr>
                <w:b w:val="0"/>
                <w:bCs w:val="0"/>
                <w:webHidden/>
                <w:sz w:val="20"/>
                <w:szCs w:val="20"/>
              </w:rPr>
              <w:fldChar w:fldCharType="end"/>
            </w:r>
          </w:hyperlink>
        </w:p>
        <w:p w14:paraId="0148D985" w14:textId="3CC58890" w:rsidR="009435E9" w:rsidRPr="009435E9" w:rsidRDefault="009435E9">
          <w:pPr>
            <w:pStyle w:val="TOC1"/>
            <w:rPr>
              <w:rFonts w:asciiTheme="minorHAnsi" w:eastAsiaTheme="minorEastAsia" w:hAnsiTheme="minorHAnsi" w:cstheme="minorBidi"/>
              <w:b w:val="0"/>
              <w:bCs w:val="0"/>
              <w:sz w:val="20"/>
              <w:szCs w:val="20"/>
              <w:lang w:val="en-US"/>
            </w:rPr>
          </w:pPr>
          <w:hyperlink w:anchor="_Toc106274807" w:history="1">
            <w:r w:rsidRPr="009435E9">
              <w:rPr>
                <w:rStyle w:val="Hyperlink"/>
                <w:b w:val="0"/>
                <w:bCs w:val="0"/>
                <w:sz w:val="20"/>
                <w:szCs w:val="20"/>
              </w:rPr>
              <w:t>Hlava 15: Právo na odvolání proti výzvě nebo nařízení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_Toc106274807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22</w:t>
            </w:r>
            <w:r w:rsidRPr="009435E9">
              <w:rPr>
                <w:b w:val="0"/>
                <w:bCs w:val="0"/>
                <w:webHidden/>
                <w:sz w:val="20"/>
                <w:szCs w:val="20"/>
              </w:rPr>
              <w:fldChar w:fldCharType="end"/>
            </w:r>
          </w:hyperlink>
        </w:p>
        <w:p w14:paraId="62CD7CA2" w14:textId="19AF25D9" w:rsidR="009435E9" w:rsidRPr="009435E9" w:rsidRDefault="009435E9">
          <w:pPr>
            <w:pStyle w:val="TOC1"/>
            <w:rPr>
              <w:rFonts w:asciiTheme="minorHAnsi" w:eastAsiaTheme="minorEastAsia" w:hAnsiTheme="minorHAnsi" w:cstheme="minorBidi"/>
              <w:b w:val="0"/>
              <w:bCs w:val="0"/>
              <w:sz w:val="20"/>
              <w:szCs w:val="20"/>
              <w:lang w:val="en-US"/>
            </w:rPr>
          </w:pPr>
          <w:hyperlink w:anchor="_Toc106274808" w:history="1">
            <w:r w:rsidRPr="009435E9">
              <w:rPr>
                <w:rStyle w:val="Hyperlink"/>
                <w:b w:val="0"/>
                <w:bCs w:val="0"/>
                <w:sz w:val="20"/>
                <w:szCs w:val="20"/>
              </w:rPr>
              <w:t>Hlava 15A: Soudní přezkum</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_Toc106274808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24</w:t>
            </w:r>
            <w:r w:rsidRPr="009435E9">
              <w:rPr>
                <w:b w:val="0"/>
                <w:bCs w:val="0"/>
                <w:webHidden/>
                <w:sz w:val="20"/>
                <w:szCs w:val="20"/>
              </w:rPr>
              <w:fldChar w:fldCharType="end"/>
            </w:r>
          </w:hyperlink>
        </w:p>
        <w:p w14:paraId="00335156" w14:textId="076E9F2A" w:rsidR="009435E9" w:rsidRPr="009435E9" w:rsidRDefault="009435E9">
          <w:pPr>
            <w:pStyle w:val="TOC1"/>
            <w:rPr>
              <w:rFonts w:asciiTheme="minorHAnsi" w:eastAsiaTheme="minorEastAsia" w:hAnsiTheme="minorHAnsi" w:cstheme="minorBidi"/>
              <w:b w:val="0"/>
              <w:bCs w:val="0"/>
              <w:sz w:val="20"/>
              <w:szCs w:val="20"/>
              <w:lang w:val="en-US"/>
            </w:rPr>
          </w:pPr>
          <w:hyperlink w:anchor="_Toc106274809" w:history="1">
            <w:r w:rsidRPr="009435E9">
              <w:rPr>
                <w:rStyle w:val="Hyperlink"/>
                <w:b w:val="0"/>
                <w:bCs w:val="0"/>
                <w:sz w:val="20"/>
                <w:szCs w:val="20"/>
              </w:rPr>
              <w:t>Kapitola 5: Kodexy chování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_Toc106274809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24</w:t>
            </w:r>
            <w:r w:rsidRPr="009435E9">
              <w:rPr>
                <w:b w:val="0"/>
                <w:bCs w:val="0"/>
                <w:webHidden/>
                <w:sz w:val="20"/>
                <w:szCs w:val="20"/>
              </w:rPr>
              <w:fldChar w:fldCharType="end"/>
            </w:r>
          </w:hyperlink>
        </w:p>
        <w:p w14:paraId="4BC40032" w14:textId="377CD067" w:rsidR="009435E9" w:rsidRPr="009435E9" w:rsidRDefault="009435E9">
          <w:pPr>
            <w:pStyle w:val="TOC1"/>
            <w:rPr>
              <w:rFonts w:asciiTheme="minorHAnsi" w:eastAsiaTheme="minorEastAsia" w:hAnsiTheme="minorHAnsi" w:cstheme="minorBidi"/>
              <w:b w:val="0"/>
              <w:bCs w:val="0"/>
              <w:sz w:val="20"/>
              <w:szCs w:val="20"/>
              <w:lang w:val="en-US"/>
            </w:rPr>
          </w:pPr>
          <w:hyperlink w:anchor="_Toc106274810" w:history="1">
            <w:r w:rsidRPr="009435E9">
              <w:rPr>
                <w:rStyle w:val="Hyperlink"/>
                <w:b w:val="0"/>
                <w:bCs w:val="0"/>
                <w:sz w:val="20"/>
                <w:szCs w:val="20"/>
              </w:rPr>
              <w:t>Hlava 16: Vyhlášení kodexů chování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_Toc106274810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24</w:t>
            </w:r>
            <w:r w:rsidRPr="009435E9">
              <w:rPr>
                <w:b w:val="0"/>
                <w:bCs w:val="0"/>
                <w:webHidden/>
                <w:sz w:val="20"/>
                <w:szCs w:val="20"/>
              </w:rPr>
              <w:fldChar w:fldCharType="end"/>
            </w:r>
          </w:hyperlink>
        </w:p>
        <w:p w14:paraId="39486199" w14:textId="429A9D4B" w:rsidR="009435E9" w:rsidRPr="009435E9" w:rsidRDefault="009435E9">
          <w:pPr>
            <w:pStyle w:val="TOC1"/>
            <w:rPr>
              <w:rFonts w:asciiTheme="minorHAnsi" w:eastAsiaTheme="minorEastAsia" w:hAnsiTheme="minorHAnsi" w:cstheme="minorBidi"/>
              <w:b w:val="0"/>
              <w:bCs w:val="0"/>
              <w:sz w:val="20"/>
              <w:szCs w:val="20"/>
              <w:lang w:val="en-US"/>
            </w:rPr>
          </w:pPr>
          <w:hyperlink w:anchor="_Toc106274811" w:history="1">
            <w:r w:rsidRPr="009435E9">
              <w:rPr>
                <w:rStyle w:val="Hyperlink"/>
                <w:b w:val="0"/>
                <w:bCs w:val="0"/>
                <w:sz w:val="20"/>
                <w:szCs w:val="20"/>
              </w:rPr>
              <w:t>Kapitola 6: Spolupráce s ostatními veřejnými subjekty</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_Toc106274811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25</w:t>
            </w:r>
            <w:r w:rsidRPr="009435E9">
              <w:rPr>
                <w:b w:val="0"/>
                <w:bCs w:val="0"/>
                <w:webHidden/>
                <w:sz w:val="20"/>
                <w:szCs w:val="20"/>
              </w:rPr>
              <w:fldChar w:fldCharType="end"/>
            </w:r>
          </w:hyperlink>
        </w:p>
        <w:p w14:paraId="28D4EDDF" w14:textId="749AF0B8" w:rsidR="009435E9" w:rsidRPr="009435E9" w:rsidRDefault="009435E9">
          <w:pPr>
            <w:pStyle w:val="TOC1"/>
            <w:rPr>
              <w:rFonts w:asciiTheme="minorHAnsi" w:eastAsiaTheme="minorEastAsia" w:hAnsiTheme="minorHAnsi" w:cstheme="minorBidi"/>
              <w:b w:val="0"/>
              <w:bCs w:val="0"/>
              <w:sz w:val="20"/>
              <w:szCs w:val="20"/>
              <w:lang w:val="en-US"/>
            </w:rPr>
          </w:pPr>
          <w:hyperlink w:anchor="_Toc106274812" w:history="1">
            <w:r w:rsidRPr="009435E9">
              <w:rPr>
                <w:rStyle w:val="Hyperlink"/>
                <w:b w:val="0"/>
                <w:bCs w:val="0"/>
                <w:sz w:val="20"/>
                <w:szCs w:val="20"/>
              </w:rPr>
              <w:t>Hlava 17: Komise vede konzultace s dalšími příslušnými orgány</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_Toc106274812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25</w:t>
            </w:r>
            <w:r w:rsidRPr="009435E9">
              <w:rPr>
                <w:b w:val="0"/>
                <w:bCs w:val="0"/>
                <w:webHidden/>
                <w:sz w:val="20"/>
                <w:szCs w:val="20"/>
              </w:rPr>
              <w:fldChar w:fldCharType="end"/>
            </w:r>
          </w:hyperlink>
        </w:p>
        <w:p w14:paraId="0BB63BD6" w14:textId="6F625AAD" w:rsidR="009435E9" w:rsidRPr="009435E9" w:rsidRDefault="009435E9">
          <w:pPr>
            <w:pStyle w:val="TOC1"/>
            <w:rPr>
              <w:rFonts w:asciiTheme="minorHAnsi" w:eastAsiaTheme="minorEastAsia" w:hAnsiTheme="minorHAnsi" w:cstheme="minorBidi"/>
              <w:b w:val="0"/>
              <w:bCs w:val="0"/>
              <w:sz w:val="20"/>
              <w:szCs w:val="20"/>
              <w:lang w:val="en-US"/>
            </w:rPr>
          </w:pPr>
          <w:hyperlink w:anchor="_Toc106274813" w:history="1">
            <w:r w:rsidRPr="009435E9">
              <w:rPr>
                <w:rStyle w:val="Hyperlink"/>
                <w:b w:val="0"/>
                <w:bCs w:val="0"/>
                <w:sz w:val="20"/>
                <w:szCs w:val="20"/>
              </w:rPr>
              <w:t>Kapitola 7: [ZRUŠENO]</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_Toc106274813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26</w:t>
            </w:r>
            <w:r w:rsidRPr="009435E9">
              <w:rPr>
                <w:b w:val="0"/>
                <w:bCs w:val="0"/>
                <w:webHidden/>
                <w:sz w:val="20"/>
                <w:szCs w:val="20"/>
              </w:rPr>
              <w:fldChar w:fldCharType="end"/>
            </w:r>
          </w:hyperlink>
        </w:p>
        <w:p w14:paraId="69224094" w14:textId="28F8C759" w:rsidR="009435E9" w:rsidRPr="009435E9" w:rsidRDefault="009435E9">
          <w:pPr>
            <w:pStyle w:val="TOC1"/>
            <w:rPr>
              <w:rFonts w:asciiTheme="minorHAnsi" w:eastAsiaTheme="minorEastAsia" w:hAnsiTheme="minorHAnsi" w:cstheme="minorBidi"/>
              <w:b w:val="0"/>
              <w:bCs w:val="0"/>
              <w:sz w:val="20"/>
              <w:szCs w:val="20"/>
              <w:lang w:val="en-US"/>
            </w:rPr>
          </w:pPr>
          <w:hyperlink w:anchor="_Toc106274814" w:history="1">
            <w:r w:rsidRPr="009435E9">
              <w:rPr>
                <w:rStyle w:val="Hyperlink"/>
                <w:b w:val="0"/>
                <w:bCs w:val="0"/>
                <w:sz w:val="20"/>
                <w:szCs w:val="20"/>
              </w:rPr>
              <w:t>[Hlavy 18 až 20 se zrušují]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_Toc106274814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26</w:t>
            </w:r>
            <w:r w:rsidRPr="009435E9">
              <w:rPr>
                <w:b w:val="0"/>
                <w:bCs w:val="0"/>
                <w:webHidden/>
                <w:sz w:val="20"/>
                <w:szCs w:val="20"/>
              </w:rPr>
              <w:fldChar w:fldCharType="end"/>
            </w:r>
          </w:hyperlink>
        </w:p>
        <w:p w14:paraId="621464AD" w14:textId="1AAA6931" w:rsidR="009435E9" w:rsidRPr="009435E9" w:rsidRDefault="009435E9">
          <w:pPr>
            <w:pStyle w:val="TOC1"/>
            <w:rPr>
              <w:rFonts w:asciiTheme="minorHAnsi" w:eastAsiaTheme="minorEastAsia" w:hAnsiTheme="minorHAnsi" w:cstheme="minorBidi"/>
              <w:b w:val="0"/>
              <w:bCs w:val="0"/>
              <w:sz w:val="20"/>
              <w:szCs w:val="20"/>
              <w:lang w:val="en-US"/>
            </w:rPr>
          </w:pPr>
          <w:hyperlink w:anchor="_Toc106274815" w:history="1">
            <w:r w:rsidRPr="009435E9">
              <w:rPr>
                <w:rStyle w:val="Hyperlink"/>
                <w:b w:val="0"/>
                <w:bCs w:val="0"/>
                <w:sz w:val="20"/>
                <w:szCs w:val="20"/>
              </w:rPr>
              <w:t>Kapitola 8: Delikty a tresty</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_Toc106274815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26</w:t>
            </w:r>
            <w:r w:rsidRPr="009435E9">
              <w:rPr>
                <w:b w:val="0"/>
                <w:bCs w:val="0"/>
                <w:webHidden/>
                <w:sz w:val="20"/>
                <w:szCs w:val="20"/>
              </w:rPr>
              <w:fldChar w:fldCharType="end"/>
            </w:r>
          </w:hyperlink>
        </w:p>
        <w:p w14:paraId="436724CD" w14:textId="18AA15CF" w:rsidR="009435E9" w:rsidRPr="009435E9" w:rsidRDefault="009435E9">
          <w:pPr>
            <w:pStyle w:val="TOC1"/>
            <w:rPr>
              <w:rFonts w:asciiTheme="minorHAnsi" w:eastAsiaTheme="minorEastAsia" w:hAnsiTheme="minorHAnsi" w:cstheme="minorBidi"/>
              <w:b w:val="0"/>
              <w:bCs w:val="0"/>
              <w:sz w:val="20"/>
              <w:szCs w:val="20"/>
              <w:lang w:val="en-US"/>
            </w:rPr>
          </w:pPr>
          <w:hyperlink w:anchor="_Toc106274816" w:history="1">
            <w:r w:rsidRPr="009435E9">
              <w:rPr>
                <w:rStyle w:val="Hyperlink"/>
                <w:b w:val="0"/>
                <w:bCs w:val="0"/>
                <w:sz w:val="20"/>
                <w:szCs w:val="20"/>
              </w:rPr>
              <w:t>Hlava 21: Delikt nesplnění výzvy nebo nařízení vydaných podle hlavy 10</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_Toc106274816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26</w:t>
            </w:r>
            <w:r w:rsidRPr="009435E9">
              <w:rPr>
                <w:b w:val="0"/>
                <w:bCs w:val="0"/>
                <w:webHidden/>
                <w:sz w:val="20"/>
                <w:szCs w:val="20"/>
              </w:rPr>
              <w:fldChar w:fldCharType="end"/>
            </w:r>
          </w:hyperlink>
        </w:p>
        <w:p w14:paraId="66FBB226" w14:textId="308958C5" w:rsidR="009435E9" w:rsidRPr="009435E9" w:rsidRDefault="009435E9">
          <w:pPr>
            <w:pStyle w:val="TOC1"/>
            <w:rPr>
              <w:rFonts w:asciiTheme="minorHAnsi" w:eastAsiaTheme="minorEastAsia" w:hAnsiTheme="minorHAnsi" w:cstheme="minorBidi"/>
              <w:b w:val="0"/>
              <w:bCs w:val="0"/>
              <w:sz w:val="20"/>
              <w:szCs w:val="20"/>
              <w:lang w:val="en-US"/>
            </w:rPr>
          </w:pPr>
          <w:hyperlink w:anchor="_Toc106274817" w:history="1">
            <w:r w:rsidRPr="009435E9">
              <w:rPr>
                <w:rStyle w:val="Hyperlink"/>
                <w:b w:val="0"/>
                <w:bCs w:val="0"/>
                <w:sz w:val="20"/>
                <w:szCs w:val="20"/>
              </w:rPr>
              <w:t>Hlava 22: Porušení povinného kodexu chování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_Toc106274817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26</w:t>
            </w:r>
            <w:r w:rsidRPr="009435E9">
              <w:rPr>
                <w:b w:val="0"/>
                <w:bCs w:val="0"/>
                <w:webHidden/>
                <w:sz w:val="20"/>
                <w:szCs w:val="20"/>
              </w:rPr>
              <w:fldChar w:fldCharType="end"/>
            </w:r>
          </w:hyperlink>
        </w:p>
        <w:p w14:paraId="60EE484D" w14:textId="6FFF673B" w:rsidR="009435E9" w:rsidRPr="009435E9" w:rsidRDefault="009435E9">
          <w:pPr>
            <w:pStyle w:val="TOC1"/>
            <w:rPr>
              <w:rFonts w:asciiTheme="minorHAnsi" w:eastAsiaTheme="minorEastAsia" w:hAnsiTheme="minorHAnsi" w:cstheme="minorBidi"/>
              <w:b w:val="0"/>
              <w:bCs w:val="0"/>
              <w:sz w:val="20"/>
              <w:szCs w:val="20"/>
              <w:lang w:val="en-US"/>
            </w:rPr>
          </w:pPr>
          <w:hyperlink w:anchor="_Toc106274818" w:history="1">
            <w:r w:rsidRPr="009435E9">
              <w:rPr>
                <w:rStyle w:val="Hyperlink"/>
                <w:b w:val="0"/>
                <w:bCs w:val="0"/>
                <w:sz w:val="20"/>
                <w:szCs w:val="20"/>
              </w:rPr>
              <w:t>Hlava 23: Delikty související s dezinformacemi a zavádějícími informacemi</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_Toc106274818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26</w:t>
            </w:r>
            <w:r w:rsidRPr="009435E9">
              <w:rPr>
                <w:b w:val="0"/>
                <w:bCs w:val="0"/>
                <w:webHidden/>
                <w:sz w:val="20"/>
                <w:szCs w:val="20"/>
              </w:rPr>
              <w:fldChar w:fldCharType="end"/>
            </w:r>
          </w:hyperlink>
        </w:p>
        <w:p w14:paraId="30588C6A" w14:textId="42CB457A" w:rsidR="009435E9" w:rsidRPr="009435E9" w:rsidRDefault="009435E9">
          <w:pPr>
            <w:pStyle w:val="TOC1"/>
            <w:rPr>
              <w:rFonts w:asciiTheme="minorHAnsi" w:eastAsiaTheme="minorEastAsia" w:hAnsiTheme="minorHAnsi" w:cstheme="minorBidi"/>
              <w:b w:val="0"/>
              <w:bCs w:val="0"/>
              <w:sz w:val="20"/>
              <w:szCs w:val="20"/>
              <w:lang w:val="en-US"/>
            </w:rPr>
          </w:pPr>
          <w:hyperlink w:anchor="_Toc106274819" w:history="1">
            <w:r w:rsidRPr="009435E9">
              <w:rPr>
                <w:rStyle w:val="Hyperlink"/>
                <w:b w:val="0"/>
                <w:bCs w:val="0"/>
                <w:sz w:val="20"/>
                <w:szCs w:val="20"/>
              </w:rPr>
              <w:t>Hlava 24: Delikt použití nezveřejněného bota ke klamání osob za účelem ovlivnění voleb</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_Toc106274819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27</w:t>
            </w:r>
            <w:r w:rsidRPr="009435E9">
              <w:rPr>
                <w:b w:val="0"/>
                <w:bCs w:val="0"/>
                <w:webHidden/>
                <w:sz w:val="20"/>
                <w:szCs w:val="20"/>
              </w:rPr>
              <w:fldChar w:fldCharType="end"/>
            </w:r>
          </w:hyperlink>
        </w:p>
        <w:p w14:paraId="500F7B33" w14:textId="65E60018" w:rsidR="009435E9" w:rsidRPr="009435E9" w:rsidRDefault="009435E9">
          <w:pPr>
            <w:pStyle w:val="TOC1"/>
            <w:rPr>
              <w:rFonts w:asciiTheme="minorHAnsi" w:eastAsiaTheme="minorEastAsia" w:hAnsiTheme="minorHAnsi" w:cstheme="minorBidi"/>
              <w:b w:val="0"/>
              <w:bCs w:val="0"/>
              <w:sz w:val="20"/>
              <w:szCs w:val="20"/>
              <w:lang w:val="en-US"/>
            </w:rPr>
          </w:pPr>
          <w:hyperlink w:anchor="_Toc106274820" w:history="1">
            <w:r w:rsidRPr="009435E9">
              <w:rPr>
                <w:rStyle w:val="Hyperlink"/>
                <w:b w:val="0"/>
                <w:bCs w:val="0"/>
                <w:sz w:val="20"/>
                <w:szCs w:val="20"/>
              </w:rPr>
              <w:t>[Hlava 25 byla zrušena]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_Toc106274820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28</w:t>
            </w:r>
            <w:r w:rsidRPr="009435E9">
              <w:rPr>
                <w:b w:val="0"/>
                <w:bCs w:val="0"/>
                <w:webHidden/>
                <w:sz w:val="20"/>
                <w:szCs w:val="20"/>
              </w:rPr>
              <w:fldChar w:fldCharType="end"/>
            </w:r>
          </w:hyperlink>
        </w:p>
        <w:p w14:paraId="7CF6324F" w14:textId="0058C95F" w:rsidR="009435E9" w:rsidRPr="009435E9" w:rsidRDefault="009435E9">
          <w:pPr>
            <w:pStyle w:val="TOC1"/>
            <w:rPr>
              <w:rFonts w:asciiTheme="minorHAnsi" w:eastAsiaTheme="minorEastAsia" w:hAnsiTheme="minorHAnsi" w:cstheme="minorBidi"/>
              <w:b w:val="0"/>
              <w:bCs w:val="0"/>
              <w:sz w:val="20"/>
              <w:szCs w:val="20"/>
              <w:lang w:val="en-US"/>
            </w:rPr>
          </w:pPr>
          <w:hyperlink w:anchor="_Toc106274821" w:history="1">
            <w:r w:rsidRPr="009435E9">
              <w:rPr>
                <w:rStyle w:val="Hyperlink"/>
                <w:b w:val="0"/>
                <w:bCs w:val="0"/>
                <w:sz w:val="20"/>
                <w:szCs w:val="20"/>
              </w:rPr>
              <w:t>Hlava 26: Porušení povinností uložených on-line platformám</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_Toc106274821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28</w:t>
            </w:r>
            <w:r w:rsidRPr="009435E9">
              <w:rPr>
                <w:b w:val="0"/>
                <w:bCs w:val="0"/>
                <w:webHidden/>
                <w:sz w:val="20"/>
                <w:szCs w:val="20"/>
              </w:rPr>
              <w:fldChar w:fldCharType="end"/>
            </w:r>
          </w:hyperlink>
        </w:p>
        <w:p w14:paraId="0BF4F84A" w14:textId="2FC02E04" w:rsidR="009435E9" w:rsidRPr="009435E9" w:rsidRDefault="009435E9">
          <w:pPr>
            <w:pStyle w:val="TOC1"/>
            <w:rPr>
              <w:rFonts w:asciiTheme="minorHAnsi" w:eastAsiaTheme="minorEastAsia" w:hAnsiTheme="minorHAnsi" w:cstheme="minorBidi"/>
              <w:b w:val="0"/>
              <w:bCs w:val="0"/>
              <w:sz w:val="20"/>
              <w:szCs w:val="20"/>
              <w:lang w:val="en-US"/>
            </w:rPr>
          </w:pPr>
          <w:hyperlink w:anchor="_Toc106274822" w:history="1">
            <w:r w:rsidRPr="009435E9">
              <w:rPr>
                <w:rStyle w:val="Hyperlink"/>
                <w:b w:val="0"/>
                <w:bCs w:val="0"/>
                <w:sz w:val="20"/>
                <w:szCs w:val="20"/>
              </w:rPr>
              <w:t>[Hlava 27 byla zrušena]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_Toc106274822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28</w:t>
            </w:r>
            <w:r w:rsidRPr="009435E9">
              <w:rPr>
                <w:b w:val="0"/>
                <w:bCs w:val="0"/>
                <w:webHidden/>
                <w:sz w:val="20"/>
                <w:szCs w:val="20"/>
              </w:rPr>
              <w:fldChar w:fldCharType="end"/>
            </w:r>
          </w:hyperlink>
        </w:p>
        <w:p w14:paraId="4FE5DE76" w14:textId="22F83A5B" w:rsidR="009435E9" w:rsidRPr="009435E9" w:rsidRDefault="009435E9">
          <w:pPr>
            <w:pStyle w:val="TOC1"/>
            <w:rPr>
              <w:rFonts w:asciiTheme="minorHAnsi" w:eastAsiaTheme="minorEastAsia" w:hAnsiTheme="minorHAnsi" w:cstheme="minorBidi"/>
              <w:b w:val="0"/>
              <w:bCs w:val="0"/>
              <w:sz w:val="20"/>
              <w:szCs w:val="20"/>
              <w:lang w:val="en-US"/>
            </w:rPr>
          </w:pPr>
          <w:hyperlink w:anchor="_Toc106274823" w:history="1">
            <w:r w:rsidRPr="009435E9">
              <w:rPr>
                <w:rStyle w:val="Hyperlink"/>
                <w:b w:val="0"/>
                <w:bCs w:val="0"/>
                <w:sz w:val="20"/>
                <w:szCs w:val="20"/>
              </w:rPr>
              <w:t>Kapitola 9: Různá ustanovení</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_Toc106274823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28</w:t>
            </w:r>
            <w:r w:rsidRPr="009435E9">
              <w:rPr>
                <w:b w:val="0"/>
                <w:bCs w:val="0"/>
                <w:webHidden/>
                <w:sz w:val="20"/>
                <w:szCs w:val="20"/>
              </w:rPr>
              <w:fldChar w:fldCharType="end"/>
            </w:r>
          </w:hyperlink>
        </w:p>
        <w:p w14:paraId="40943BD2" w14:textId="360AAE5A" w:rsidR="009435E9" w:rsidRPr="009435E9" w:rsidRDefault="009435E9">
          <w:pPr>
            <w:pStyle w:val="TOC1"/>
            <w:rPr>
              <w:rFonts w:asciiTheme="minorHAnsi" w:eastAsiaTheme="minorEastAsia" w:hAnsiTheme="minorHAnsi" w:cstheme="minorBidi"/>
              <w:b w:val="0"/>
              <w:bCs w:val="0"/>
              <w:sz w:val="20"/>
              <w:szCs w:val="20"/>
              <w:lang w:val="en-US"/>
            </w:rPr>
          </w:pPr>
          <w:hyperlink w:anchor="_Toc106274824" w:history="1">
            <w:r w:rsidRPr="009435E9">
              <w:rPr>
                <w:rStyle w:val="Hyperlink"/>
                <w:b w:val="0"/>
                <w:bCs w:val="0"/>
                <w:sz w:val="20"/>
                <w:szCs w:val="20"/>
              </w:rPr>
              <w:t>Hlava 28: Jurisdikční imunita</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_Toc106274824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28</w:t>
            </w:r>
            <w:r w:rsidRPr="009435E9">
              <w:rPr>
                <w:b w:val="0"/>
                <w:bCs w:val="0"/>
                <w:webHidden/>
                <w:sz w:val="20"/>
                <w:szCs w:val="20"/>
              </w:rPr>
              <w:fldChar w:fldCharType="end"/>
            </w:r>
          </w:hyperlink>
        </w:p>
        <w:p w14:paraId="11C7B0CC" w14:textId="05069B7F" w:rsidR="009435E9" w:rsidRPr="009435E9" w:rsidRDefault="009435E9">
          <w:pPr>
            <w:pStyle w:val="TOC1"/>
            <w:rPr>
              <w:rFonts w:asciiTheme="minorHAnsi" w:eastAsiaTheme="minorEastAsia" w:hAnsiTheme="minorHAnsi" w:cstheme="minorBidi"/>
              <w:b w:val="0"/>
              <w:bCs w:val="0"/>
              <w:sz w:val="20"/>
              <w:szCs w:val="20"/>
              <w:lang w:val="en-US"/>
            </w:rPr>
          </w:pPr>
          <w:hyperlink w:anchor="_Toc106274825" w:history="1">
            <w:r w:rsidRPr="009435E9">
              <w:rPr>
                <w:rStyle w:val="Hyperlink"/>
                <w:b w:val="0"/>
                <w:bCs w:val="0"/>
                <w:sz w:val="20"/>
                <w:szCs w:val="20"/>
              </w:rPr>
              <w:t>Hlava 29: Doručování výzev nebo nařízení vydaných podle hlavy 10</w:t>
            </w:r>
            <w:r w:rsidRPr="009435E9">
              <w:rPr>
                <w:b w:val="0"/>
                <w:bCs w:val="0"/>
                <w:webHidden/>
                <w:sz w:val="20"/>
                <w:szCs w:val="20"/>
              </w:rPr>
              <w:tab/>
            </w:r>
            <w:r w:rsidRPr="009435E9">
              <w:rPr>
                <w:b w:val="0"/>
                <w:bCs w:val="0"/>
                <w:webHidden/>
                <w:sz w:val="20"/>
                <w:szCs w:val="20"/>
              </w:rPr>
              <w:fldChar w:fldCharType="begin"/>
            </w:r>
            <w:r w:rsidRPr="009435E9">
              <w:rPr>
                <w:b w:val="0"/>
                <w:bCs w:val="0"/>
                <w:webHidden/>
                <w:sz w:val="20"/>
                <w:szCs w:val="20"/>
              </w:rPr>
              <w:instrText xml:space="preserve"> PAGEREF _Toc106274825 \h </w:instrText>
            </w:r>
            <w:r w:rsidRPr="009435E9">
              <w:rPr>
                <w:b w:val="0"/>
                <w:bCs w:val="0"/>
                <w:webHidden/>
                <w:sz w:val="20"/>
                <w:szCs w:val="20"/>
              </w:rPr>
            </w:r>
            <w:r w:rsidRPr="009435E9">
              <w:rPr>
                <w:b w:val="0"/>
                <w:bCs w:val="0"/>
                <w:webHidden/>
                <w:sz w:val="20"/>
                <w:szCs w:val="20"/>
              </w:rPr>
              <w:fldChar w:fldCharType="separate"/>
            </w:r>
            <w:r w:rsidRPr="009435E9">
              <w:rPr>
                <w:b w:val="0"/>
                <w:bCs w:val="0"/>
                <w:webHidden/>
                <w:sz w:val="20"/>
                <w:szCs w:val="20"/>
              </w:rPr>
              <w:t>28</w:t>
            </w:r>
            <w:r w:rsidRPr="009435E9">
              <w:rPr>
                <w:b w:val="0"/>
                <w:bCs w:val="0"/>
                <w:webHidden/>
                <w:sz w:val="20"/>
                <w:szCs w:val="20"/>
              </w:rPr>
              <w:fldChar w:fldCharType="end"/>
            </w:r>
          </w:hyperlink>
        </w:p>
        <w:p w14:paraId="2FFEEE6D" w14:textId="34D63CDB" w:rsidR="003C524C" w:rsidRPr="003E288A" w:rsidRDefault="003C524C" w:rsidP="009A3E29">
          <w:pPr>
            <w:rPr>
              <w:rFonts w:ascii="Times New Roman" w:hAnsi="Times New Roman" w:cs="Times New Roman"/>
            </w:rPr>
          </w:pPr>
          <w:r w:rsidRPr="00883C74">
            <w:rPr>
              <w:rFonts w:ascii="Times New Roman" w:hAnsi="Times New Roman" w:cs="Times New Roman"/>
              <w:sz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274784"/>
      <w:r>
        <w:rPr>
          <w:sz w:val="28"/>
        </w:rPr>
        <w:lastRenderedPageBreak/>
        <w:t>Kapitola 1: Úvod</w:t>
      </w:r>
      <w:bookmarkEnd w:id="11"/>
    </w:p>
    <w:p w14:paraId="4DB9FF2C" w14:textId="5BDDEC7E" w:rsidR="00A7406B" w:rsidRPr="00835148" w:rsidRDefault="00A7406B" w:rsidP="00883C74">
      <w:pPr>
        <w:pStyle w:val="Heading1"/>
      </w:pPr>
      <w:bookmarkStart w:id="12" w:name="_Toc106274785"/>
      <w:r>
        <w:t>Hlava 1: Další definice, pokud jde o část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Tato hlava stanoví, že:</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V této části:</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se pojem „oprávněný úředník“ vykládá v souladu s hlavou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se „botem“ rozumí automatizovaný on-line účet, softwarový program nebo proces, kdy všechny akce nebo téměř všechny akce či příspěvky tohoto účtu, programu nebo procesu nejsou výsledkem činnosti osoby;</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se „dezinformací“ pro účely této části a tohoto zákona rozumí jakékoli nepravdivé nebo zavádějící on-line informace o volbách, které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mohou způsobit veřejnou újmu a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vzhledem k povaze a charakteru jejich obsahu, kontextu nebo jakékoli jiné relevantní okolnosti vedou k závěru, že byly vytvořeny nebo šířeny s cílem klamat</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se „obdobím volební kampaně“ rozumí:</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takové období (včetně volebního období), které může být podle potřeby a v souvislosti s jakýmikoli volbami nebo referendem stanoveno komisí, počínaje datem před nadcházejícími volbami nebo referendem a konče dnem konání voleb v době, kdy se volební místnosti uzavřou, přičemž tato data musí být uvedena v oznámení zveřejněném komisí způsobem, který považuje za vhodný, a to nejméně sedm dní před dřívějším datem;</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období začínající tři měsíce před nejzazším datem, kdy se podle právních předpisů musí konat volby, a končící ukončením volebního období nebo</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v případě, že se nepoužijí písmena a) a b), volební období;</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se „volebním obdobím“ v této části rozumí časový úsek, který začíná dnem vydání nařízení o datu voleb a končí dnem uzavření volebních místností;</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se „cílením na podobná publika“ rozumí použití údajů od stávajícího on-line publika k identifikaci dalších osob s podobnými charakteristikami nebo zabývajících se podobnými činnostmi na on-line platformě;</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se „manipulativním nebo neautentickým chováním“ rozumí taktika, techniky a postupy, které:</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představují klamavé využívání služeb nebo funkcí poskytovaných on-line platformami, včetně chování uživatelů, jehož cílem je uměle zvýšit dosah nebo vnímanou veřejnou podporu konkrétního obsahu,</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by mohly ovlivnit informace viditelné pro ostatní uživatele této platformy,</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vzhledem k jejich povaze a charakteru, kontextu nebo jiným relevantním okolnostem vedou k závěru, že jejich cílem je vést k šíření, zveřejňování nebo zvýšenému oběhu nepravdivých nebo zavádějících on-line informací o volbách a</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mohou způsobit veřejnou újmu.</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se „mikrocílením“ rozumí metoda cílení zahrnující použití technik analýzy údajů, nástrojů nebo jiných metod k zaměření, přenosu nebo sdělování přizpůsobené on-line politické reklamy buď pro konkrétní osobu nebo skupinu osob, nebo ke zvýšení oběhu, dosahu nebo viditelnosti on-line politické reklamy;</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se „zavádějícími informacemi“ pro účely této části a tohoto zákona rozumí jakékoli nepravdivé nebo zavádějící on-line informace o volebním procesu, které mohou způsobit veřejnou újmu, bez ohledu na to, zda byly informace vytvořeny nebo šířeny s vědomím jejich nepravdivosti nebo zavádějící povahy nebo s jakýmkoli úmyslem způsobit takovou újmu;</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se „on-line informacemi o volbách“ rozumí:</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jakékoli on-line informace o volebním procesu nebo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jakýkoli obsah on-line týkající se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kandidáta ve volbách;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politické strany, která má kandidáty ve volbách,</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otázek, které mají význam pro volby nebo</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otázek, které jsou důležité pro referendum.</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se „on-line informacemi o volebním procesu“ rozumí on-line obsah faktické povahy týkající se konání voleb nebo referenda, mimo jiné registrace voličů nebo kandidátů, časů a míst hlasování, opatření pro hlasování poštou, tajnosti hlasování, sčítání hlasů a jakýkoli jiný věcný obsah týkající se konání určitých voleb nebo referenda nebo voleb či referend obecněji;</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se „on-line platformou“ rozumí jakákoli internetová stránka, webová aplikace nebo digitální aplikace orientovaná na veřejnost a přístupná široké veřejnosti nebo části veřejnosti, která</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má nejméně 100 000 jedinečných uživatelů měsíčně ve státě po dobu nejméně sedmi měsíců během 12 měsíců bezprostředně předcházejících datu vydání nařízení o datu voleb a</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zobrazuje jakýkoli obsah pro politické účely, zahrnující mimo jiné i on-line politickou reklamu;</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má pojem „on-line politická reklama“ význam uvedený v části 4;</w:t>
      </w:r>
    </w:p>
    <w:p w14:paraId="6D559116" w14:textId="6987F8C7"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má pojem „politické účely“ význam přidělený v § 22 odst. 2 písm. aa) </w:t>
      </w:r>
      <w:hyperlink r:id="rId14">
        <w:r>
          <w:rPr>
            <w:rFonts w:ascii="Times New Roman" w:hAnsi="Times New Roman"/>
            <w:u w:val="single"/>
          </w:rPr>
          <w:t>volebního zákona z roku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se „nařízením o datu voleb“ rozumí nařízení vydané ministrem, kterým se určuje den konání voleb, které</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se v případě voleb do dolní komory irského parlamentu vydává podle § 96 </w:t>
      </w:r>
      <w:r>
        <w:rPr>
          <w:u w:val="single"/>
        </w:rPr>
        <w:t>volebního zákona z roku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se v případě voleb do Evropského parlamentu vydává podle § 10 </w:t>
      </w:r>
      <w:r>
        <w:rPr>
          <w:u w:val="single"/>
        </w:rPr>
        <w:t>zákona z roku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se v případě místních voleb vydává podle § 26 </w:t>
      </w:r>
      <w:r>
        <w:rPr>
          <w:u w:val="single"/>
        </w:rPr>
        <w:t>zákona o místní samosprávě z roku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se v případě prezidentských voleb vydává podle § 6 odst. 1 písm. c) </w:t>
      </w:r>
      <w:r>
        <w:rPr>
          <w:u w:val="single"/>
        </w:rPr>
        <w:t>zákona o prezidentských volbách z roku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se v případě referenda vydává podle § 10 nebo § 12 </w:t>
      </w:r>
      <w:r>
        <w:rPr>
          <w:u w:val="single"/>
        </w:rPr>
        <w:t>zákona z roku 1994</w:t>
      </w:r>
      <w:r>
        <w:t xml:space="preserve"> nebo</w:t>
      </w:r>
    </w:p>
    <w:p w14:paraId="4B10A3B0" w14:textId="205FD97D"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se v případě voleb do horní komory irského parlamentu vydává podle § 12 </w:t>
      </w:r>
      <w:hyperlink r:id="rId15">
        <w:r>
          <w:rPr>
            <w:u w:val="single"/>
          </w:rPr>
          <w:t>zákona o volbách do horní komory irského parlamentu z roku 1937</w:t>
        </w:r>
      </w:hyperlink>
      <w:r>
        <w:rPr>
          <w:u w:val="single"/>
        </w:rPr>
        <w:t xml:space="preserve"> (univerzitní členové) a podle § 24 zákona o volbách do horní komory irského parlamentu (členové odborných výborů) z roku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se „veřejnou újmou“ rozumí jakékoli vážné ohrožení spravedlivosti nebo integrity voleb nebo referenda;</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se „doporučovacím systémem“ rozumí plně nebo částečně automatizovaný systém používaný on-line platformou k tomu, aby ve svém on-line rozhraní navrhoval příjemcům služby konkrétní informace, a to mimo jiné v důsledku vyhledávání iniciovaného příjemcem, nebo jinak určující relativní pořadí nebo význam zobrazených informací.</w:t>
      </w:r>
    </w:p>
    <w:p w14:paraId="3DB1D383" w14:textId="68215284" w:rsidR="00FE377C" w:rsidRPr="00835148" w:rsidRDefault="00FE377C" w:rsidP="00883C74">
      <w:pPr>
        <w:pStyle w:val="Heading1"/>
      </w:pPr>
      <w:bookmarkStart w:id="14" w:name="_Toc106274786"/>
      <w:r>
        <w:lastRenderedPageBreak/>
        <w:t>Hlava 2: Funkce komise, pokud jde o on-line informace o volbách a manipulativní nebo neautentické chování</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Tato hlava stanoví, že:</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Úkolem komise je chránit spravedlnost a integritu voleb a referend v souladu s touto částí.</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Úkolem komise je monitorování, vyšetřování a boj proti šíření</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dezinformací a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zavádějících informací.</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Úkolem komise je monitorovat, vyšetřovat a identifikovat manipulativní nebo neautentické chování.</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Úkolem komise je monitorovat, vyšetřovat a identifikovat trendy ve vztahu k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dezinformacím,</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zavádějícím informacím a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manipulativnímu nebo neautentickému chování.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Úkolem komise je podporovat informovanost veřejnosti o zavádějících informacích, dezinformacích a manipulativním nebo neautentickém chování a za účelem plnění tohoto úkolu může zřizovat, umožňovat nebo podporovat vzdělávací nebo informační programy.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Komise má pravomoc uzavírat smlouvy a jiná ujednání s osobami nebo institucemi ve státě nebo jinde.</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27478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Hlava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Zřízení a úloha poradního výboru</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Tato hlava stanoví, že:</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Komise zřídí poradní výbor pro on-line informace o volbách (v této části se označuje jako „poradní výbor“), který bude komisi poskytovat poradenství.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Poradní výbor na žádost a případně i z vlastního podnětu poskytuje komisi poradenství ohledně: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povahy a účinku dezinformací a zavádějících informací a</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je-li to proveditelné, využívání pravomocí komise podle této části.</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Poradní výbor se skládá z nejvýše šesti osob jmenovaných komisí s odbornými znalostmi v oblasti:</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procesu voleb a referenda ve státě,</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prosazování spravedlnosti a integrity ve volbách a referendech a</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využívání informačních technologií a šíření informací on-line v souvislosti s volbami a referendy.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274788"/>
      <w:bookmarkEnd w:id="66"/>
      <w:bookmarkEnd w:id="67"/>
      <w:bookmarkEnd w:id="68"/>
      <w:bookmarkEnd w:id="69"/>
      <w:bookmarkEnd w:id="70"/>
      <w:r>
        <w:t>Hlava 4: Zřízení a úloha rady zúčastněných stran</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Tato hlava stanoví, že</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Komise zřídí radu zúčastněných stran, která bude komisi poskytovat poradenství ohledně vypracovávání a používání kodexů chování.</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Rada zúčastněných stran se skládá z nejvýše 15 osob jmenovaných komisí tak, aby byly zohledněny názory členů irského parlamentu (Oireachtas), jakož i názory týkající se zájmů tištěných, rozhlasových a televizních a on-line sdělovacích prostředků a jednotlivých politických stran.</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Kapitola 2: Povinnosti uložené uživatelům on-line platforem a on-line platformám</w:t>
      </w:r>
    </w:p>
    <w:p w14:paraId="202A1993" w14:textId="5E0AEEEA" w:rsidR="00BF3C23" w:rsidRDefault="00BF3C23" w:rsidP="00883C74">
      <w:pPr>
        <w:pStyle w:val="Heading1"/>
      </w:pPr>
      <w:bookmarkStart w:id="72" w:name="_Toc106274789"/>
      <w:r>
        <w:t>[Hlava 5 byla zrušena]</w:t>
      </w:r>
      <w:bookmarkEnd w:id="72"/>
    </w:p>
    <w:p w14:paraId="647C6724" w14:textId="77777777" w:rsidR="00C47AF9" w:rsidRPr="009435E9" w:rsidRDefault="00C47AF9" w:rsidP="00687387"/>
    <w:p w14:paraId="4D5E71E3" w14:textId="02045E7F" w:rsidR="00AD5419" w:rsidRPr="00835148" w:rsidRDefault="00AD5419" w:rsidP="00883C74">
      <w:pPr>
        <w:pStyle w:val="Heading1"/>
      </w:pPr>
      <w:bookmarkStart w:id="73" w:name="_Toc106274790"/>
      <w:r>
        <w:t>Hlava 6: Povinnost on-line platforem poskytovat informace komisi</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Tato hlava stanoví, že:</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Pokud se on-line platforma během období volební kampaně na základě informací, o nichž se dozví, a to i způsobem oznámení obdrženého prostřednictvím mechanismu pro podávání stížností zřízeného podle hlavy 7, přesvědčí, že její služby mohou být využívány pro účely: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dezinformace;</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zavádějících informací nebo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manipulativního nebo neautentického chování,</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on-line platforma tyto dezinformace, zavádějící informace nebo manipulativní či neautentické chování oznámí bez zbytečného odkladu komisi.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Aniž je dotčeno ustanovení v odstavci 1, co nejdříve na začátku období volební kampaně on-line platforma s více než 1 milionem jedinečných uživatelů měsíčně ve státě vypracuje a předá komisi zprávu, v níž uvede veškerá významná rizika pro spravedlnost nebo integritu voleb nebo referenda, které představují dezinformace, zavádějící informace nebo manipulativní či neautentické chování v rámci jejích služeb.</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Zpráva uvedená v odstavci 2 musí obsahovat alespoň:</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informace o rozšíření významných zavádějících informací a dezinformací v rámci služby on-line platformy, včetně oznámení obdržených podle hlavy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informace o rozšíření manipulativního nebo neautentického chování v rámci služby on-line platformy, včetně oznámení obdržených v rámci kapitoly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informace o rozšíření mikrocílení nebo cílení na podobná publika zaměřených na služby poskytované on-line platformou a</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 xml:space="preserve">informace o veškerých rizicích, která představuje provoz jakéhokoli doporučovacího systému používaného on-line platformou k šíření a propagaci obsahu.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Informace uvedené ve zprávě podle odstavce 2 zahrnují netechnické souhrny skutečností uvedených v odst. 3 písm. a) až 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Komise sleduje, zda on-line platformy plní požadavky této hlavy. </w:t>
      </w:r>
    </w:p>
    <w:p w14:paraId="629AD04A" w14:textId="4B923B99" w:rsidR="00AD5419" w:rsidRPr="00835148" w:rsidRDefault="00AD5419" w:rsidP="00883C74">
      <w:pPr>
        <w:pStyle w:val="Heading1"/>
      </w:pPr>
      <w:bookmarkStart w:id="74" w:name="_Toc106274791"/>
      <w:r>
        <w:t>Hlava 7: Povinnost on-line platformy zavést mechanismus oznamování</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Tato hlava stanoví, že:</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 platformy zavedou mechanismy, které jednotlivcům nebo subjektům umožní informovat tyto platformy o tom, že se na platformách nacházejí informace, které jednotlivec nebo subjekt považuje za</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dezinformace nebo</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zavádějící informace.</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 platformy zavedou mechanismy, které jednotlivcům nebo subjektům umožní oznamovat těmto platformám výskyt konkrétních činností nebo chování v souvislosti s on-line informacemi o volbách, které daná osoba nebo subjekt považuje za manipulativní nebo neautentické chování v rámci služeb těchto platforem.</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Tyto mechanismy stanovené v odstavcích 1 a 2 musí být snadno přístupné, uživatelsky vstřícné a umožňovat podávání oznámení výhradně elektronickými prostředky.</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On-line platformy bez zbytečného odkladu posoudí, zpracují a určí oprávněnost výhrad vyjádřených v oznámeních obdržených podle odstavce 1 nebo 2.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On-line platformy uchovávají záznamy o všech oznámeních obdržených podle odstavců 1 nebo 2 a o výsledku rozhodovacího procesu uvedeného v odstavci 4 po dobu dvou let po skončení příslušného volebního období.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 platformy zpřístupní v přiměřené lhůtě komisi k nahlédnutí záznam uvedený v odst. 5.</w:t>
      </w:r>
    </w:p>
    <w:p w14:paraId="2A6361BF" w14:textId="6F696EA4" w:rsidR="00AD5419" w:rsidRPr="008273CD" w:rsidRDefault="00AD5419" w:rsidP="008273CD">
      <w:pPr>
        <w:pStyle w:val="Heading1"/>
        <w:jc w:val="center"/>
        <w:rPr>
          <w:sz w:val="28"/>
          <w:szCs w:val="28"/>
        </w:rPr>
      </w:pPr>
      <w:bookmarkStart w:id="75" w:name="_Toc106274792"/>
      <w:r>
        <w:rPr>
          <w:sz w:val="28"/>
        </w:rPr>
        <w:t>Kapitola 3: Pravomoci komise</w:t>
      </w:r>
      <w:bookmarkEnd w:id="75"/>
    </w:p>
    <w:p w14:paraId="289914F5" w14:textId="47AA4F6A" w:rsidR="00511749" w:rsidRPr="00835148" w:rsidRDefault="00511749" w:rsidP="00883C74">
      <w:pPr>
        <w:pStyle w:val="Heading1"/>
      </w:pPr>
      <w:bookmarkStart w:id="76" w:name="_Toc106274793"/>
      <w:r>
        <w:t>Hlava 8: Sledování on-line informací o volbách prováděné komisí a související vyšetřování</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lastRenderedPageBreak/>
        <w:t>Tato hlava stanoví, že:</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Komise může za účelem plnění svých funkcí podle této části sledovat on-line informace o volbách.</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Má-li komise důvod se domnívat, že konkrétní on-line informace o volbách mohou</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představovat dezinformace,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představovat zavádějící informace nebo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zahrnovat manipulativní nebo neautentické chování, včetně používání nezveřejněných botů,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komise může jakoukoli takovou záležitost přezkoumat nebo vyšetřit nebo jmenovat oprávněného úředníka, aby ji přezkoumal nebo prošetřil.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Komise může provést taková šetření, která považuje za vhodná, nebo nařídit oprávněnému úředníkovi, aby taková šetření provedl, a komise nebo oprávněný úředník může požadovat, aby kterákoli osoba neprodleně poskytla veškeré informace, dokumenty nebo věci, které vlastní nebo které má k dispozici, které komise nebo oprávněný úředník mohou požadovat pro účely vyšetřování.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Všechny vyšetřovací pravomoci oprávněných úředníků uplatnitelné podle části 4 ve vztahu k on-line politickým reklamám nebo jiným způsobem musí být vykonavatelné obdobně, pokud jde o funkce komise podle této části, stejným způsobem, pokud jde o nepravdivé [nebo zavádějící] on-line informace o volbách a manipulativní nebo neautentické chování. </w:t>
      </w:r>
    </w:p>
    <w:p w14:paraId="2712EF5A" w14:textId="77777777" w:rsidR="000F1EE0" w:rsidRPr="009435E9"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Pokud oprávněný úředník předloží komisi zprávu týkající se nepravdivých [nebo zavádějících] on-line informací o volbách nebo manipulativního či neautentického chování podle odstavce 5, komise tuto zprávu, veškerá předložená podání a veškerá doporučení od oprávněného úředníka nebo zaměstnance komise, která jí byla předložena, zohlední.</w:t>
      </w:r>
    </w:p>
    <w:p w14:paraId="0E40789A" w14:textId="77777777" w:rsidR="000F1EE0" w:rsidRPr="009435E9"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Komise může podle svého uvážení vyzvat jakoukoli osobu, u které má oprávněný úředník nebo zaměstnanec komise důvodné podezření, že porušuje, mohla porušit nebo porušila své povinnosti podle této části, aby provedla další písemná podání komisi ve lhůtě, kterou komise stanoví, ve vztahu ke stanovisku komise a zprávě předložené komisi oprávněným úředníkem nebo zaměstnancem. </w:t>
      </w:r>
    </w:p>
    <w:p w14:paraId="3F5C6539" w14:textId="77777777" w:rsidR="000F1EE0" w:rsidRPr="009435E9"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Po zohlednění zprávy a všech doporučení vydaných oprávněným úředníkem podle odstavce 5 nebo zaměstnancem komise a jakýchkoli dalších podání podle odstavce 6 komise může </w:t>
      </w:r>
    </w:p>
    <w:p w14:paraId="21B60AE3" w14:textId="77777777" w:rsidR="000F1EE0" w:rsidRPr="009435E9"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nepodniknout žádné další kroky,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je-li přesvědčena, že dochází nebo došlo k porušení, uplatnit kteroukoli z pravomocí, které má k dispozici v podle hlavy 10, ve vztahu k jakékoli osobě, o níž se komise domnívá, že porušuje nebo porušila požadavky této části,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zveřejnit zprávu o vyšetřování nebo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je-li přesvědčena, že dochází nebo došlo k porušení, zahájit trestní stíhání za delikt, který mohl být spáchán, v souladu s hlavami 24, 25 a 26.</w:t>
      </w:r>
    </w:p>
    <w:p w14:paraId="7DA53FB5" w14:textId="77777777" w:rsidR="0038298A" w:rsidRPr="009435E9"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274794"/>
      <w:r>
        <w:t>Hlava 8A: Přenesení pravomocí komise na úředníka pověřeného prováděním politiky [nebo jiného člena komise]</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Tato hlava stanoví, že:</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Komise může nařízením přenést výkon svých pravomocí podle hlavy 10, jak komise považuje za vhodné, na úředníka pověřeného prováděním politiky komise [nebo jiného člena komise] a úředník pověřený prováděním politiky [nebo jiný člen komise] vykonává povinnosti odpovídající takto přeneseným pravomocem a za tímto účelem jedná namísto komise.</w:t>
      </w:r>
    </w:p>
    <w:p w14:paraId="0566BE66" w14:textId="77777777" w:rsidR="00473A30" w:rsidRPr="009435E9"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Je-li provedeno přenesení podle odstavce 2</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a) </w:t>
      </w:r>
      <w:r>
        <w:rPr>
          <w:rFonts w:ascii="Times New Roman" w:hAnsi="Times New Roman"/>
        </w:rPr>
        <w:tab/>
        <w:t>úředník pověřený prováděním politiky komise [nebo jiný člen komise] vykonává přenesenou pravomoc pod obecným vedením a kontrolou komise,</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b) </w:t>
      </w:r>
      <w:r>
        <w:rPr>
          <w:rFonts w:ascii="Times New Roman" w:hAnsi="Times New Roman"/>
        </w:rPr>
        <w:tab/>
        <w:t>úředník pověřený prováděním politiky komise [nebo jiný člen komise] vykonává přenesenou pravomoc v souladu s omezeními (pokud existují), která mohou být v rámci přenesení pravomoci stanovena, pokud jde o dobu nebo rozsah výkonu této pravomoci,</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 xml:space="preserve">c) </w:t>
      </w:r>
      <w:r>
        <w:rPr>
          <w:rFonts w:ascii="Times New Roman" w:hAnsi="Times New Roman"/>
        </w:rPr>
        <w:tab/>
        <w:t xml:space="preserve">ustanovení tohoto nebo jiného právního předpisu nebo na základě tohoto nebo jiného právního předpisu, která udělují komisi pravomoci nebo upravují způsob, jakým má být určitá pravomoc vykonávána, se uplatňují na výkon pravomoci úředníkem pověřeným prováděním </w:t>
      </w:r>
      <w:r>
        <w:rPr>
          <w:rFonts w:ascii="Times New Roman" w:hAnsi="Times New Roman"/>
        </w:rPr>
        <w:lastRenderedPageBreak/>
        <w:t>politiky [nebo jiným členem komise], pokud a nakolik se vztahuje na přenesenou pravomoc, s tím, že komisi nahradí úředník pověřený prováděním politiky komise [nebo jiný člen komise] a každé takové ustanovení bude vykládáno odpovídajícím způsobem.</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Je-li přenesena pravomoc podle této hlavy, je pravomoc i nadále svěřena komisi, ale je svěřena současně úředníkovi pověřenému prováděním politiky komise [nebo jinému členu komise], na kterého je přenesena, a to tak, aby mohla být vykonávána buď komisí, nebo úředníkem pověřeným prováděním politiky komise [nebo jiným členem komise].</w:t>
      </w:r>
    </w:p>
    <w:p w14:paraId="0D79649F" w14:textId="77777777" w:rsidR="00B95721" w:rsidRPr="009435E9"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Komise může nařízením změnit nebo zrušit přenesení pravomoci provedené podle této hlavy.</w:t>
      </w:r>
    </w:p>
    <w:p w14:paraId="770C7821" w14:textId="77777777" w:rsidR="00B95721" w:rsidRPr="009435E9"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Komise může kdykoli poskytnout veškeré materiály nebo informace vyplývající z vyšetřování podle hlavy 8, včetně jakékoli zprávy vypracované oprávněným úředníkem, úředníkovi pověřenému prováděním politiky komise [nebo jinému členovi komise] a učiní tak, pokud se domnívá, že tyto informace mohou být nezbytné k řádnému výkonu jakékoli pravomoci podle hlavy 10, která byla podle této hlavy přenesena na úředníka pověřeného prováděním politiky komise [nebo jiného člena komise].</w:t>
      </w:r>
    </w:p>
    <w:p w14:paraId="04BCABA0" w14:textId="77777777" w:rsidR="00375AED" w:rsidRPr="009435E9"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Jakýkoli nedostatek v přenesení pravomoci podle této hlavy nebo její nepřenesení, pokud jde o pravomoc vykonávanou úředníkem pověřeným prováděním politiky komise [nebo jiným členem komise] jednajícím v dobré víře jménem komise, samo o sobě nezpůsobuje zneplatnění výkonu pravomocí podle hlavy 10 úředníkem pověřeným prováděním politiky komise [nebo jiným členem komise].</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274795"/>
      <w:bookmarkEnd w:id="78"/>
      <w:bookmarkEnd w:id="79"/>
      <w:bookmarkEnd w:id="80"/>
      <w:bookmarkEnd w:id="81"/>
      <w:bookmarkEnd w:id="82"/>
      <w:bookmarkEnd w:id="83"/>
      <w:bookmarkEnd w:id="84"/>
      <w:bookmarkEnd w:id="85"/>
      <w:bookmarkEnd w:id="86"/>
      <w:bookmarkEnd w:id="87"/>
      <w:bookmarkEnd w:id="88"/>
      <w:r>
        <w:t>Hlava 9: Požadavky na výkon pravomocí komise podle této části</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Komise vykonává své pravomoci podle hlavy 10 pouze tehdy, pokud je komise přesvědčena, že je ve veřejném zájmu tak učinit, a to s ohledem na všechny okolnosti, včetně práv jakékoli osoby, o níž komise ví, že by mohla být výkonem těchto pravomocí dotčena.</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Aniž je dotčen odstavec 1, komise při zvažování využití pravomocí podle hlavy 10 přikládá náležitou váhu těmto záležitostem:</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ústavní právo na svobodu projevu,</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ústavní právo na svobodu sdružování,</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ústavní právo účastnit se veřejných záležitostí a</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lastRenderedPageBreak/>
        <w:t>ústavní povinnost státu bránit a zajišťovat spravedlnost a integritu voleb a referend.</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Kromě toho komise při zvažování výkonu pravomocí stanovených podle hlavy 10 přihlíží k těmto záležitostem: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potřeba zajistit hospodárné a účinné využívání zdrojů komise;</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závažnost dotčené hrozby ve vztahu k celkové integritě a spravedlnosti procesu voleb nebo referenda;</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veškeré pokyny zveřejněné podle odstavce 3 této hlavy.</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Komise zavede pokyny k informování o řádném výkonu pravomocí komise podle této části komisí nebo v případě, že bylo vydáno nařízení k přenesení pravomoci podle hlavy 8A, úředníkem pověřeným prováděním politiky komise [nebo jiným členem komise]. Tyto pokyny mohou zahrnovat:</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opatření k zajištění toho, aby výkon pravomocí komise byl pro veřejnost transparentní a v souladu s mezinárodními osvědčenými postupy;</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opatření, jimiž se řídí posouzení významnosti provedené komisí pro účely výkonu jejích pravomocí podle této hlavy nebo kterékoli z nich.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Každá výzva nebo nařízení vydané podle hlavy 10 musí: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uvést odůvodnění stanoviska komise, že je vhodné, aby taková výzva nebo nařízení byly vydány,</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upřesnit lhůtu a datum, do kdy má osoba, které je výzva nebo nařízení určeno, vyhovět výzvě nebo nařízení,</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upřesnit datum a čas, do kdy musí osoba, které je výzva nebo nařízení určeno, potvrdit komisi, že požadavky výzvy nebo nařízení byly splněny,</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uvést, že osoba, které je výzva nebo nařízení určeno, se může proti výzvě nebo nařízení odvolat podle hlavy 15 a že toto odvolání musí být učiněno prostřednictvím portálu na internetových stránkách komise ve lhůtě sedmi dnů od vydání výzvy nebo nařízení;</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uvést, že není-li takové odvolání podáno podle hlavy 15, považuje se podání výzvy nebo nařízení za nesporné;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uvést, že nedodržení výzvy nebo nařízení může vést k uložení správní pokuty a</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uvést, že nesplnění požadavků výzvy nebo nařízení vydaných podle </w:t>
      </w:r>
      <w:r>
        <w:rPr>
          <w:rFonts w:ascii="Times New Roman" w:hAnsi="Times New Roman"/>
        </w:rPr>
        <w:lastRenderedPageBreak/>
        <w:t>hlavy 10 je deliktem.</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Aby se předešlo pochybnostem, může komise rozhodnout, že s ohledem na všechny okolnosti je vhodné vydat více než jednu výzvu nebo nařízení v souvislosti se stejným obsahem nebo chováním on-line.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27479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Hlava 10: Pravomoci komise</w:t>
      </w:r>
      <w:bookmarkEnd w:id="435"/>
    </w:p>
    <w:p w14:paraId="69E362D2" w14:textId="5A36DF05" w:rsidR="003C524C" w:rsidRPr="00835148" w:rsidRDefault="003C524C" w:rsidP="00F6269D">
      <w:pPr>
        <w:pStyle w:val="Heading2"/>
      </w:pPr>
      <w:bookmarkStart w:id="436" w:name="_Toc106274797"/>
      <w:r>
        <w:t>Hlava 10 bod i): Pravomoc vydat výzvu k odstranění</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Tato hlava stanoví, že:</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Pokud</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je komise během období volební kampaně přesvědčena z dostupných informací, ať už získaných prostřednictvím sledování on-line informací o volbách nebo poskytnutých jakoukoli jinou osobou či jiným způsobem, že jakékoli on-line informace o volbách představují dezinformace nebo</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je komise kdykoli přesvědčena z dostupných informací, ať již získaných sledováním on-line informací o volbách nebo poskytnutých jakoukoli jinou osobou či jiným způsobem, že jakékoli on-line informace o volebním procesu představují zavádějící informace,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a komise je přesvědčena, že vydání takové výzvy je nezbytné pro ochranu spravedlnosti nebo integrity voleb nebo referenda, může komise vydat výzvu k odstranění, ve které požaduje, aby každá fyzická nebo právnická osoba, včetně jakéhokoli provozovatele nebo poskytovatele hostingu jakékoli on-line platformy, ve stanovené lhůtě odstranila obsah, k němuž se výzva k odstranění vztahuje.</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Výzva podle této hlavy musí:</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obsahovat odůvodnění stanoviska komise dokládající, že podmínky uvedené v odst. 1 jsou splněny;</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přesné on-line místo pro on-line informace o volbách uvedené v odst. 1 písm. a) nebo b) a v případě potřeby veškeré další údaje umožňující identifikaci těchto informací;</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prohlášení stanovené komisí ohledně on-line informací o volbách uvedených v odst. 1 písm. a) nebo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informovat příjemce, že musí učinit prohlášení uvedené v písmenu c) na on-line místě uvedeném v písmenu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informovat příjemce o právu podat odvolání proti výzvě podle hlavy 15 do pěti dnů.</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Prohlášení uvedené v odst. 3 písm. c) musí jasně uvádět: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že se jedná o stanovené prohlášení, které musí být zveřejněno na základě výzvy k odstranění vydané komisí, podle níž komise podle této hlavy požaduje odstranění určitého obsahu viditelného na tomto on-line místě;</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že toto opatření bylo přijato, protože obsah dříve zveřejněný na daném místě představoval dezinformace nebo zavádějící informace;</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shrnutí důvodů pro stanovisko komise dokládající, že je nezbytné požadovat odstranění informací v zájmu ochrany spravedlnosti nebo integrity voleb nebo referenda a</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údaj o tom, že jakákoli fyzická nebo právnická osoba, jíž se výzva přímo dotýká, se může do pěti dnů odvolat proti výzvě podle hlavy 15.</w:t>
      </w:r>
    </w:p>
    <w:p w14:paraId="75DC705B" w14:textId="2F2F5DC7" w:rsidR="003C524C" w:rsidRPr="00835148" w:rsidRDefault="003C524C" w:rsidP="00F6269D">
      <w:pPr>
        <w:pStyle w:val="Heading2"/>
        <w:spacing w:before="480" w:after="240"/>
      </w:pPr>
      <w:bookmarkStart w:id="437" w:name="_Toc97143779"/>
      <w:bookmarkStart w:id="438" w:name="_Toc106274798"/>
      <w:bookmarkEnd w:id="437"/>
      <w:r>
        <w:t>Hlava 10 bod ii): Pravomoc vydat výzvu k opravě</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Tato hlava stanoví, že:</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Pokud</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je komise během období volební kampaně přesvědčena z dostupných informací, ať už získaných prostřednictvím sledování on-line informací o volbách nebo poskytnutých jakoukoli jinou osobou či jiným způsobem, že jakékoli on-line informace o volbách představují dezinformace nebo</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je komise kdykoli přesvědčena z dostupných informací, ať již získaných svým sledováním on-line informací o volbách nebo poskytnutých jakoukoli jinou osobou či jiným způsobem, že jakékoli on-line informace o volebním procesu představují zavádějící informace,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a komise je přesvědčena, že vydání takové výzvy je nezbytné pro ochranu spravedlnosti nebo integrity voleb nebo referenda, může vydat výzvu k opravě, ve které požaduje, aby každá fyzická nebo právnická osoba, které je určena, včetně jakéhokoli provozovatele nebo poskytovatele hostingu on-line platformy, sdělila všem koncovým uživatelům prohlášení stanovené komisí podle této hlavy.</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Výzva podle této hlavy musí:</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 xml:space="preserve">obsahovat odůvodnění </w:t>
      </w:r>
      <w:bookmarkStart w:id="439" w:name="_Hlk103674927"/>
      <w:r>
        <w:rPr>
          <w:rFonts w:ascii="Times New Roman" w:hAnsi="Times New Roman"/>
        </w:rPr>
        <w:t>stanoviska komise dokládající,</w:t>
      </w:r>
      <w:bookmarkEnd w:id="439"/>
      <w:r>
        <w:rPr>
          <w:rFonts w:ascii="Times New Roman" w:hAnsi="Times New Roman"/>
        </w:rPr>
        <w:t xml:space="preserve"> že podmínky uvedené v odstavci 1 jsou splněny;</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přesné on-line místo pro on-line informace o volbách uvedené v odst. 1 písm. a) nebo b) a v případě potřeby veškeré další údaje umožňující identifikaci těchto informací;</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prohlášení stanovené komisí ohledně on-line informací o volbách uvedených v odst. 1 písm. a) nebo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informovat příjemce, že musí učinit prohlášení uvedené v písmenu c) na on-line místě uvedeném v písmenu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informovat příjemce o právu podat odvolání proti výzvě podle hlavy 15 do pěti dnů.</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Prohlášení uvedené v odst. 3 písm. c) musí jasně uvádět:</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že se jedná o stanovené prohlášení, které musí být zveřejněno na základě výzvy k opravě vydané komisí, podle níž komise podle této hlavy požaduje opravu určitého obsahu viditelného na tomto on-line místě;</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že toto opatření bylo přijato, protože obsah na on-line místě představoval dezinformace nebo zavádějící informace;</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shrnutí důvodů pro stanovisko komise dokládající, že vydání výzvy k opravě bylo za všech okolností přiměřené a</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údaj o tom, že jakákoli fyzická nebo právnická osoba, jíž se výzva přímo dotýká, se může do pěti dnů odvolat proti výzvě podle hlavy 15.</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Prohlášení uvedené v odst. 3 písm. c) může rovněž obsahovat:</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prohlášení uvádějící, v jakém ohledu byl obsah nepravdivý nebo zavádějící;</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správné uvedení informací a</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další informace nebo prohlášení, které komise považuje za vhodné s ohledem na všechny okolnosti. </w:t>
      </w:r>
    </w:p>
    <w:p w14:paraId="67658C98" w14:textId="74DD1000" w:rsidR="003C524C" w:rsidRPr="00835148" w:rsidRDefault="003C524C" w:rsidP="00F6269D">
      <w:pPr>
        <w:pStyle w:val="Heading2"/>
        <w:spacing w:before="480" w:after="240"/>
      </w:pPr>
      <w:bookmarkStart w:id="440" w:name="_Toc106274799"/>
      <w:r>
        <w:t>Hlava 10 bod iii): Pravomoc vydávat nařízení k označení</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Tato hlava stanoví, že:</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Pokud</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je komise během období volební kampaně přesvědčena z dostupných informací, ať už získaných prostřednictvím sledování on-line informací o volbách nebo poskytnutých jakoukoli jinou osobou či jiným způsobem, že jakékoli on-line informace o volbách představují dezinformace nebo</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je komise kdykoli přesvědčena z dostupných informací, ať již získaných svým sledováním on-line informací o volbách nebo poskytnutých jakoukoli jinou osobou či jiným způsobem, že jakékoli on-line informace o volebním procesu představují zavádějící informace,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a komise je přesvědčena, že vydání takového nařízení je za všech okolností vhodné, může do dalšího vyšetřování ze strany komise vydat nařízení k označení, kterým se vyžaduje, aby on-line platforma uvedla, že předmětný obsah je v současné době komisí vyšetřován podle této části s cílem určit, zda se jedná o dezinformaci nebo zavádějící informace.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Nařízení podle této hlavy musí:</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obsahovat odůvodnění stanoviska komise dokládající, že podmínky uvedené v odst. 1 jsou splněny;</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přesné on-line místo pro on-line informace o volbách uvedené v odst. 1 písm. a) nebo b) a v případě potřeby veškeré další údaje umožňující identifikaci těchto informací;</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prohlášení stanovené komisí ohledně on-line informací o volbách uvedených v odst. 1 písm. a) nebo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informovat příjemce, že musí učinit prohlášení uvedené v písmenu c) na on-line místě uvedeném v písmenu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informovat příjemce o právu podat odvolání proti nařízení podle hlavy 15 do pěti dnů.</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Prohlášení uvedené v odst. 3 písm. c) musí jasně uvádět: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že se jedná o prohlášení, které musí být zveřejněno na základě nařízení k označení vydaného komisí podle této hlavy, pokud se domnívá, že toto prohlášení může obsahovat dezinformace nebo zavádějící informace;</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že vydání nařízení nepředstavuje zjištění, že obsah je buď dezinformací, nebo zavádějícími informacemi;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souhrn odůvodnění stanoviska komise dokládající, že požadavky </w:t>
      </w:r>
      <w:r>
        <w:rPr>
          <w:rFonts w:ascii="Times New Roman" w:hAnsi="Times New Roman"/>
        </w:rPr>
        <w:lastRenderedPageBreak/>
        <w:t>odstavce 1 jsou splněny;</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že v rámci dalšího vyšetřování se rozhodne, zda je obsah dezinformací nebo zavádějící informací a</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údaj o tom, že jakákoli fyzická nebo právnická osoba, jíž se nařízení přímo dotýká, se může do pěti dnů odvolat proti nařízení podle hlavy 15.</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Nařízení může rovněž obsahovat další informace nebo prohlášení, které komise považuje za vhodné s ohledem na všechny okolnosti.</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Komise učiní rozhodnutí uvedené v odst. 3 písm. d) v nejkratší přiměřené době a poté buď:</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vydá pokyny osobě, které bylo nařízení k označení určeno, a informuje tuto osobu o zrušení nařízení k označení nebo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může vykonat jinou pravomoc, jakou považuje za nezbytnou.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Pokud komise vydá pokyny uvedené v odst. 6 písm. a), odstraní se stanovené prohlášení uvedené v odstavci 3. </w:t>
      </w:r>
    </w:p>
    <w:p w14:paraId="309394E6" w14:textId="6B40018E" w:rsidR="003C524C" w:rsidRPr="00835148" w:rsidRDefault="003C524C" w:rsidP="00F6269D">
      <w:pPr>
        <w:pStyle w:val="Heading2"/>
        <w:spacing w:before="480" w:after="240"/>
      </w:pPr>
      <w:bookmarkStart w:id="441" w:name="_Toc106274800"/>
      <w:r>
        <w:t>Hlava 10 bod iv): Oprávnění k vydání nařízení k blokování přístupu</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Tato hlava stanoví, že:</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Pokud:</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je komise během období volební kampaně přesvědčena z dostupných informací, ať už získaných prostřednictvím sledování on-line informací o volbách nebo poskytnutých jakoukoli jinou osobou či jiným způsobem ve vztahu k dříve určenému on-line místu, že jakékoli on-line informace o volbách představují dezinformace nebo</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je komise kdykoli během volebního období [nebo období volební kampaně] nebo jinak přesvědčena z dostupných informací, ať už získaných prostřednictvím sledování on-line informací o volbách nebo poskytnutých jakoukoli jinou osobou či jiným způsobem ve vztahu k dříve určenému on-line místu, že jakékoli on-line informace o volebním procesu představují zavádějící informace,</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 xml:space="preserve">a komise je přesvědčena, že vydání takového nařízení je nezbytné k ochraně spravedlnosti nebo integrity procesu voleb nebo referenda, může vydat nařízení k blokování přístupu, které vyžaduje, aby kterýkoli provozovatel nebo </w:t>
      </w:r>
      <w:r>
        <w:rPr>
          <w:rFonts w:ascii="Times New Roman" w:hAnsi="Times New Roman"/>
        </w:rPr>
        <w:lastRenderedPageBreak/>
        <w:t>poskytovatel hostingu on-line platformy přijal přiměřené kroky k znemožnění přístupu koncových uživatelů k on-line místu.</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„Dříve určeným on-line místem“ se pro účely této hlavy rozumí on-line místo, kde dva nebo více předchozích různých on-line obsahů byly předmětem výzev podle této hlavy ve stejném volebním období, přičemž volební období je stejné jako volební období, pro které se navrhuje vydat nařízení k blokování přístupu.</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Nařízení podle této hlavy musí:</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obsahovat odůvodnění stanoviska komise dokládající, že podmínky uvedené v odst. 1 jsou splněny;</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přesné dříve určené on-line místo pro on-line informace o volbách uvedené v odst. 1 písm. a) nebo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obsahovat prohlášení, které komise stanovila ohledně dříve určeného on-line místa;</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informovat příjemce, že musí učinit prohlášení uvedené v písmenu c) na dříve určeném on-line místě uvedeném v písmenu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informovat příjemce o právu podat odvolání proti nařízení podle hlavy 15 do pěti dnů.</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Prohlášení uvedené v odst. 3 písm. c) musí jasně uvádět: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že bylo vydáno nařízení k blokování přístupu podle této hlavy;</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shrnutí důvodů, proč komise vydala nařízení a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další informace, které mohou být stanoveny v pokynech nebo které komise považuje za nezbytné nebo vhodné za všech okolností.</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Nařízení může rovněž obsahovat další informace nebo prohlášení, které komise považuje za vhodné s ohledem na všechny okolnosti.</w:t>
      </w:r>
    </w:p>
    <w:p w14:paraId="10614316" w14:textId="276DB608" w:rsidR="003C524C" w:rsidRPr="00835148" w:rsidRDefault="003C524C" w:rsidP="00F6269D">
      <w:pPr>
        <w:pStyle w:val="Heading2"/>
        <w:spacing w:before="480" w:after="240"/>
        <w:jc w:val="both"/>
      </w:pPr>
      <w:bookmarkStart w:id="442" w:name="_Toc106274801"/>
      <w:r>
        <w:t>Hlava 10 bod v): Pravomoci regulovat manipulativní nebo neautentické chování, včetně nezveřejněné činnosti botů</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Tato hlava stanoví, že: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Pokud je komise během období volební kampaně přesvědčena, že</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probíhá nebo probíhala činnost botů, která představuje manipulativní nebo neautentické chování nebo použití nezveřejněného bota v rozporu s hlavou 24 a</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lastRenderedPageBreak/>
        <w:t>vydání výzvy podle této dílčí hlavy je nezbytné k ochraně spravedlnosti nebo integrity voleb nebo referenda,</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komise může vydat výzvu požadující, aby kterýkoli provozovatel nebo poskytovatel hostingu jakékoli on-line platformy zveřejnil prohlášení informující všechny dotčené koncové uživatele o manipulativním nebo neautentickém chování nebo o používání nezveřejněného bota, které je v rozporu s hlavou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V prohlášení, které má být zveřejněno podle odstavce 1, musí být jasně uvedeno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že komise podle této hlavy vydala výzvu identifikující činnost botů</w:t>
      </w:r>
      <w:r>
        <w:rPr>
          <w:rFonts w:ascii="Times New Roman" w:hAnsi="Times New Roman"/>
        </w:rPr>
        <w:t>, která představuje manipulativní nebo neautentické chování</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že tato opatření byla přijata, protože činnost botů ohrožovala spravedlnost nebo integritu nadcházejících voleb nebo referenda;</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uvedení odůvodnění </w:t>
      </w:r>
      <w:r>
        <w:rPr>
          <w:rFonts w:ascii="Times New Roman" w:hAnsi="Times New Roman"/>
          <w:bdr w:val="none" w:sz="0" w:space="0" w:color="auto" w:frame="1"/>
        </w:rPr>
        <w:t>stanoviska komise dokládajícího, že je vhodné požadovat označení činnosti za všech okolností a</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údaj o tom, že jakákoli fyzická nebo právnická osoba, jíž se výzva přímo dotýká, se může do pěti dnů odvolat proti výzvě podle hlavy 15.</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Pokud je komise během volebního období přesvědčena, že</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došlo k manipulativnímu nebo neautentickému chování (včetně případů, kdy takové chování zahrnuje použití botů) a</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vydání výzvy podle této dílčí hlavy je nezbytné k ochraně spravedlnosti nebo integrity voleb nebo referenda,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komise může vydat výzvu požadující, aby kterýkoli provozovatel nebo poskytovatel hostingu on-line platformy přijal přiměřené kroky k odstranění takového chování nebo k jeho zabránění.</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Ve výzvě podle odstavce 3 musí být jasně uvedeno</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že komise v souladu s touto hlavou vydala výzvu požadující ukončení daného chování, protože bylo identifikováno jako </w:t>
      </w:r>
      <w:r>
        <w:rPr>
          <w:rFonts w:ascii="Times New Roman" w:hAnsi="Times New Roman"/>
        </w:rPr>
        <w:t>manipulativní nebo neautentické chování</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že toto opatření bylo přijato komisí, protože zjištěná činnost ohrozila spravedlnost nebo integritu nadcházejících voleb nebo referenda a</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odůvodnění </w:t>
      </w:r>
      <w:r>
        <w:rPr>
          <w:rFonts w:ascii="Times New Roman" w:hAnsi="Times New Roman"/>
          <w:bdr w:val="none" w:sz="0" w:space="0" w:color="auto" w:frame="1"/>
        </w:rPr>
        <w:t>stanoviska komise dokládající, že je vhodné požadovat odstranění informací a</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lastRenderedPageBreak/>
        <w:t>údaj o tom, že jakákoli fyzická nebo právnická osoba, jíž se výzva přímo dotýká, se může do pěti dnů odvolat proti výzvě podle hlavy 15</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274802"/>
      <w:bookmarkEnd w:id="443"/>
      <w:bookmarkEnd w:id="444"/>
      <w:bookmarkEnd w:id="445"/>
      <w:r>
        <w:t>[Hlava 11 byla zrušena]</w:t>
      </w:r>
      <w:bookmarkEnd w:id="446"/>
    </w:p>
    <w:p w14:paraId="18188DF2" w14:textId="449D75DA" w:rsidR="00351F7D" w:rsidRPr="00835148" w:rsidRDefault="00351F7D" w:rsidP="00883C74">
      <w:pPr>
        <w:pStyle w:val="Heading1"/>
      </w:pPr>
      <w:bookmarkStart w:id="447" w:name="_Toc106274803"/>
      <w:r>
        <w:t>Hlava 12: Žádost o příkaz soudu za účelem splnění požadavků výzvy nebo nařízení</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Tato hlava stanoví, že:</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Komise se může obrátit na Vrchní soud, aby vydal příkaz za účelem splnění požadavků výzvy nebo nařízení vydaných podle hlavy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Tento návrh se podává po vyrozumění osoby, které byla doručena výzva nebo nařízení komise. </w:t>
      </w:r>
    </w:p>
    <w:p w14:paraId="5E0785DB" w14:textId="67DB838A" w:rsidR="00351F7D" w:rsidRPr="00835148" w:rsidRDefault="00351F7D" w:rsidP="00883C74">
      <w:pPr>
        <w:pStyle w:val="Heading1"/>
      </w:pPr>
      <w:bookmarkStart w:id="448" w:name="_Toc106274804"/>
      <w:r>
        <w:t>Hlava 13: Pravomoc vydávat varování určená veřejnosti o činnostech, které mohou narušit spravedlnost nebo integritu voleb nebo referenda</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Tato hlava stanoví, že:</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Komise může komunikovat s veřejností nebo jakoukoli částí veřejnosti v souvislosti s nepravdivými [nebo zavádějícími] on-line informacemi o volbách, nepravdivými [nebo zavádějícími] informacemi o volebním procesu nebo s použitím manipulativního nebo neautentického chování, pokud považuje takové sdělení za vhodné pro podporu svých vzdělávacích nebo jiných funkcí.</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Komise může rovněž vydávat varování určené veřejnosti, kdykoli se domnívá, že existuje hrozba pro spravedlnost nebo integritu voleb nebo referenda, a je tedy ve veřejném zájmu upozornit na tuto vnímanou hrozbu. Každé takové sdělení může mimo jiné specifikovat povahu, zdroj a závažnost vnímané hrozby a veškerá opatření, která komise ve vztahu k němu navrhuje přijmout nebo zvážit, jakož i veškerá doporučení pro opatření ze strany veřejnosti nebo jiných subjektů v souvislosti s touto hrozbou. </w:t>
      </w:r>
    </w:p>
    <w:p w14:paraId="01439B97" w14:textId="1CBD8DEF" w:rsidR="00351F7D" w:rsidRPr="00835148" w:rsidRDefault="00351F7D" w:rsidP="00883C74">
      <w:pPr>
        <w:pStyle w:val="Heading1"/>
      </w:pPr>
      <w:bookmarkStart w:id="449" w:name="_Toc106274805"/>
      <w:r>
        <w:t>Hlava 14: Mechanismus pro podávání zpráv ze strany veřejnosti o podezření na dezinformace, zavádějící informace a manipulativní nebo neautentické chování</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Tato hlava stanoví, že:</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Komise může na svých internetových stránkách poskytnout nástroj pro přímé podávání zpráv, který umožní veřejnosti oznamovat</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podezření na dezinformace během volebního období [nebo období volební kampaně];</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lastRenderedPageBreak/>
        <w:t xml:space="preserve">podezření na zavádějící informace, a to kdykoli nebo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podezření na manipulativní nebo neautentické chování, včetně nezveřejněného používání botů, během volebního období [nebo období volební kampaně].</w:t>
      </w:r>
    </w:p>
    <w:p w14:paraId="11CA4728" w14:textId="1F80FCE0" w:rsidR="00351F7D" w:rsidRPr="008273CD" w:rsidRDefault="00351F7D" w:rsidP="008273CD">
      <w:pPr>
        <w:pStyle w:val="Heading1"/>
        <w:jc w:val="center"/>
        <w:rPr>
          <w:sz w:val="28"/>
          <w:szCs w:val="28"/>
        </w:rPr>
      </w:pPr>
      <w:bookmarkStart w:id="450" w:name="_Toc106274806"/>
      <w:r>
        <w:rPr>
          <w:sz w:val="28"/>
        </w:rPr>
        <w:t>Kapitola 4: Procesní práva</w:t>
      </w:r>
      <w:bookmarkEnd w:id="450"/>
    </w:p>
    <w:p w14:paraId="27E6F90E" w14:textId="54105180" w:rsidR="003C524C" w:rsidRPr="00835148" w:rsidRDefault="003C524C" w:rsidP="00883C74">
      <w:pPr>
        <w:pStyle w:val="Heading1"/>
      </w:pPr>
      <w:bookmarkStart w:id="451" w:name="_Toc106274807"/>
      <w:r>
        <w:t>Hlava 15: Právo na odvolání proti výzvě nebo nařízení</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Tato hlava stanoví, že</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Odvolání lze podat odvolacímu výboru komise v souvislosti s jakoukoli výzvou nebo nařízením doručenými podle hlavy 10 nejpozději do 3 dnů ode dne doručení výzvy nebo nařízení, avšak podání odvolání nemá do doby, než se o odvolání rozhodne, vliv na provedení výzvy nebo nařízení, pokud odvolací výbor s ohledem na existenci výjimečných okolností nerozhodne jinak.</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Odvolání podle písmene a) může podat jakákoli fyzická nebo právnická osoba přímo dotčená výzvou nebo nařízením, včetně on-line platformy.</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Odvolání lze přijmout, pouze pokud bylo podáno fyzickou osobou (ať už jejím jménem nebo jménem jmenované právnické osoby), a tato fyzická osoba poskytne své PPS číslo, kontaktní telefonní číslo a splní další požadavky, které mohou být stanoveny k ujištění se o tom, že odvolatel jedná v dobré víře, jak může stanovit komise.</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Odvolání podle odstavce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musí být vyhotoveno písemně prostřednictvím portálu, který je za tímto účelem k dispozici na internetových stránkách komise,</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uvede všechny důvody, na jejichž základě je odvolání podáno, a poskytne odvolacímu výboru všechny dokumenty a důkazy, které mají být uplatněny na podporu těchto důvodů a </w:t>
      </w:r>
    </w:p>
    <w:p w14:paraId="0DEB6A4E" w14:textId="327C0A1F" w:rsidR="007A3BB8" w:rsidRPr="003A319A" w:rsidRDefault="004D74F5" w:rsidP="008273CD">
      <w:pPr>
        <w:spacing w:before="240" w:after="240"/>
        <w:ind w:left="1440"/>
        <w:jc w:val="both"/>
      </w:pPr>
      <w:r>
        <w:rPr>
          <w:rFonts w:ascii="Times New Roman" w:hAnsi="Times New Roman"/>
        </w:rPr>
        <w:t xml:space="preserve">c) je určeno předsedovi odvolacího výboru a musí být doručeno nebo zasláno tak, aby se doručilo předsedovi ve lhůtě stanovené v odstavci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Odvolací výbor se skládá z jednoho nebo více členů komise a je nezávislý na původním rozhodovacím orgánu.</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Odvolací výbor rozhodne o odvolání bez ústního jednání, ledaže by s ohledem na konkrétní okolnosti odvolání považoval za nezbytné provést ústní jednání s cílem řádně a spravedlivě rozhodnout o odvolání.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lastRenderedPageBreak/>
        <w:t xml:space="preserve">Komise může stanovit taková pravidla a stanovit takové postupy týkající se postupu odvolání a ústního slyšení, které považuje za vhodné, a zveřejní tato pravidla a postupy na internetových stránkách vedených komisí nebo jejím jménem. </w:t>
      </w:r>
    </w:p>
    <w:p w14:paraId="13095EC5" w14:textId="77777777" w:rsidR="007A3BB8" w:rsidRPr="009435E9"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Předseda odvolacího výboru má diskreční pravomoc, pokud jde o postup ústního jednání podle tohoto oddílu, a provede jednání rychle a bez zbytečných formalit nebo zajistí, aby jednání takto probíhalo.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Odvolací výbor při rozhodování o odvolání podle tohoto oddílu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zváží důvody odvolání uvedené v odst. 2 písm. b),</w:t>
      </w:r>
    </w:p>
    <w:p w14:paraId="0E5514C8" w14:textId="77777777" w:rsidR="007A3BB8" w:rsidRPr="009435E9" w:rsidRDefault="007A3BB8" w:rsidP="007A3BB8">
      <w:pPr>
        <w:pStyle w:val="ListParagraph"/>
        <w:spacing w:before="240" w:after="240"/>
        <w:ind w:left="1440"/>
        <w:jc w:val="both"/>
        <w:rPr>
          <w:rFonts w:ascii="Times New Roman" w:hAnsi="Times New Roman" w:cs="Times New Roman"/>
          <w:szCs w:val="24"/>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zváží výzvu nebo nařízení a veškeré další informace související s výzvou nebo nařízením, které podle názoru odvolacího výboru mohou být relevantní pro jeho rozhodnutí a </w:t>
      </w:r>
    </w:p>
    <w:p w14:paraId="0E97B0E3" w14:textId="77777777" w:rsidR="007A3BB8" w:rsidRPr="009435E9" w:rsidRDefault="007A3BB8" w:rsidP="007A3BB8">
      <w:pPr>
        <w:pStyle w:val="ListParagraph"/>
        <w:spacing w:before="240" w:after="240"/>
        <w:ind w:left="1440"/>
        <w:jc w:val="both"/>
        <w:rPr>
          <w:rFonts w:ascii="Times New Roman" w:hAnsi="Times New Roman" w:cs="Times New Roman"/>
          <w:szCs w:val="24"/>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může, pokud to považuje za nezbytné nebo účelné pro spravedlivé a řádné rozhodnutí o odvolání, vzít v úvahu taková podání, dokumenty nebo důkazy, které nejsou obsaženy ve výzvě nebo nařízení, které odvolací výbor považuje za vhodné. </w:t>
      </w:r>
    </w:p>
    <w:p w14:paraId="7DDC91AD" w14:textId="77777777" w:rsidR="007A3BB8" w:rsidRPr="009435E9" w:rsidRDefault="007A3BB8" w:rsidP="007A3BB8">
      <w:pPr>
        <w:pStyle w:val="ListParagraph"/>
        <w:spacing w:before="240" w:after="240"/>
        <w:ind w:left="1440"/>
        <w:jc w:val="both"/>
        <w:rPr>
          <w:rFonts w:ascii="Times New Roman" w:hAnsi="Times New Roman" w:cs="Times New Roman"/>
          <w:szCs w:val="24"/>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Při rozhodování o odvolání podle tohoto oddílu může odvolací výbor, je-li přesvědčen, že je to rozumné </w:t>
      </w:r>
    </w:p>
    <w:p w14:paraId="06B3C8EE" w14:textId="77777777" w:rsidR="007A3BB8" w:rsidRPr="009435E9" w:rsidRDefault="007A3BB8" w:rsidP="007A3BB8">
      <w:pPr>
        <w:pStyle w:val="ListParagraph"/>
        <w:spacing w:before="240" w:after="240"/>
        <w:ind w:left="1440"/>
        <w:jc w:val="both"/>
        <w:rPr>
          <w:rFonts w:ascii="Times New Roman" w:hAnsi="Times New Roman" w:cs="Times New Roman"/>
          <w:szCs w:val="24"/>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potvrdit výzvu nebo nařízení, </w:t>
      </w:r>
    </w:p>
    <w:p w14:paraId="26F1DF07" w14:textId="77777777" w:rsidR="007A3BB8" w:rsidRPr="009435E9" w:rsidRDefault="007A3BB8" w:rsidP="007A3BB8">
      <w:pPr>
        <w:pStyle w:val="ListParagraph"/>
        <w:spacing w:before="240" w:after="240"/>
        <w:ind w:left="1440"/>
        <w:jc w:val="both"/>
        <w:rPr>
          <w:rFonts w:ascii="Times New Roman" w:hAnsi="Times New Roman" w:cs="Times New Roman"/>
          <w:szCs w:val="24"/>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změnit výzvu nebo nařízení za podmínek, které považuje za vhodné nebo </w:t>
      </w:r>
    </w:p>
    <w:p w14:paraId="58FF3D7B" w14:textId="77777777" w:rsidR="007A3BB8" w:rsidRPr="009435E9" w:rsidRDefault="007A3BB8" w:rsidP="007A3BB8">
      <w:pPr>
        <w:pStyle w:val="ListParagraph"/>
        <w:spacing w:before="240" w:after="240"/>
        <w:ind w:left="1440"/>
        <w:jc w:val="both"/>
        <w:rPr>
          <w:rFonts w:ascii="Times New Roman" w:hAnsi="Times New Roman" w:cs="Times New Roman"/>
          <w:szCs w:val="24"/>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zrušit výzvu nebo nařízení. </w:t>
      </w:r>
    </w:p>
    <w:p w14:paraId="3513828B" w14:textId="77777777" w:rsidR="007A3BB8" w:rsidRPr="009435E9" w:rsidRDefault="007A3BB8" w:rsidP="007A3BB8">
      <w:pPr>
        <w:pStyle w:val="ListParagraph"/>
        <w:spacing w:before="240" w:after="240"/>
        <w:ind w:left="1440"/>
        <w:jc w:val="both"/>
        <w:rPr>
          <w:rFonts w:ascii="Times New Roman" w:hAnsi="Times New Roman" w:cs="Times New Roman"/>
          <w:szCs w:val="24"/>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Pokud odvolací výbor v odvolacím řízení změní výzvu nebo nařízení, nabývá takto pozměněná výzva nebo nařízení účinku okamžitě při vydání rozhodnutí o odvolání. </w:t>
      </w:r>
    </w:p>
    <w:p w14:paraId="4168F76F" w14:textId="77777777" w:rsidR="007A3BB8" w:rsidRPr="009435E9" w:rsidRDefault="007A3BB8" w:rsidP="0054587C">
      <w:pPr>
        <w:pStyle w:val="ListParagraph"/>
        <w:spacing w:before="240" w:after="240"/>
        <w:ind w:left="1440"/>
        <w:jc w:val="both"/>
        <w:rPr>
          <w:rFonts w:ascii="Times New Roman" w:hAnsi="Times New Roman" w:cs="Times New Roman"/>
          <w:szCs w:val="24"/>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Odvolací výbor může za účelem zajištění účinného, spravedlivého a včasného rozhodnutí o odvolání stanovit postupy týkající se postupu odvolání.</w:t>
      </w:r>
    </w:p>
    <w:p w14:paraId="5C9B470C" w14:textId="77777777" w:rsidR="007A3BB8" w:rsidRPr="009435E9" w:rsidRDefault="007A3BB8" w:rsidP="0054587C">
      <w:pPr>
        <w:pStyle w:val="ListParagraph"/>
        <w:rPr>
          <w:rFonts w:ascii="Times New Roman" w:hAnsi="Times New Roman" w:cs="Times New Roman"/>
          <w:szCs w:val="24"/>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Odvolací výbor si může písemně vyžádat od jakékoli osoby ve lhůtě stanovené v žádosti informace, které může přiměřeně požadovat pro účely výkonu svých funkcí podle tohoto oddílu.</w:t>
      </w:r>
    </w:p>
    <w:p w14:paraId="5C843B96" w14:textId="77777777" w:rsidR="007A3BB8" w:rsidRPr="009435E9" w:rsidRDefault="007A3BB8" w:rsidP="0054587C">
      <w:pPr>
        <w:pStyle w:val="ListParagraph"/>
        <w:rPr>
          <w:rFonts w:ascii="Times New Roman" w:hAnsi="Times New Roman" w:cs="Times New Roman"/>
          <w:szCs w:val="24"/>
        </w:rPr>
      </w:pPr>
    </w:p>
    <w:p w14:paraId="06E1F871" w14:textId="77777777" w:rsidR="00C963E4" w:rsidRPr="009435E9" w:rsidRDefault="00C963E4" w:rsidP="0054587C">
      <w:pPr>
        <w:pStyle w:val="ListParagraph"/>
        <w:spacing w:before="240" w:after="240"/>
        <w:ind w:left="1440"/>
        <w:jc w:val="both"/>
        <w:rPr>
          <w:rFonts w:ascii="Times New Roman" w:hAnsi="Times New Roman" w:cs="Times New Roman"/>
          <w:szCs w:val="24"/>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Podat odvolání jménem jiné osoby nebo pod falešným jménem nebo na jménem společnosti bez souhlasu členů statutárních orgánů této společnosti (nebo podle stanov společnosti) představuje delikt.</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Odvolání musí být projednáno a musí o něm být rozhodnuto, jakmile to bude proveditelné.</w:t>
      </w:r>
    </w:p>
    <w:p w14:paraId="2E1EC866" w14:textId="77777777" w:rsidR="003A319A" w:rsidRPr="009435E9" w:rsidRDefault="003A319A" w:rsidP="0054587C">
      <w:pPr>
        <w:spacing w:before="240" w:after="240"/>
        <w:ind w:left="720"/>
        <w:jc w:val="both"/>
        <w:rPr>
          <w:rFonts w:ascii="Times New Roman" w:hAnsi="Times New Roman" w:cs="Times New Roman"/>
          <w:szCs w:val="24"/>
        </w:rPr>
      </w:pPr>
    </w:p>
    <w:p w14:paraId="27844604" w14:textId="4027FC42" w:rsidR="00876C43" w:rsidRDefault="00876C43" w:rsidP="00883C74">
      <w:pPr>
        <w:pStyle w:val="Heading1"/>
      </w:pPr>
      <w:bookmarkStart w:id="452" w:name="_Toc106274808"/>
      <w:r>
        <w:t>Hlava 15A: Soudní přezkum</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Tato hlava stanoví, že</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Nic v této části nelze vykládat tak, aby to omezovalo právo osoby dotčené rozhodnutím komise obrátit se na Vrchní soud se žádostí o nápravu prostřednictvím žádosti o soudní přezkum.</w:t>
      </w:r>
    </w:p>
    <w:p w14:paraId="1E952317" w14:textId="581D568D" w:rsidR="00351F7D" w:rsidRPr="008273CD" w:rsidRDefault="00351F7D" w:rsidP="008273CD">
      <w:pPr>
        <w:pStyle w:val="Heading1"/>
        <w:spacing w:before="480"/>
        <w:jc w:val="center"/>
        <w:rPr>
          <w:sz w:val="28"/>
          <w:szCs w:val="28"/>
        </w:rPr>
      </w:pPr>
      <w:bookmarkStart w:id="453" w:name="_Toc106274809"/>
      <w:r>
        <w:rPr>
          <w:sz w:val="28"/>
        </w:rPr>
        <w:t>Kapitola 5: Kodexy chování</w:t>
      </w:r>
      <w:bookmarkEnd w:id="453"/>
    </w:p>
    <w:p w14:paraId="1582C091" w14:textId="1816809C" w:rsidR="00351F7D" w:rsidRPr="00835148" w:rsidRDefault="00351F7D" w:rsidP="00883C74">
      <w:pPr>
        <w:pStyle w:val="Heading1"/>
      </w:pPr>
      <w:bookmarkStart w:id="454" w:name="_Toc106274810"/>
      <w:r>
        <w:t>Hlava 16: Vyhlášení kodexů chování</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Tato hlava stanoví, že:</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Komise může zveřejnit jeden nebo více kodexů chování, pokud jde o on-line informace o volbách nebo on-line informace o volebním procesu.</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Kodex uvedený v odstavci 1 může být určen některým nebo všem z těchto subjektů: on-line platformy, kandidáti, strany a/nebo třetí strany.</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Před zveřejněním kodexu chování uvedeného v odstavci 1 může komise vést konzultace s poradním výborem, radou zúčastněných stran a/nebo jakoukoli jinou skupinu svolanou za tímto účelem komisí.</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Kodex chování zveřejněný podle odstavce 1, který se týká jiných on-line informací o volbách, než jsou on-line informace o volebním procesu, má účinnost pouze během volebního období.</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Komise může určit, zda je kodex chování nepovinným kodexem chování nebo povinným kodexem chování.</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Při zveřejňování kodexu chování podle odstavce 1 přihlíží komise k těmto zásadám a politikám:</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potřeba chránit demokratické hodnoty ve společnosti;</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veřejný zájem mít dobře informované voliče;</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ohrožení demokratických hodnot v důsledku dezinformací a zavádějících informací;</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právo na svobodu projevu;</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právo na svobodu shromažďování;</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[podle potřeby se vloží další zásady a politiky]</w:t>
      </w:r>
    </w:p>
    <w:p w14:paraId="1A292176" w14:textId="01C4BC6F" w:rsidR="00673C0B" w:rsidRPr="008273CD" w:rsidRDefault="00673C0B" w:rsidP="008273CD">
      <w:pPr>
        <w:pStyle w:val="Heading1"/>
        <w:jc w:val="center"/>
        <w:rPr>
          <w:sz w:val="28"/>
          <w:szCs w:val="28"/>
        </w:rPr>
      </w:pPr>
      <w:bookmarkStart w:id="455" w:name="_Toc106274811"/>
      <w:r>
        <w:rPr>
          <w:sz w:val="28"/>
        </w:rPr>
        <w:t>Kapitola 6: Spolupráce s ostatními veřejnými subjekty</w:t>
      </w:r>
      <w:bookmarkEnd w:id="455"/>
    </w:p>
    <w:p w14:paraId="36F56B55" w14:textId="1305A307" w:rsidR="00673C0B" w:rsidRPr="00835148" w:rsidRDefault="00673C0B" w:rsidP="00883C74">
      <w:pPr>
        <w:pStyle w:val="Heading1"/>
      </w:pPr>
      <w:bookmarkStart w:id="456" w:name="_Toc106274812"/>
      <w:r>
        <w:t>Hlava 17: Komise vede konzultace s dalšími příslušnými orgány</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Tato hlava stanoví, že:</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Po dobu trvání volebního období komise případně bere ohled na informace získané od těchto orgánů, s nimiž vede konzultace:</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komise pro ochranu údajů,</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An Garda Síochána,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komise pro on-line bezpečnost a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ministr spojů, jednající jako příslušný orgán podle Nařízení o Evropské unii (Opatření k zajištění vysoké společné úrovně bezpečnosti sítí a informačních systémů) z roku 2018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Pokud během volebního období [nebo období volební kampaně] nebo do šesti měsíců od předpokládaného volebního období</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komise pro ochranu údajů;</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An Garda Síochána,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komise pro on-line bezpečnost nebo</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ministr spojů, jednající jako příslušný orgán podle Nařízení o Evropské unii (Opatření k zajištění vysoké společné úrovně bezpečnosti sítí a informačních systémů) z roku 2018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obdrží informace týkající se činností nebo trendů v rámci své zákonné působnosti s možnými důsledky pro volby nebo se o nich dozví, příslušný orgán tyto informace, činnosti nebo trendy neprodleně oznámí komisi.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Komise uzavře dohody o sdílení údajů se subjekty uvedenými v hlavě 22 odst. 1 písm. a) až d) ve smyslu </w:t>
      </w:r>
      <w:r>
        <w:rPr>
          <w:rFonts w:ascii="Times New Roman" w:hAnsi="Times New Roman"/>
          <w:u w:val="single"/>
        </w:rPr>
        <w:t>zákona o sdílení údajů a správě dat z roku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274813"/>
      <w:r>
        <w:rPr>
          <w:sz w:val="28"/>
        </w:rPr>
        <w:lastRenderedPageBreak/>
        <w:t xml:space="preserve">Kapitola 7: </w:t>
      </w:r>
      <w:bookmarkStart w:id="458" w:name="_Toc99116983"/>
      <w:bookmarkStart w:id="459" w:name="_Toc99122364"/>
      <w:bookmarkEnd w:id="458"/>
      <w:bookmarkEnd w:id="459"/>
      <w:r>
        <w:rPr>
          <w:sz w:val="28"/>
        </w:rPr>
        <w:t>[ZRUŠENO]</w:t>
      </w:r>
      <w:bookmarkEnd w:id="457"/>
    </w:p>
    <w:p w14:paraId="5555D5B7" w14:textId="40896DFF" w:rsidR="00DC775D" w:rsidRPr="00DC775D" w:rsidRDefault="00DC775D" w:rsidP="00883C74">
      <w:pPr>
        <w:pStyle w:val="Heading1"/>
      </w:pPr>
      <w:bookmarkStart w:id="460" w:name="_Toc106274814"/>
      <w:r>
        <w:t>[Hlavy 18 až 20 se zrušují]</w:t>
      </w:r>
      <w:bookmarkEnd w:id="460"/>
    </w:p>
    <w:p w14:paraId="630C691C" w14:textId="1F063181" w:rsidR="003C524C" w:rsidRPr="008273CD" w:rsidRDefault="00351F7D" w:rsidP="008273CD">
      <w:pPr>
        <w:pStyle w:val="Heading1"/>
        <w:spacing w:before="480"/>
        <w:jc w:val="center"/>
        <w:rPr>
          <w:sz w:val="28"/>
          <w:szCs w:val="28"/>
        </w:rPr>
      </w:pPr>
      <w:bookmarkStart w:id="461" w:name="_Toc106274815"/>
      <w:r>
        <w:rPr>
          <w:sz w:val="28"/>
        </w:rPr>
        <w:t>Kapitola 8: Delikty a tresty</w:t>
      </w:r>
      <w:bookmarkEnd w:id="461"/>
    </w:p>
    <w:p w14:paraId="6E2943F7" w14:textId="3308F153" w:rsidR="003C524C" w:rsidRPr="00835148" w:rsidRDefault="003C524C" w:rsidP="00883C74">
      <w:pPr>
        <w:pStyle w:val="Heading1"/>
      </w:pPr>
      <w:bookmarkStart w:id="462" w:name="_Toc106274816"/>
      <w:r>
        <w:t>Hlava 21: Delikt nesplnění výzvy nebo nařízení vydaných podle hlavy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Tato hlava stanoví, že:</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Nesplnění jakékoli výzvy nebo nařízení vydaných podle hlavy 10 je delikt.</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Osoba, která byla shledána vinnou z deliktu podle této hlavy, se trestá</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ve zkráceném řízení uložením pokuty třídy A nebo odnětí svobody na dobu nepřesahující 12 měsíců, nebo k obojímu, nebo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při rozsudku na základě žaloby k pokutě nebo trestu odnětí svobody na dobu nepřesahující 5 let, nebo k obojímu.</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274817"/>
      <w:bookmarkEnd w:id="463"/>
      <w:bookmarkEnd w:id="464"/>
      <w:bookmarkEnd w:id="465"/>
      <w:bookmarkEnd w:id="466"/>
      <w:bookmarkEnd w:id="467"/>
      <w:bookmarkEnd w:id="468"/>
      <w:bookmarkEnd w:id="469"/>
      <w:bookmarkEnd w:id="470"/>
      <w:r>
        <w:t>Hlava 22: Porušení povinného kodexu chování</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Tato hlava stanoví, že: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Pokud osoba, na kterou se vztahuje povinný kodex chování, nedodrží tento kodex chování během příslušné doby uplatňování kodexu chování, dopouští se deliktu.</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Osoba, která byla shledána vinnou z deliktu podle této hlavy, se trestá</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ve zkráceném řízení uložením pokuty třídy A nebo odnětí svobody na dobu nepřesahující 12 měsíců, nebo k obojímu, nebo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při rozsudku na základě žaloby k pokutě nebo trestu odnětí svobody na dobu nepřesahující 5 let, nebo k obojímu.</w:t>
      </w:r>
    </w:p>
    <w:p w14:paraId="316B003E" w14:textId="0274888B" w:rsidR="00CA2822" w:rsidRPr="00835148" w:rsidRDefault="00CA2822" w:rsidP="00883C74">
      <w:pPr>
        <w:pStyle w:val="Heading1"/>
      </w:pPr>
      <w:bookmarkStart w:id="472" w:name="_Toc106274818"/>
      <w:r>
        <w:t>Hlava 23: Delikty související s dezinformacemi a zavádějícími informacemi</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Tato hlava stanoví, že: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Osoba nebo jakýkoli člen statutárního orgánu subjektu nebo sdružení, které během volebního období [nebo období volební kampaně] s úmyslem ovlivnit výsledky voleb nebo referenda nebo narušit spravedlnost nebo integritu těchto voleb nebo referenda, učiní nebo zveřejní: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lastRenderedPageBreak/>
        <w:t>nepravdivé prohlášení o odstoupení kandidáta z voleb nebo</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nepravdivé prohlášení o skutečnostech s úmyslem přimět jednoho nebo více voličů, aby se zdrželi hlasování, včetně prohlášení, které je mimo jiné zavádějící informací ve smyslu hlavy 1 nebo</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on-line prohlášení, které údajně pochází od jiné osoby;</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se dopouští deliktu, pokud tato osoba neprokáže, že měla opodstatněné důvody věřit a skutečně věřila, že tvrzení bylo pravdivé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Osoba, která byla shledána vinnou z deliktu podle této hlavy, se trestá</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ve zkráceném řízení uložením pokuty třídy A nebo odnětí svobody na dobu nepřesahující 12 měsíců, nebo k obojímu, nebo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při rozsudku na základě žaloby k pokutě nebo trestu odnětí svobody na dobu nepřesahující 5 let, nebo k obojímu.</w:t>
      </w:r>
    </w:p>
    <w:p w14:paraId="0DD378A1" w14:textId="5BE0B54F" w:rsidR="00CA2822" w:rsidRPr="00835148" w:rsidRDefault="00CA2822" w:rsidP="00883C74">
      <w:pPr>
        <w:pStyle w:val="Heading1"/>
      </w:pPr>
      <w:bookmarkStart w:id="473" w:name="_Toc106274819"/>
      <w:r>
        <w:t>Hlava 24: Delikt použití nezveřejněného bota ke klamání osob za účelem ovlivnění voleb</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Tato hlava stanoví, že:</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Každá osoba, která vědomě používá bota nebo ho nechává použít takovým způsobem, že generuje více on-line aktivity, která:</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je zaměřena na ovlivnění výsledku voleb nebo referenda,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je navržena nebo určena k uvedení osob v omyl, pokud jde o umělou identitu botů a</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může způsobit veřejnou újmu</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se dopouští deliktu.</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Obhajoba musí prokázat, že použití bota bylo oznámeno jasným, nápadným a přiměřeným způsobem určeným k informování osob, s nimiž bot interagoval nebo komunikoval, nebo měl interagovat nebo komunikovat, s cílem sdělit, že se jedná o bota.</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Osoba, která byla shledána vinnou z deliktu podle této hlavy, se trestá</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ve zkráceném řízení uložením pokuty třídy A nebo odnětí svobody na dobu nepřesahující 12 měsíců, nebo k obojímu, nebo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při rozsudku na základě žaloby k pokutě nebo trestu odnětí svobody na </w:t>
      </w:r>
      <w:r>
        <w:rPr>
          <w:rFonts w:ascii="Times New Roman" w:hAnsi="Times New Roman"/>
        </w:rPr>
        <w:lastRenderedPageBreak/>
        <w:t>dobu nepřesahující 5 let, nebo k obojímu.</w:t>
      </w:r>
    </w:p>
    <w:p w14:paraId="06DE4E50" w14:textId="40C556CE" w:rsidR="00DC775D" w:rsidRDefault="00DC775D" w:rsidP="003354AE">
      <w:pPr>
        <w:pStyle w:val="Heading1"/>
      </w:pPr>
      <w:bookmarkStart w:id="474" w:name="_Toc106274820"/>
      <w:r>
        <w:t>[Hlava 25 byla zrušena]</w:t>
      </w:r>
      <w:bookmarkEnd w:id="474"/>
    </w:p>
    <w:p w14:paraId="36798607" w14:textId="734DB324" w:rsidR="00CA2822" w:rsidRPr="00835148" w:rsidRDefault="00CA2822" w:rsidP="00883C74">
      <w:pPr>
        <w:pStyle w:val="Heading1"/>
      </w:pPr>
      <w:bookmarkStart w:id="475" w:name="_Toc106274821"/>
      <w:r>
        <w:t>Hlava 26: Porušení povinností uložených on-line platformám</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Tato hlava stanoví, že:</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Pokud on-line platforma neplní své povinnosti podle hlav 6 a 7, dopouští se deliktu.</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Osoba, která byla shledána vinnou z deliktu podle této hlavy, se trestá</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ve zkráceném řízení uložením pokuty třídy A nebo odnětí svobody na dobu nepřesahující 12 měsíců, nebo k obojímu, nebo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při rozsudku na základě žaloby k pokutě nebo trestu odnětí svobody na dobu nepřesahující 5 let, nebo k obojímu.</w:t>
      </w:r>
    </w:p>
    <w:p w14:paraId="53A21A58" w14:textId="0FC48AF9" w:rsidR="00010433" w:rsidRDefault="00EE2578" w:rsidP="008273CD">
      <w:pPr>
        <w:pStyle w:val="Heading1"/>
        <w:rPr>
          <w:rFonts w:eastAsiaTheme="majorEastAsia"/>
        </w:rPr>
      </w:pPr>
      <w:bookmarkStart w:id="476" w:name="_Toc106274822"/>
      <w:r>
        <w:t>[Hlava 27 byla zrušena]</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274823"/>
      <w:r>
        <w:rPr>
          <w:sz w:val="28"/>
        </w:rPr>
        <w:t>Kapitola 9: Různá ustanovení</w:t>
      </w:r>
      <w:bookmarkEnd w:id="479"/>
    </w:p>
    <w:p w14:paraId="67BDB5CB" w14:textId="77AE4C8E" w:rsidR="00C21EA1" w:rsidRPr="00835148" w:rsidRDefault="001E6A2D" w:rsidP="00883C74">
      <w:pPr>
        <w:pStyle w:val="Heading1"/>
      </w:pPr>
      <w:bookmarkStart w:id="480" w:name="_Toc106274824"/>
      <w:r>
        <w:t>Hlava 28: Jurisdikční imunita</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Tato hlava stanoví, že:</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Komise plní své povinnosti v dobré víře a v zájmu veřejnosti a voličů obecně s ohledem na dostupné zdroje.  Nelze proti ní podat žalobu pouze z důvodu údajného nesplnění jejích cílů.</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Proti žádnému členovi komise nelze osobně podat žalobu z důvodu jakéhokoli jednání nebo opomenutí, které nastalo při výkonu jeho povinností podle této části.</w:t>
      </w:r>
    </w:p>
    <w:p w14:paraId="4F37C77D" w14:textId="3D3028BF" w:rsidR="00C8031E" w:rsidRPr="005647BF" w:rsidRDefault="007A44B6" w:rsidP="00883C74">
      <w:pPr>
        <w:pStyle w:val="Heading1"/>
      </w:pPr>
      <w:bookmarkStart w:id="481" w:name="_Toc99549951"/>
      <w:bookmarkStart w:id="482" w:name="_Toc99550700"/>
      <w:bookmarkStart w:id="483" w:name="_Toc106274825"/>
      <w:bookmarkEnd w:id="481"/>
      <w:bookmarkEnd w:id="482"/>
      <w:r>
        <w:t>Hlava 29: Doručování výzev nebo nařízení vydaných podle hlavy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Tato hlava stanoví, že:</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Doručení výzvy nebo nařízení vydaných podle hlavy 10 musí být v souladu s hlavou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Poznámka: ustanovení této hlavy jsou upravena od s. 154 zákona o místní samosprávě z roku 2001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421306">
    <w:abstractNumId w:val="60"/>
  </w:num>
  <w:num w:numId="2" w16cid:durableId="2145192153">
    <w:abstractNumId w:val="76"/>
  </w:num>
  <w:num w:numId="3" w16cid:durableId="242034161">
    <w:abstractNumId w:val="56"/>
  </w:num>
  <w:num w:numId="4" w16cid:durableId="1659185424">
    <w:abstractNumId w:val="50"/>
  </w:num>
  <w:num w:numId="5" w16cid:durableId="1383872739">
    <w:abstractNumId w:val="101"/>
  </w:num>
  <w:num w:numId="6" w16cid:durableId="1877695523">
    <w:abstractNumId w:val="103"/>
  </w:num>
  <w:num w:numId="7" w16cid:durableId="722676256">
    <w:abstractNumId w:val="87"/>
  </w:num>
  <w:num w:numId="8" w16cid:durableId="126167080">
    <w:abstractNumId w:val="72"/>
  </w:num>
  <w:num w:numId="9" w16cid:durableId="891963194">
    <w:abstractNumId w:val="26"/>
  </w:num>
  <w:num w:numId="10" w16cid:durableId="571282467">
    <w:abstractNumId w:val="30"/>
  </w:num>
  <w:num w:numId="11" w16cid:durableId="988174423">
    <w:abstractNumId w:val="22"/>
  </w:num>
  <w:num w:numId="12" w16cid:durableId="1741177246">
    <w:abstractNumId w:val="67"/>
  </w:num>
  <w:num w:numId="13" w16cid:durableId="555968973">
    <w:abstractNumId w:val="65"/>
  </w:num>
  <w:num w:numId="14" w16cid:durableId="1082675716">
    <w:abstractNumId w:val="106"/>
  </w:num>
  <w:num w:numId="15" w16cid:durableId="657272999">
    <w:abstractNumId w:val="36"/>
  </w:num>
  <w:num w:numId="16" w16cid:durableId="1476408632">
    <w:abstractNumId w:val="10"/>
  </w:num>
  <w:num w:numId="17" w16cid:durableId="2050834410">
    <w:abstractNumId w:val="84"/>
  </w:num>
  <w:num w:numId="18" w16cid:durableId="1410419344">
    <w:abstractNumId w:val="41"/>
  </w:num>
  <w:num w:numId="19" w16cid:durableId="2059276848">
    <w:abstractNumId w:val="28"/>
  </w:num>
  <w:num w:numId="20" w16cid:durableId="454064850">
    <w:abstractNumId w:val="53"/>
  </w:num>
  <w:num w:numId="21" w16cid:durableId="1462577844">
    <w:abstractNumId w:val="52"/>
  </w:num>
  <w:num w:numId="22" w16cid:durableId="1561021283">
    <w:abstractNumId w:val="96"/>
  </w:num>
  <w:num w:numId="23" w16cid:durableId="676806018">
    <w:abstractNumId w:val="21"/>
  </w:num>
  <w:num w:numId="24" w16cid:durableId="203520534">
    <w:abstractNumId w:val="6"/>
  </w:num>
  <w:num w:numId="25" w16cid:durableId="1754428061">
    <w:abstractNumId w:val="7"/>
  </w:num>
  <w:num w:numId="26" w16cid:durableId="727847281">
    <w:abstractNumId w:val="27"/>
  </w:num>
  <w:num w:numId="27" w16cid:durableId="1466777193">
    <w:abstractNumId w:val="47"/>
  </w:num>
  <w:num w:numId="28" w16cid:durableId="1124689040">
    <w:abstractNumId w:val="83"/>
  </w:num>
  <w:num w:numId="29" w16cid:durableId="768159555">
    <w:abstractNumId w:val="32"/>
  </w:num>
  <w:num w:numId="30" w16cid:durableId="1790393076">
    <w:abstractNumId w:val="23"/>
  </w:num>
  <w:num w:numId="31" w16cid:durableId="1790079999">
    <w:abstractNumId w:val="81"/>
  </w:num>
  <w:num w:numId="32" w16cid:durableId="768618149">
    <w:abstractNumId w:val="16"/>
  </w:num>
  <w:num w:numId="33" w16cid:durableId="897474049">
    <w:abstractNumId w:val="31"/>
  </w:num>
  <w:num w:numId="34" w16cid:durableId="1873490573">
    <w:abstractNumId w:val="94"/>
  </w:num>
  <w:num w:numId="35" w16cid:durableId="1466464239">
    <w:abstractNumId w:val="19"/>
  </w:num>
  <w:num w:numId="36" w16cid:durableId="1855260633">
    <w:abstractNumId w:val="46"/>
  </w:num>
  <w:num w:numId="37" w16cid:durableId="1717503107">
    <w:abstractNumId w:val="89"/>
  </w:num>
  <w:num w:numId="38" w16cid:durableId="204758186">
    <w:abstractNumId w:val="59"/>
  </w:num>
  <w:num w:numId="39" w16cid:durableId="1542160084">
    <w:abstractNumId w:val="42"/>
  </w:num>
  <w:num w:numId="40" w16cid:durableId="796070475">
    <w:abstractNumId w:val="20"/>
  </w:num>
  <w:num w:numId="41" w16cid:durableId="1807552807">
    <w:abstractNumId w:val="77"/>
  </w:num>
  <w:num w:numId="42" w16cid:durableId="1627538884">
    <w:abstractNumId w:val="98"/>
  </w:num>
  <w:num w:numId="43" w16cid:durableId="426659009">
    <w:abstractNumId w:val="18"/>
  </w:num>
  <w:num w:numId="44" w16cid:durableId="957905733">
    <w:abstractNumId w:val="64"/>
  </w:num>
  <w:num w:numId="45" w16cid:durableId="260648231">
    <w:abstractNumId w:val="39"/>
  </w:num>
  <w:num w:numId="46" w16cid:durableId="1931310036">
    <w:abstractNumId w:val="73"/>
  </w:num>
  <w:num w:numId="47" w16cid:durableId="288630065">
    <w:abstractNumId w:val="90"/>
  </w:num>
  <w:num w:numId="48" w16cid:durableId="886993518">
    <w:abstractNumId w:val="60"/>
  </w:num>
  <w:num w:numId="49" w16cid:durableId="1103261977">
    <w:abstractNumId w:val="60"/>
  </w:num>
  <w:num w:numId="50" w16cid:durableId="1691182471">
    <w:abstractNumId w:val="2"/>
  </w:num>
  <w:num w:numId="51" w16cid:durableId="1547253923">
    <w:abstractNumId w:val="49"/>
  </w:num>
  <w:num w:numId="52" w16cid:durableId="484013407">
    <w:abstractNumId w:val="74"/>
  </w:num>
  <w:num w:numId="53" w16cid:durableId="744882924">
    <w:abstractNumId w:val="78"/>
  </w:num>
  <w:num w:numId="54" w16cid:durableId="1862938862">
    <w:abstractNumId w:val="48"/>
  </w:num>
  <w:num w:numId="55" w16cid:durableId="1945577080">
    <w:abstractNumId w:val="3"/>
  </w:num>
  <w:num w:numId="56" w16cid:durableId="1429740211">
    <w:abstractNumId w:val="13"/>
  </w:num>
  <w:num w:numId="57" w16cid:durableId="2006476207">
    <w:abstractNumId w:val="12"/>
  </w:num>
  <w:num w:numId="58" w16cid:durableId="1330065265">
    <w:abstractNumId w:val="60"/>
  </w:num>
  <w:num w:numId="59" w16cid:durableId="1976597551">
    <w:abstractNumId w:val="75"/>
  </w:num>
  <w:num w:numId="60" w16cid:durableId="1289894343">
    <w:abstractNumId w:val="60"/>
  </w:num>
  <w:num w:numId="61" w16cid:durableId="1503424421">
    <w:abstractNumId w:val="60"/>
  </w:num>
  <w:num w:numId="62" w16cid:durableId="1982345063">
    <w:abstractNumId w:val="60"/>
  </w:num>
  <w:num w:numId="63" w16cid:durableId="1599411853">
    <w:abstractNumId w:val="69"/>
  </w:num>
  <w:num w:numId="64" w16cid:durableId="2073116746">
    <w:abstractNumId w:val="60"/>
  </w:num>
  <w:num w:numId="65" w16cid:durableId="1049188111">
    <w:abstractNumId w:val="70"/>
  </w:num>
  <w:num w:numId="66" w16cid:durableId="1936592175">
    <w:abstractNumId w:val="66"/>
  </w:num>
  <w:num w:numId="67" w16cid:durableId="412358221">
    <w:abstractNumId w:val="86"/>
  </w:num>
  <w:num w:numId="68" w16cid:durableId="1079408482">
    <w:abstractNumId w:val="57"/>
  </w:num>
  <w:num w:numId="69" w16cid:durableId="99767189">
    <w:abstractNumId w:val="92"/>
  </w:num>
  <w:num w:numId="70" w16cid:durableId="1274702721">
    <w:abstractNumId w:val="105"/>
  </w:num>
  <w:num w:numId="71" w16cid:durableId="1480610892">
    <w:abstractNumId w:val="5"/>
  </w:num>
  <w:num w:numId="72" w16cid:durableId="650452248">
    <w:abstractNumId w:val="24"/>
  </w:num>
  <w:num w:numId="73" w16cid:durableId="757755289">
    <w:abstractNumId w:val="0"/>
  </w:num>
  <w:num w:numId="74" w16cid:durableId="988748652">
    <w:abstractNumId w:val="88"/>
  </w:num>
  <w:num w:numId="75" w16cid:durableId="963582881">
    <w:abstractNumId w:val="15"/>
  </w:num>
  <w:num w:numId="76" w16cid:durableId="690105409">
    <w:abstractNumId w:val="60"/>
  </w:num>
  <w:num w:numId="77" w16cid:durableId="1054545214">
    <w:abstractNumId w:val="60"/>
  </w:num>
  <w:num w:numId="78" w16cid:durableId="1505050510">
    <w:abstractNumId w:val="60"/>
  </w:num>
  <w:num w:numId="79" w16cid:durableId="1990087403">
    <w:abstractNumId w:val="60"/>
  </w:num>
  <w:num w:numId="80" w16cid:durableId="1506936251">
    <w:abstractNumId w:val="60"/>
  </w:num>
  <w:num w:numId="81" w16cid:durableId="1768964826">
    <w:abstractNumId w:val="60"/>
  </w:num>
  <w:num w:numId="82" w16cid:durableId="485128312">
    <w:abstractNumId w:val="60"/>
  </w:num>
  <w:num w:numId="83" w16cid:durableId="1434667904">
    <w:abstractNumId w:val="60"/>
  </w:num>
  <w:num w:numId="84" w16cid:durableId="586694731">
    <w:abstractNumId w:val="60"/>
  </w:num>
  <w:num w:numId="85" w16cid:durableId="206531449">
    <w:abstractNumId w:val="60"/>
  </w:num>
  <w:num w:numId="86" w16cid:durableId="1855461882">
    <w:abstractNumId w:val="8"/>
  </w:num>
  <w:num w:numId="87" w16cid:durableId="422192852">
    <w:abstractNumId w:val="79"/>
  </w:num>
  <w:num w:numId="88" w16cid:durableId="1536233417">
    <w:abstractNumId w:val="1"/>
  </w:num>
  <w:num w:numId="89" w16cid:durableId="187374066">
    <w:abstractNumId w:val="51"/>
  </w:num>
  <w:num w:numId="90" w16cid:durableId="849568873">
    <w:abstractNumId w:val="97"/>
  </w:num>
  <w:num w:numId="91" w16cid:durableId="1074397879">
    <w:abstractNumId w:val="25"/>
  </w:num>
  <w:num w:numId="92" w16cid:durableId="587231826">
    <w:abstractNumId w:val="35"/>
  </w:num>
  <w:num w:numId="93" w16cid:durableId="1053583403">
    <w:abstractNumId w:val="9"/>
  </w:num>
  <w:num w:numId="94" w16cid:durableId="1000739804">
    <w:abstractNumId w:val="55"/>
  </w:num>
  <w:num w:numId="95" w16cid:durableId="1900700298">
    <w:abstractNumId w:val="60"/>
  </w:num>
  <w:num w:numId="96" w16cid:durableId="47194441">
    <w:abstractNumId w:val="63"/>
  </w:num>
  <w:num w:numId="97" w16cid:durableId="109251179">
    <w:abstractNumId w:val="102"/>
  </w:num>
  <w:num w:numId="98" w16cid:durableId="513612650">
    <w:abstractNumId w:val="62"/>
  </w:num>
  <w:num w:numId="99" w16cid:durableId="1470394861">
    <w:abstractNumId w:val="61"/>
  </w:num>
  <w:num w:numId="100" w16cid:durableId="572814451">
    <w:abstractNumId w:val="37"/>
  </w:num>
  <w:num w:numId="101" w16cid:durableId="1696736600">
    <w:abstractNumId w:val="71"/>
  </w:num>
  <w:num w:numId="102" w16cid:durableId="209852394">
    <w:abstractNumId w:val="104"/>
  </w:num>
  <w:num w:numId="103" w16cid:durableId="1534270429">
    <w:abstractNumId w:val="80"/>
  </w:num>
  <w:num w:numId="104" w16cid:durableId="1091466688">
    <w:abstractNumId w:val="60"/>
  </w:num>
  <w:num w:numId="105" w16cid:durableId="1269192635">
    <w:abstractNumId w:val="4"/>
  </w:num>
  <w:num w:numId="106" w16cid:durableId="419719307">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1400060389">
    <w:abstractNumId w:val="54"/>
  </w:num>
  <w:num w:numId="108" w16cid:durableId="366954128">
    <w:abstractNumId w:val="85"/>
  </w:num>
  <w:num w:numId="109" w16cid:durableId="2023820006">
    <w:abstractNumId w:val="38"/>
  </w:num>
  <w:num w:numId="110" w16cid:durableId="724529527">
    <w:abstractNumId w:val="91"/>
  </w:num>
  <w:num w:numId="111" w16cid:durableId="1828934414">
    <w:abstractNumId w:val="43"/>
  </w:num>
  <w:num w:numId="112" w16cid:durableId="1057166961">
    <w:abstractNumId w:val="100"/>
  </w:num>
  <w:num w:numId="113" w16cid:durableId="609555609">
    <w:abstractNumId w:val="17"/>
  </w:num>
  <w:num w:numId="114" w16cid:durableId="345861339">
    <w:abstractNumId w:val="60"/>
  </w:num>
  <w:num w:numId="115" w16cid:durableId="2080134429">
    <w:abstractNumId w:val="82"/>
  </w:num>
  <w:num w:numId="116" w16cid:durableId="815924627">
    <w:abstractNumId w:val="44"/>
  </w:num>
  <w:num w:numId="117" w16cid:durableId="1361399554">
    <w:abstractNumId w:val="11"/>
  </w:num>
  <w:num w:numId="118" w16cid:durableId="1766611800">
    <w:abstractNumId w:val="93"/>
  </w:num>
  <w:num w:numId="119" w16cid:durableId="1040319994">
    <w:abstractNumId w:val="34"/>
  </w:num>
  <w:num w:numId="120" w16cid:durableId="2126346715">
    <w:abstractNumId w:val="99"/>
  </w:num>
  <w:num w:numId="121" w16cid:durableId="919871618">
    <w:abstractNumId w:val="95"/>
  </w:num>
  <w:num w:numId="122" w16cid:durableId="467864146">
    <w:abstractNumId w:val="68"/>
  </w:num>
  <w:num w:numId="123" w16cid:durableId="469908077">
    <w:abstractNumId w:val="58"/>
  </w:num>
  <w:num w:numId="124" w16cid:durableId="1404983883">
    <w:abstractNumId w:val="45"/>
  </w:num>
  <w:num w:numId="125" w16cid:durableId="1960992156">
    <w:abstractNumId w:val="14"/>
  </w:num>
  <w:num w:numId="126" w16cid:durableId="906260213">
    <w:abstractNumId w:val="29"/>
  </w:num>
  <w:num w:numId="127" w16cid:durableId="1154226772">
    <w:abstractNumId w:val="40"/>
  </w:num>
  <w:num w:numId="128" w16cid:durableId="112602145">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35E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cs-CZ"/>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cs-CZ"/>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cs-CZ"/>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cs-CZ"/>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cs-CZ"/>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cs-CZ"/>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cs-CZ"/>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cs-CZ"/>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2.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3.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5.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6.xml><?xml version="1.0" encoding="utf-8"?>
<ds:datastoreItem xmlns:ds="http://schemas.openxmlformats.org/officeDocument/2006/customXml" ds:itemID="{21C41579-DB0D-4843-B5ED-F622776539A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Dimitris Dimitriadis</cp:lastModifiedBy>
  <cp:revision>3</cp:revision>
  <dcterms:created xsi:type="dcterms:W3CDTF">2022-05-27T12:53:00Z</dcterms:created>
  <dcterms:modified xsi:type="dcterms:W3CDTF">2022-06-16T09:26:00Z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