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40E" w:rsidRDefault="00A3740E" w:rsidP="00A3740E">
      <w:pPr>
        <w:ind w:right="29"/>
        <w:jc w:val="center"/>
        <w:rPr>
          <w:rFonts w:ascii="Courier New" w:hAnsi="Courier New"/>
          <w:sz w:val="20"/>
        </w:rPr>
      </w:pPr>
      <w:r>
        <w:rPr>
          <w:rFonts w:ascii="Courier New" w:hAnsi="Courier New"/>
          <w:sz w:val="20"/>
        </w:rPr>
        <w:t>1. ------IND- 2020 0832 F-- SL- ------ 20201230 --- --- PROJET</w:t>
      </w:r>
    </w:p>
    <w:p w:rsidR="00A3740E" w:rsidRDefault="00A3740E"/>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DB0F74" w:rsidRPr="00282E2D" w:rsidTr="006956AB">
        <w:trPr>
          <w:cantSplit/>
        </w:trPr>
        <w:tc>
          <w:tcPr>
            <w:tcW w:w="4338" w:type="dxa"/>
            <w:gridSpan w:val="3"/>
            <w:shd w:val="clear" w:color="auto" w:fill="FFFFFF"/>
          </w:tcPr>
          <w:p w:rsidR="00DB0F74" w:rsidRPr="00282E2D" w:rsidRDefault="00DB0F74" w:rsidP="00DF56E1">
            <w:pPr>
              <w:pStyle w:val="SNREPUBLIQUE"/>
            </w:pPr>
            <w:r>
              <w:t>FRANCOSKA REPUBLIKA</w:t>
            </w:r>
          </w:p>
        </w:tc>
      </w:tr>
      <w:tr w:rsidR="00DB0F74" w:rsidRPr="00282E2D" w:rsidTr="006956AB">
        <w:trPr>
          <w:cantSplit/>
          <w:trHeight w:hRule="exact" w:val="113"/>
        </w:trPr>
        <w:tc>
          <w:tcPr>
            <w:tcW w:w="1526" w:type="dxa"/>
            <w:shd w:val="clear" w:color="auto" w:fill="FFFFFF"/>
          </w:tcPr>
          <w:p w:rsidR="00DB0F74" w:rsidRPr="00282E2D" w:rsidRDefault="00DB0F74" w:rsidP="00DF56E1"/>
        </w:tc>
        <w:tc>
          <w:tcPr>
            <w:tcW w:w="968" w:type="dxa"/>
            <w:tcBorders>
              <w:bottom w:val="single" w:sz="2" w:space="0" w:color="000001"/>
            </w:tcBorders>
            <w:shd w:val="clear" w:color="auto" w:fill="FFFFFF"/>
          </w:tcPr>
          <w:p w:rsidR="00DB0F74" w:rsidRPr="00282E2D" w:rsidRDefault="00DB0F74" w:rsidP="00DF56E1"/>
        </w:tc>
        <w:tc>
          <w:tcPr>
            <w:tcW w:w="1844" w:type="dxa"/>
            <w:shd w:val="clear" w:color="auto" w:fill="FFFFFF"/>
          </w:tcPr>
          <w:p w:rsidR="00DB0F74" w:rsidRPr="00282E2D" w:rsidRDefault="00DB0F74" w:rsidP="00DF56E1"/>
        </w:tc>
      </w:tr>
      <w:tr w:rsidR="00DB0F74" w:rsidRPr="00282E2D" w:rsidTr="006956AB">
        <w:trPr>
          <w:cantSplit/>
        </w:trPr>
        <w:tc>
          <w:tcPr>
            <w:tcW w:w="4338" w:type="dxa"/>
            <w:gridSpan w:val="3"/>
            <w:shd w:val="clear" w:color="auto" w:fill="FFFFFF"/>
          </w:tcPr>
          <w:p w:rsidR="00DF56E1" w:rsidRPr="00282E2D" w:rsidRDefault="00DB0F74" w:rsidP="006956AB">
            <w:pPr>
              <w:pStyle w:val="SNTimbre"/>
              <w:ind w:hanging="57"/>
              <w:jc w:val="center"/>
            </w:pPr>
            <w:r>
              <w:t>Ministrstvo za ekološki prehod</w:t>
            </w:r>
          </w:p>
          <w:p w:rsidR="00DF56E1" w:rsidRPr="00282E2D" w:rsidRDefault="00DB0F74" w:rsidP="006956AB">
            <w:pPr>
              <w:pStyle w:val="SNTimbre"/>
              <w:ind w:hanging="57"/>
              <w:jc w:val="center"/>
            </w:pPr>
            <w:r>
              <w:t>Ministrstvo za zdravje in solidarnost</w:t>
            </w:r>
          </w:p>
          <w:p w:rsidR="00DF56E1" w:rsidRPr="00282E2D" w:rsidRDefault="00DB0F74" w:rsidP="006956AB">
            <w:pPr>
              <w:pStyle w:val="SNTimbre"/>
              <w:ind w:hanging="57"/>
              <w:jc w:val="center"/>
            </w:pPr>
            <w:r>
              <w:t>Ministrstvo za pravosodje</w:t>
            </w:r>
          </w:p>
        </w:tc>
      </w:tr>
      <w:tr w:rsidR="00DB0F74" w:rsidRPr="00282E2D" w:rsidTr="006956AB">
        <w:trPr>
          <w:cantSplit/>
          <w:trHeight w:hRule="exact" w:val="227"/>
        </w:trPr>
        <w:tc>
          <w:tcPr>
            <w:tcW w:w="1526" w:type="dxa"/>
            <w:shd w:val="clear" w:color="auto" w:fill="FFFFFF"/>
          </w:tcPr>
          <w:p w:rsidR="00DB0F74" w:rsidRPr="00282E2D" w:rsidRDefault="00DB0F74" w:rsidP="00DF56E1"/>
        </w:tc>
        <w:tc>
          <w:tcPr>
            <w:tcW w:w="968" w:type="dxa"/>
            <w:tcBorders>
              <w:bottom w:val="single" w:sz="2" w:space="0" w:color="000001"/>
            </w:tcBorders>
            <w:shd w:val="clear" w:color="auto" w:fill="FFFFFF"/>
          </w:tcPr>
          <w:p w:rsidR="00DB0F74" w:rsidRPr="00282E2D" w:rsidRDefault="00DB0F74" w:rsidP="00DF56E1"/>
        </w:tc>
        <w:tc>
          <w:tcPr>
            <w:tcW w:w="1844" w:type="dxa"/>
            <w:shd w:val="clear" w:color="auto" w:fill="FFFFFF"/>
          </w:tcPr>
          <w:p w:rsidR="00DB0F74" w:rsidRPr="00282E2D" w:rsidRDefault="00DB0F74" w:rsidP="00DF56E1"/>
        </w:tc>
      </w:tr>
      <w:tr w:rsidR="00DB0F74" w:rsidRPr="00282E2D" w:rsidTr="006956AB">
        <w:trPr>
          <w:cantSplit/>
          <w:trHeight w:hRule="exact" w:val="227"/>
        </w:trPr>
        <w:tc>
          <w:tcPr>
            <w:tcW w:w="1526" w:type="dxa"/>
            <w:shd w:val="clear" w:color="auto" w:fill="FFFFFF"/>
          </w:tcPr>
          <w:p w:rsidR="00DB0F74" w:rsidRPr="00282E2D" w:rsidRDefault="00DB0F74" w:rsidP="00DF56E1"/>
        </w:tc>
        <w:tc>
          <w:tcPr>
            <w:tcW w:w="968" w:type="dxa"/>
            <w:shd w:val="clear" w:color="auto" w:fill="FFFFFF"/>
          </w:tcPr>
          <w:p w:rsidR="00DB0F74" w:rsidRPr="00282E2D" w:rsidRDefault="00DB0F74" w:rsidP="00DF56E1"/>
        </w:tc>
        <w:tc>
          <w:tcPr>
            <w:tcW w:w="1844" w:type="dxa"/>
            <w:shd w:val="clear" w:color="auto" w:fill="FFFFFF"/>
          </w:tcPr>
          <w:p w:rsidR="00DB0F74" w:rsidRPr="00282E2D" w:rsidRDefault="00DB0F74" w:rsidP="00DF56E1"/>
        </w:tc>
      </w:tr>
    </w:tbl>
    <w:p w:rsidR="00294A53" w:rsidRPr="00282E2D" w:rsidRDefault="00294A53" w:rsidP="00294A53">
      <w:pPr>
        <w:pStyle w:val="SNNature"/>
      </w:pPr>
      <w:r>
        <w:t>Uredba št. […] z dne […]</w:t>
      </w:r>
    </w:p>
    <w:p w:rsidR="00294A53" w:rsidRPr="00282E2D" w:rsidRDefault="00F17BFA" w:rsidP="00294A53">
      <w:pPr>
        <w:pStyle w:val="SNtitre"/>
      </w:pPr>
      <w:r>
        <w:t>o dajanju na razpolago informacij, ki omogočajo identifikacijo endokrinih motilcev v izdelku</w:t>
      </w:r>
    </w:p>
    <w:p w:rsidR="00294A53" w:rsidRPr="00282E2D" w:rsidRDefault="00294A53" w:rsidP="00294A53">
      <w:pPr>
        <w:pStyle w:val="SNNORCentr"/>
      </w:pPr>
      <w:r>
        <w:t>NOR: TREP</w:t>
      </w:r>
    </w:p>
    <w:p w:rsidR="00294A53" w:rsidRPr="00282E2D" w:rsidRDefault="00294A53" w:rsidP="00294A53">
      <w:pPr>
        <w:spacing w:before="720" w:after="120"/>
        <w:ind w:firstLine="720"/>
        <w:jc w:val="both"/>
        <w:rPr>
          <w:rFonts w:ascii="Times New Roman" w:hAnsi="Times New Roman" w:cs="Times New Roman"/>
          <w:i/>
          <w:iCs/>
          <w:sz w:val="24"/>
          <w:szCs w:val="24"/>
        </w:rPr>
      </w:pPr>
      <w:r>
        <w:rPr>
          <w:rFonts w:ascii="Times New Roman" w:hAnsi="Times New Roman"/>
          <w:b/>
          <w:bCs/>
          <w:i/>
          <w:iCs/>
          <w:sz w:val="24"/>
          <w:szCs w:val="24"/>
        </w:rPr>
        <w:t>Ciljna javnost:</w:t>
      </w:r>
      <w:r>
        <w:rPr>
          <w:rFonts w:ascii="Times New Roman" w:hAnsi="Times New Roman"/>
          <w:i/>
          <w:iCs/>
          <w:sz w:val="24"/>
          <w:szCs w:val="24"/>
        </w:rPr>
        <w:t xml:space="preserve"> vse osebe, ki dajejo na trg izdelke, ki so namenjeni potrošnikom in ob koncu svoje proizvodnje vsebujejo snovi, za katere je Nacionalna agencija za zdravstveno varnost na področju prehrane, okolja in dela (ANSES) opredelila, da imajo dokazane, verjetne ali domnevne lastnosti endokrinih motilcev</w:t>
      </w:r>
    </w:p>
    <w:p w:rsidR="00294A53" w:rsidRPr="00282E2D" w:rsidRDefault="00294A53" w:rsidP="00294A53">
      <w:pPr>
        <w:spacing w:before="120"/>
        <w:ind w:firstLine="720"/>
        <w:jc w:val="both"/>
        <w:rPr>
          <w:rFonts w:ascii="Times New Roman" w:hAnsi="Times New Roman" w:cs="Times New Roman"/>
          <w:i/>
          <w:iCs/>
          <w:sz w:val="24"/>
          <w:szCs w:val="24"/>
        </w:rPr>
      </w:pPr>
      <w:r>
        <w:rPr>
          <w:rFonts w:ascii="Times New Roman" w:hAnsi="Times New Roman"/>
          <w:b/>
          <w:bCs/>
          <w:i/>
          <w:iCs/>
          <w:sz w:val="24"/>
          <w:szCs w:val="24"/>
        </w:rPr>
        <w:t>Zadeva:</w:t>
      </w:r>
      <w:r>
        <w:rPr>
          <w:rFonts w:ascii="Times New Roman" w:hAnsi="Times New Roman"/>
          <w:i/>
          <w:iCs/>
          <w:sz w:val="24"/>
          <w:szCs w:val="24"/>
        </w:rPr>
        <w:t xml:space="preserve"> Ta uredba s členom 1 uvaja nacionalne določbe, potrebne za zagotovitev razpoložljivosti informacij, ki omogočajo identifikacijo endokrinih motilcev v izdelku. </w:t>
      </w:r>
    </w:p>
    <w:p w:rsidR="00294A53" w:rsidRPr="00282E2D" w:rsidRDefault="00294A53" w:rsidP="00502224">
      <w:pPr>
        <w:pStyle w:val="SNVisa"/>
        <w:ind w:firstLine="708"/>
        <w:rPr>
          <w:i/>
          <w:iCs/>
        </w:rPr>
      </w:pPr>
      <w:r>
        <w:rPr>
          <w:b/>
          <w:bCs/>
          <w:i/>
        </w:rPr>
        <w:t>Začetek veljavnosti:</w:t>
      </w:r>
      <w:r>
        <w:rPr>
          <w:i/>
        </w:rPr>
        <w:t xml:space="preserve"> besedilo začne veljati 1. januarja 2022.</w:t>
      </w:r>
    </w:p>
    <w:p w:rsidR="00294A53" w:rsidRPr="00282E2D" w:rsidRDefault="00294A53" w:rsidP="00294A53">
      <w:pPr>
        <w:spacing w:after="120"/>
        <w:ind w:firstLine="720"/>
        <w:jc w:val="both"/>
        <w:rPr>
          <w:rFonts w:ascii="Times New Roman" w:hAnsi="Times New Roman" w:cs="Times New Roman"/>
          <w:i/>
          <w:iCs/>
          <w:sz w:val="24"/>
          <w:szCs w:val="24"/>
        </w:rPr>
      </w:pPr>
      <w:r>
        <w:rPr>
          <w:rFonts w:ascii="Times New Roman" w:hAnsi="Times New Roman"/>
          <w:b/>
          <w:bCs/>
          <w:i/>
          <w:iCs/>
          <w:sz w:val="24"/>
          <w:szCs w:val="24"/>
        </w:rPr>
        <w:t xml:space="preserve">Obvestilo: </w:t>
      </w:r>
      <w:r>
        <w:rPr>
          <w:rFonts w:ascii="Times New Roman" w:hAnsi="Times New Roman"/>
          <w:bCs/>
          <w:i/>
          <w:iCs/>
          <w:sz w:val="24"/>
          <w:szCs w:val="24"/>
        </w:rPr>
        <w:t>Člen 13(II) Zakona št. 2020-105 z dne 10. februarja 2020 o preprečevanju nastajanja odpadkov in krožnem gospodarstvu (AGEC) določa, da se način dajanja na razpolago informacij, ki omogočajo identifikacijo endokrinih motilcev v izdelku, danem na trg, določi v uredbi Državnega sveta. Namen, naveden v pojasnilu razlogov za ta člen, je državljanom zagotoviti pregledne informacije o prisotnosti snovi z lastnostmi endokrinih motilcev v izdelkih. Tako določa, da vsaka oseba, ki daje na trg izdelke, ki v skladu z mnenjem agencije ANSES vsebujejo snovi z lastnostmi endokrinih motilcev, objavi seznam teh izdelkov in snovi, ki jih vsebujejo posamezni izdelki. Ta objava je v odprtem formatu, ki sodelujočim platformam omogoča uporabo informacij, pa tudi boljše obveščanje potrošnika. Informacije, ki se lahko zagotovijo, so lahko na primer kategorija izdelka, trgovsko ime izdelka, referenčna številka izdelka, kemijsko ime snovi z lastnostmi endokrinega motilca, kemijska formula, številka CAS in številka ES snovi z lastnostmi endokrinega motilca ali obča in trgovska imena snovi z lastnostmi endokrinega motilca. </w:t>
      </w:r>
      <w:r>
        <w:rPr>
          <w:rFonts w:ascii="Times New Roman" w:hAnsi="Times New Roman"/>
          <w:i/>
          <w:iCs/>
          <w:sz w:val="24"/>
          <w:szCs w:val="24"/>
        </w:rPr>
        <w:t xml:space="preserve">Druga nacionalna strategija o endokrinih motilcih (SNPE2) vključuje poudarek na izboljšanju obveščanja potrošnikov. Agencija ANSES si že močno prizadeva za izdelavo seznamov snovi z lastnostmi endokrinih motilcev (ukrep št. 3 SNPE2). Ta ukrep je v skladu s to dinamiko in državljanom zagotavlja pregledne informacije o prisotnosti snovi z lastnostmi endokrinih motilcev v izdelkih v smislu snovi, zmesi, izdelkov </w:t>
      </w:r>
      <w:r>
        <w:rPr>
          <w:rFonts w:ascii="Times New Roman" w:hAnsi="Times New Roman"/>
          <w:i/>
          <w:iCs/>
          <w:sz w:val="24"/>
          <w:szCs w:val="24"/>
        </w:rPr>
        <w:lastRenderedPageBreak/>
        <w:t>in živil. Tako za izvajanje člena izdelki v okviru člena L. 5232-5 Zakonika o javnem zdravju pomenijo snovi, zmesi in izdelke, opredeljene v členu 3 Uredbe (EU) št. 1907/2006, razen zdravil, biocidne proizvode, opredeljene v členu 3 Uredbe (EU) št. 528/2012, fitofarmacevtska sredstva v smislu člena 2 Uredbe (ES) št. 1107/2009, medicinske pripomočke, opredeljene v členu 2 Uredbe (EU) 2017/745, materiale in izdelke, vključno z aktivnimi materiali in izdelki, namenjenimi za stik z živili, opredeljenimi v členu 2 Uredbe (ES) št. 1935/2004, igrače v smislu člena 2 Direktive 2009/48/ES, kozmetične izdelke, opredeljene v členu 2 Uredbe (ES) št. 1223/2009, proizvode, opredeljene v členu 2 Direktive 2001/95/ES, ter živila, opredeljena v členu 2 Uredbe (ES) št. 178/2002.</w:t>
      </w:r>
    </w:p>
    <w:p w:rsidR="007D1BA7" w:rsidRPr="00282E2D" w:rsidRDefault="007D1BA7" w:rsidP="008D5DD6">
      <w:pPr>
        <w:spacing w:before="120"/>
        <w:ind w:firstLine="720"/>
        <w:jc w:val="both"/>
        <w:rPr>
          <w:rFonts w:ascii="Times New Roman" w:hAnsi="Times New Roman" w:cs="Times New Roman"/>
          <w:b/>
          <w:bCs/>
          <w:i/>
          <w:iCs/>
          <w:sz w:val="24"/>
          <w:szCs w:val="24"/>
        </w:rPr>
      </w:pPr>
      <w:r>
        <w:rPr>
          <w:rFonts w:ascii="Times New Roman" w:hAnsi="Times New Roman"/>
          <w:b/>
          <w:bCs/>
          <w:i/>
          <w:iCs/>
          <w:sz w:val="24"/>
          <w:szCs w:val="24"/>
        </w:rPr>
        <w:t xml:space="preserve">Referenčna besedila: </w:t>
      </w:r>
      <w:r>
        <w:rPr>
          <w:rFonts w:ascii="Times New Roman" w:hAnsi="Times New Roman"/>
          <w:bCs/>
          <w:i/>
          <w:iCs/>
          <w:sz w:val="24"/>
          <w:szCs w:val="24"/>
        </w:rPr>
        <w:t>Besedilo je na voljo na spletnem mestu Légifrance (https://www.legifrance.fr).</w:t>
      </w:r>
    </w:p>
    <w:p w:rsidR="00294A53" w:rsidRPr="00282E2D" w:rsidRDefault="00294A53" w:rsidP="00CB7E5E">
      <w:pPr>
        <w:keepNext/>
        <w:spacing w:before="720" w:after="240"/>
        <w:rPr>
          <w:rFonts w:ascii="Times New Roman" w:hAnsi="Times New Roman" w:cs="Times New Roman"/>
          <w:b/>
          <w:bCs/>
          <w:sz w:val="24"/>
          <w:szCs w:val="24"/>
        </w:rPr>
      </w:pPr>
      <w:r>
        <w:rPr>
          <w:rFonts w:ascii="Times New Roman" w:hAnsi="Times New Roman"/>
          <w:b/>
          <w:bCs/>
          <w:sz w:val="24"/>
          <w:szCs w:val="24"/>
        </w:rPr>
        <w:t>Predsednik vlade –</w:t>
      </w:r>
    </w:p>
    <w:p w:rsidR="00294A53" w:rsidRPr="00282E2D" w:rsidRDefault="00294A53" w:rsidP="00294A53">
      <w:pPr>
        <w:pStyle w:val="SNVisa"/>
        <w:spacing w:before="0" w:after="0"/>
        <w:ind w:firstLine="709"/>
      </w:pPr>
      <w:r>
        <w:t>na podlagi poročila ministrice za ekološki prehod;</w:t>
      </w:r>
    </w:p>
    <w:p w:rsidR="006956AB" w:rsidRPr="00282E2D" w:rsidRDefault="006956AB" w:rsidP="006956AB">
      <w:pPr>
        <w:pStyle w:val="SNVisa"/>
        <w:rPr>
          <w:iCs/>
        </w:rPr>
      </w:pPr>
      <w:r>
        <w:t>ob upoštevanju Uredbe (ES) št. 178/2002 Evropskega parlamenta in Sveta z dne 28. januarja 2002 o določitvi splošnih načel in zahtevah živilske zakonodaje, ustanovitvi Evropske agencije za varnost hrane in postopkih, ki zadevajo varnost hrane;</w:t>
      </w:r>
    </w:p>
    <w:p w:rsidR="006956AB" w:rsidRPr="00282E2D" w:rsidRDefault="006956AB" w:rsidP="006956AB">
      <w:pPr>
        <w:pStyle w:val="SNVisa"/>
        <w:rPr>
          <w:iCs/>
        </w:rPr>
      </w:pPr>
      <w:r>
        <w:t>ob upoštevanju uredbe (ES) št. 1907/2006 Evropskega Parlamenta in Sveta z dne 18. decembra 2006 o registraciji, evalvaciji, avtorizaciji in omejevanju kemikalij (REACH), o ustanovitvi Evropske agencije za kemikalije ter spremembi Direktive 1999/45/ES ter razveljavitvi Uredbe Sveta (EGS) št. 793/93 in Uredbe Komisije (ES) št. 1488/94 ter Direktive Sveta 76/769/EGS in direktiv Komisije 91/155/EGS, 93/67/EGS, 93/105/ES in 2000/21/ES;</w:t>
      </w:r>
    </w:p>
    <w:p w:rsidR="006956AB" w:rsidRPr="00282E2D" w:rsidRDefault="006956AB" w:rsidP="006956AB">
      <w:pPr>
        <w:pStyle w:val="SNVisa"/>
        <w:rPr>
          <w:iCs/>
        </w:rPr>
      </w:pPr>
      <w:r>
        <w:t>ob upoštevanju Uredbe (EU) 2</w:t>
      </w:r>
      <w:bookmarkStart w:id="0" w:name="_GoBack"/>
      <w:bookmarkEnd w:id="0"/>
      <w:r>
        <w:t>017/745 Evropskega parlamenta in Sveta z dne 5. aprila 2017 o medicinskih pripomočkih, spremembi Direktive 2001/83/ES, Uredbe (ES) št. 178/2002 in Uredbe (ES) št. 1223/2009 ter razveljavitvi direktiv Sveta 90/385/EGS in 93/42/EGS;</w:t>
      </w:r>
    </w:p>
    <w:p w:rsidR="006956AB" w:rsidRPr="00282E2D" w:rsidRDefault="006956AB" w:rsidP="006956AB">
      <w:pPr>
        <w:pStyle w:val="SNVisa"/>
      </w:pPr>
      <w:r>
        <w:t>ob upoštevanju Direktive (EU) 2015/1535 Evropskega parlamenta in Sveta z dne 9. septembra 2015 o določitvi postopka za zbiranje informacij na področju tehničnih predpisov in pravil za storitve informacijske družbe, zlasti uradnega obvestila št. [...];</w:t>
      </w:r>
    </w:p>
    <w:p w:rsidR="006956AB" w:rsidRPr="00282E2D" w:rsidRDefault="006956AB" w:rsidP="006956AB">
      <w:pPr>
        <w:pStyle w:val="SNVisa"/>
        <w:spacing w:before="0" w:after="0"/>
        <w:ind w:firstLine="709"/>
      </w:pPr>
      <w:r>
        <w:t>ob upoštevanju Okoljskega zakonika, zlasti člena L. 541-1-1;</w:t>
      </w:r>
    </w:p>
    <w:p w:rsidR="00294A53" w:rsidRPr="00282E2D" w:rsidRDefault="00294A53" w:rsidP="00294A53">
      <w:pPr>
        <w:pStyle w:val="SNVisa"/>
        <w:spacing w:before="0" w:after="0"/>
        <w:ind w:firstLine="709"/>
      </w:pPr>
    </w:p>
    <w:p w:rsidR="00294A53" w:rsidRPr="00282E2D" w:rsidRDefault="00294A53" w:rsidP="00294A53">
      <w:pPr>
        <w:pStyle w:val="SNVisa"/>
        <w:spacing w:before="0" w:after="0"/>
        <w:ind w:firstLine="709"/>
      </w:pPr>
      <w:r>
        <w:t>ob upoštevanju Kazenskega zakonika, zlasti člena R. 610-1;</w:t>
      </w:r>
    </w:p>
    <w:p w:rsidR="00CE41DF" w:rsidRPr="00282E2D" w:rsidRDefault="00CE41DF" w:rsidP="00294A53">
      <w:pPr>
        <w:pStyle w:val="SNVisa"/>
        <w:spacing w:before="0" w:after="0"/>
        <w:ind w:firstLine="709"/>
      </w:pPr>
    </w:p>
    <w:p w:rsidR="006956AB" w:rsidRPr="00282E2D" w:rsidRDefault="006956AB" w:rsidP="006956AB">
      <w:pPr>
        <w:pStyle w:val="SNVisa"/>
        <w:spacing w:before="0" w:after="0"/>
        <w:ind w:firstLine="709"/>
      </w:pPr>
      <w:r>
        <w:t>ob upoštevanju Zakonika o javnem zdravju, zlasti člena L. 5232-5, kakor je bil spremenjen s členom 13 Zakona št. 2020-105 z dne 10. februarja 2020 o preprečevanju nastajanja odpadkov in krožnem gospodarstvu;</w:t>
      </w:r>
    </w:p>
    <w:p w:rsidR="00294A53" w:rsidRPr="00282E2D" w:rsidRDefault="00294A53" w:rsidP="00294A53">
      <w:pPr>
        <w:pStyle w:val="SNConsultation"/>
      </w:pPr>
      <w:r>
        <w:t>ob upoštevanju mnenja Državnega sveta (oddelek za javna dela) –</w:t>
      </w:r>
    </w:p>
    <w:p w:rsidR="00294A53" w:rsidRPr="00282E2D" w:rsidRDefault="00294A53" w:rsidP="00CB7E5E">
      <w:pPr>
        <w:pStyle w:val="SNActe"/>
        <w:keepNext/>
      </w:pPr>
      <w:r>
        <w:lastRenderedPageBreak/>
        <w:t>odreja:</w:t>
      </w:r>
    </w:p>
    <w:p w:rsidR="00294A53" w:rsidRPr="00282E2D" w:rsidRDefault="00294A53" w:rsidP="00CB7E5E">
      <w:pPr>
        <w:pStyle w:val="SNArticle"/>
        <w:keepNext/>
      </w:pPr>
      <w:r>
        <w:t>Člen 1</w:t>
      </w:r>
    </w:p>
    <w:p w:rsidR="00294A53" w:rsidRPr="00282E2D" w:rsidRDefault="00294A53" w:rsidP="00CB7E5E">
      <w:pPr>
        <w:pStyle w:val="Textbody"/>
        <w:keepNext/>
        <w:tabs>
          <w:tab w:val="left" w:pos="4448"/>
        </w:tabs>
        <w:spacing w:after="0"/>
        <w:ind w:firstLine="709"/>
      </w:pPr>
      <w:r>
        <w:t>Za oddelkom 2 poglavja II naslova III zvezka II petega dela Zakonika o javnem zdravju (normativni del) se doda oddelek 3, ki se glasi:</w:t>
      </w:r>
    </w:p>
    <w:p w:rsidR="00294A53" w:rsidRPr="00282E2D" w:rsidRDefault="00294A53" w:rsidP="00CB7E5E">
      <w:pPr>
        <w:pStyle w:val="Textbody"/>
        <w:keepNext/>
        <w:spacing w:after="0"/>
        <w:ind w:firstLine="709"/>
      </w:pPr>
    </w:p>
    <w:p w:rsidR="00294A53" w:rsidRPr="00282E2D" w:rsidRDefault="00294A53" w:rsidP="00CB7E5E">
      <w:pPr>
        <w:pStyle w:val="Textbody"/>
        <w:keepNext/>
        <w:spacing w:after="0"/>
        <w:jc w:val="center"/>
        <w:rPr>
          <w:i/>
        </w:rPr>
      </w:pPr>
      <w:r>
        <w:rPr>
          <w:i/>
        </w:rPr>
        <w:t>„Oddelek 3. Informacije o endokrinih motilcih v izdelkih</w:t>
      </w:r>
    </w:p>
    <w:p w:rsidR="00294A53" w:rsidRPr="00282E2D" w:rsidRDefault="00294A53" w:rsidP="00CB7E5E">
      <w:pPr>
        <w:pStyle w:val="Textbody"/>
        <w:keepNext/>
        <w:tabs>
          <w:tab w:val="left" w:pos="5428"/>
        </w:tabs>
        <w:spacing w:after="0"/>
        <w:ind w:firstLine="709"/>
        <w:jc w:val="center"/>
        <w:rPr>
          <w:i/>
        </w:rPr>
      </w:pPr>
    </w:p>
    <w:p w:rsidR="00294A53" w:rsidRPr="00282E2D" w:rsidRDefault="00294A53" w:rsidP="00CB7E5E">
      <w:pPr>
        <w:pStyle w:val="Textbody"/>
        <w:keepNext/>
        <w:tabs>
          <w:tab w:val="left" w:pos="5428"/>
        </w:tabs>
        <w:spacing w:after="0"/>
        <w:jc w:val="center"/>
        <w:rPr>
          <w:i/>
        </w:rPr>
      </w:pPr>
      <w:r>
        <w:rPr>
          <w:i/>
        </w:rPr>
        <w:t>Pododdelek 1. Določitev seznama snovi z dokazanimi, verjetnimi ali domnevnimi lastnostmi endokrinih motilcev</w:t>
      </w:r>
    </w:p>
    <w:p w:rsidR="00294A53" w:rsidRPr="00282E2D" w:rsidRDefault="00294A53" w:rsidP="00CB7E5E">
      <w:pPr>
        <w:pStyle w:val="Textbody"/>
        <w:keepNext/>
        <w:spacing w:after="0"/>
        <w:ind w:firstLine="709"/>
        <w:rPr>
          <w:shd w:val="clear" w:color="auto" w:fill="FFFF00"/>
        </w:rPr>
      </w:pPr>
    </w:p>
    <w:p w:rsidR="00294A53" w:rsidRPr="00282E2D" w:rsidRDefault="00294A53" w:rsidP="00294A53">
      <w:pPr>
        <w:pStyle w:val="Textbody"/>
        <w:spacing w:after="0"/>
      </w:pPr>
      <w:r>
        <w:rPr>
          <w:i/>
        </w:rPr>
        <w:t>Člen R.</w:t>
      </w:r>
      <w:r w:rsidR="00BB0AB7">
        <w:rPr>
          <w:i/>
        </w:rPr>
        <w:t> </w:t>
      </w:r>
      <w:r>
        <w:rPr>
          <w:i/>
        </w:rPr>
        <w:t>5232-19. Za izvajanje tega oddelka izdelki v smislu člena L.</w:t>
      </w:r>
      <w:r>
        <w:t> </w:t>
      </w:r>
      <w:r>
        <w:rPr>
          <w:i/>
        </w:rPr>
        <w:t>5232-5 pomenijo snovi, zmesi in izdelke, opredeljene v členu 3 Uredbe (EU) št. 1907/2006, razen zdravil, in živila, opredeljena v členu 2 Uredbe (ES) št. 178/2002.</w:t>
      </w:r>
    </w:p>
    <w:p w:rsidR="00294A53" w:rsidRPr="00282E2D" w:rsidRDefault="00294A53" w:rsidP="00294A53">
      <w:pPr>
        <w:pStyle w:val="Textbody"/>
        <w:spacing w:after="0"/>
        <w:rPr>
          <w:i/>
        </w:rPr>
      </w:pPr>
    </w:p>
    <w:p w:rsidR="00294A53" w:rsidRPr="00282E2D" w:rsidRDefault="00294A53" w:rsidP="00294A53">
      <w:pPr>
        <w:pStyle w:val="Textbody"/>
        <w:spacing w:after="0"/>
        <w:rPr>
          <w:i/>
        </w:rPr>
      </w:pPr>
      <w:r>
        <w:rPr>
          <w:i/>
        </w:rPr>
        <w:t>I. V skupni odredbi ministrov, odgovornih za zdravje in okolje, se po posvetovanju z Nacionalno agencijo za zdravstveno varnost na področju prehrane, okolja in dela določi seznam snovi z lastnostmi endokrinih motilcev iz odstavka I člena L.</w:t>
      </w:r>
      <w:r w:rsidR="00BB0AB7">
        <w:rPr>
          <w:i/>
        </w:rPr>
        <w:t> </w:t>
      </w:r>
      <w:r>
        <w:rPr>
          <w:i/>
        </w:rPr>
        <w:t>5232-5, razdeljenih v skupino snovi z dokazanimi in skupino snovi z verjetnimi tovrstnimi lastnostmi v skladu s stopnjo znanstvenih dokazov.</w:t>
      </w:r>
    </w:p>
    <w:p w:rsidR="00294A53" w:rsidRPr="00282E2D" w:rsidRDefault="00294A53" w:rsidP="00294A53">
      <w:pPr>
        <w:pStyle w:val="Textbody"/>
        <w:spacing w:after="0"/>
        <w:rPr>
          <w:i/>
        </w:rPr>
      </w:pPr>
    </w:p>
    <w:p w:rsidR="00294A53" w:rsidRPr="00282E2D" w:rsidRDefault="00294A53" w:rsidP="00294A53">
      <w:pPr>
        <w:pStyle w:val="Textbody"/>
        <w:spacing w:after="0"/>
        <w:rPr>
          <w:i/>
        </w:rPr>
      </w:pPr>
      <w:r>
        <w:rPr>
          <w:i/>
        </w:rPr>
        <w:t>II. V skupni odredbi ministrov, odgovornih za zdravje in okolje, se po posvetovanju z Nacionalno agencijo za zdravstveno varnost na področju prehrane, okolja in dela določi seznam snovi z domnevnimi lastnostmi endokrinih motilcev iz odstavka II člena L. 5232-5.</w:t>
      </w:r>
    </w:p>
    <w:p w:rsidR="00294A53" w:rsidRPr="00282E2D" w:rsidRDefault="00294A53" w:rsidP="00294A53">
      <w:pPr>
        <w:pStyle w:val="Textbody"/>
        <w:spacing w:after="0"/>
        <w:rPr>
          <w:i/>
        </w:rPr>
      </w:pPr>
    </w:p>
    <w:p w:rsidR="00294A53" w:rsidRPr="00282E2D" w:rsidRDefault="00294A53" w:rsidP="00294A53">
      <w:pPr>
        <w:pStyle w:val="Textbody"/>
        <w:spacing w:after="0"/>
        <w:rPr>
          <w:i/>
        </w:rPr>
      </w:pPr>
      <w:r>
        <w:rPr>
          <w:i/>
        </w:rPr>
        <w:t>III. V skupni odredbi ministrov, odgovornih za zdravje in okolje, se po posvetovanju z Nacionalno agencijo za zdravstveno varnost na področju prehrane, okolja in dela določijo kategorije izdelkov, ki predstavljajo posebno tveganje, iz odstavka II člena L. 5232-5, glede izpostavljenih populacij, pogojev za uporabo in odstranjevanje teh izdelkov ter drugih ustreznih meril.</w:t>
      </w:r>
    </w:p>
    <w:p w:rsidR="008D5DD6" w:rsidRPr="00282E2D" w:rsidRDefault="008D5DD6" w:rsidP="00294A53">
      <w:pPr>
        <w:pStyle w:val="Textbody"/>
        <w:spacing w:after="0"/>
        <w:rPr>
          <w:i/>
        </w:rPr>
      </w:pPr>
    </w:p>
    <w:p w:rsidR="008D5DD6" w:rsidRPr="00282E2D" w:rsidRDefault="008D5DD6" w:rsidP="00CB7E5E">
      <w:pPr>
        <w:pStyle w:val="Textbody"/>
        <w:keepNext/>
        <w:tabs>
          <w:tab w:val="left" w:pos="5428"/>
        </w:tabs>
        <w:spacing w:after="0"/>
        <w:jc w:val="center"/>
        <w:rPr>
          <w:i/>
        </w:rPr>
      </w:pPr>
      <w:r>
        <w:rPr>
          <w:i/>
        </w:rPr>
        <w:t>Pododdelek 2. Dajanje informacij na razpolago javnosti</w:t>
      </w:r>
    </w:p>
    <w:p w:rsidR="00C41624" w:rsidRPr="00282E2D" w:rsidRDefault="00C41624" w:rsidP="00CB7E5E">
      <w:pPr>
        <w:pStyle w:val="Textbody"/>
        <w:keepNext/>
        <w:spacing w:after="0"/>
        <w:rPr>
          <w:i/>
        </w:rPr>
      </w:pPr>
    </w:p>
    <w:p w:rsidR="00294A53" w:rsidRPr="00282E2D" w:rsidRDefault="008D5DD6" w:rsidP="00294A53">
      <w:pPr>
        <w:pStyle w:val="Textbody"/>
        <w:spacing w:after="0"/>
        <w:rPr>
          <w:i/>
        </w:rPr>
      </w:pPr>
      <w:r>
        <w:rPr>
          <w:i/>
        </w:rPr>
        <w:t>Člen R.</w:t>
      </w:r>
      <w:r w:rsidR="006851A7">
        <w:rPr>
          <w:i/>
        </w:rPr>
        <w:t> </w:t>
      </w:r>
      <w:r>
        <w:rPr>
          <w:i/>
        </w:rPr>
        <w:t>5232-20 – I. Informacije iz odstavkov I in II člena L. 5232-5 so na voljo na podlagi javne podatkovne zbirke s programskim vmesnikom, dostopne na internetu. V skupni odredbi ministrov, odgovornih za zdravje in okolje, se določijo vsebina teh informacij in pogoji glede njihove objave.</w:t>
      </w:r>
    </w:p>
    <w:p w:rsidR="00294A53" w:rsidRPr="00282E2D" w:rsidRDefault="00294A53" w:rsidP="00294A53">
      <w:pPr>
        <w:pStyle w:val="Textbody"/>
        <w:spacing w:after="0"/>
        <w:rPr>
          <w:i/>
        </w:rPr>
      </w:pPr>
    </w:p>
    <w:p w:rsidR="00294A53" w:rsidRPr="00282E2D" w:rsidRDefault="00D462DD" w:rsidP="00294A53">
      <w:pPr>
        <w:pStyle w:val="Textbody"/>
        <w:spacing w:after="0"/>
        <w:rPr>
          <w:i/>
        </w:rPr>
      </w:pPr>
      <w:r>
        <w:rPr>
          <w:i/>
        </w:rPr>
        <w:t>II. Informacije iz odstavkov I in II člena L. 5232-5 se dajo na razpolago javnosti najpozneje 18 mesecev po objavi odredb, navedenih v členu R. 5232-19.</w:t>
      </w:r>
    </w:p>
    <w:p w:rsidR="00294A53" w:rsidRPr="00282E2D" w:rsidRDefault="00294A53" w:rsidP="00294A53">
      <w:pPr>
        <w:pStyle w:val="Textbody"/>
        <w:spacing w:after="0"/>
        <w:ind w:firstLine="709"/>
      </w:pPr>
    </w:p>
    <w:p w:rsidR="00294A53" w:rsidRPr="00282E2D" w:rsidRDefault="00294A53" w:rsidP="00CB7E5E">
      <w:pPr>
        <w:pStyle w:val="Textbody"/>
        <w:keepNext/>
        <w:tabs>
          <w:tab w:val="left" w:pos="5428"/>
        </w:tabs>
        <w:spacing w:after="0"/>
        <w:jc w:val="center"/>
        <w:rPr>
          <w:i/>
        </w:rPr>
      </w:pPr>
      <w:r>
        <w:rPr>
          <w:i/>
        </w:rPr>
        <w:t>Pododdelek 3. Kazenske sankcije</w:t>
      </w:r>
    </w:p>
    <w:p w:rsidR="00856C4D" w:rsidRPr="00282E2D" w:rsidRDefault="00856C4D" w:rsidP="00CB7E5E">
      <w:pPr>
        <w:pStyle w:val="Textbody"/>
        <w:keepNext/>
        <w:spacing w:after="0"/>
        <w:rPr>
          <w:i/>
        </w:rPr>
      </w:pPr>
    </w:p>
    <w:p w:rsidR="00294A53" w:rsidRPr="00282E2D" w:rsidRDefault="00294A53" w:rsidP="00294A53">
      <w:pPr>
        <w:pStyle w:val="Textbody"/>
        <w:spacing w:after="0"/>
      </w:pPr>
      <w:r>
        <w:rPr>
          <w:i/>
        </w:rPr>
        <w:t xml:space="preserve">Člen R. 5232-21. </w:t>
      </w:r>
      <w:r>
        <w:rPr>
          <w:bCs/>
          <w:i/>
        </w:rPr>
        <w:t>Nezagotavljanje informacij javnosti v skladu s pogoji, določenimi v členu L. 5232-5, ki omogočajo opredelitev prisotnosti endokrinih motilcev v izdelkih, opredeljenih v skladu s pogoji iz člena R. 5232-20, se kaznuje z globo, določeno za kršitve petega razreda.</w:t>
      </w:r>
    </w:p>
    <w:p w:rsidR="00294A53" w:rsidRPr="00282E2D" w:rsidRDefault="00294A53" w:rsidP="00294A53">
      <w:pPr>
        <w:pStyle w:val="Textbody"/>
        <w:spacing w:after="0"/>
        <w:rPr>
          <w:bCs/>
          <w:i/>
        </w:rPr>
      </w:pPr>
    </w:p>
    <w:p w:rsidR="00294A53" w:rsidRPr="00282E2D" w:rsidRDefault="00294A53" w:rsidP="00294A53">
      <w:pPr>
        <w:pStyle w:val="Textbody"/>
        <w:spacing w:after="0"/>
      </w:pPr>
      <w:r>
        <w:rPr>
          <w:bCs/>
          <w:i/>
        </w:rPr>
        <w:lastRenderedPageBreak/>
        <w:t>Neupoštevanje roka iz odstavka II člena R. 5232-20 se kaznuje z globo, določeno za kršitve petega razreda.</w:t>
      </w:r>
    </w:p>
    <w:p w:rsidR="00294A53" w:rsidRPr="00282E2D" w:rsidRDefault="00294A53" w:rsidP="00294A53">
      <w:pPr>
        <w:pStyle w:val="Textbody"/>
        <w:spacing w:after="0"/>
      </w:pPr>
    </w:p>
    <w:p w:rsidR="00294A53" w:rsidRPr="00282E2D" w:rsidRDefault="00856C4D" w:rsidP="00294A53">
      <w:pPr>
        <w:pStyle w:val="Textbody"/>
        <w:spacing w:after="0"/>
      </w:pPr>
      <w:r>
        <w:rPr>
          <w:i/>
        </w:rPr>
        <w:t>Člen </w:t>
      </w:r>
      <w:r>
        <w:rPr>
          <w:bCs/>
          <w:i/>
        </w:rPr>
        <w:t>R. 5232-22. Ponovitev kršitev iz člena R. 5232-21 se kaznuje v skladu s členoma 132-11 in </w:t>
      </w:r>
      <w:r w:rsidR="00D03377">
        <w:rPr>
          <w:bCs/>
          <w:i/>
        </w:rPr>
        <w:t>132-15 Kazenskega zakonika.</w:t>
      </w:r>
      <w:r>
        <w:rPr>
          <w:i/>
        </w:rPr>
        <w:t>“.</w:t>
      </w:r>
    </w:p>
    <w:p w:rsidR="00294A53" w:rsidRPr="00282E2D" w:rsidRDefault="00294A53" w:rsidP="00294A53">
      <w:pPr>
        <w:pStyle w:val="Textbody"/>
        <w:spacing w:after="0"/>
        <w:rPr>
          <w:bCs/>
          <w:i/>
        </w:rPr>
      </w:pPr>
    </w:p>
    <w:p w:rsidR="00294A53" w:rsidRPr="00282E2D" w:rsidRDefault="00294A53" w:rsidP="00294A53">
      <w:pPr>
        <w:pStyle w:val="Textbody"/>
        <w:spacing w:after="0"/>
        <w:rPr>
          <w:b/>
          <w:bCs/>
        </w:rPr>
      </w:pPr>
    </w:p>
    <w:p w:rsidR="00294A53" w:rsidRPr="00282E2D" w:rsidRDefault="00294A53" w:rsidP="00CB7E5E">
      <w:pPr>
        <w:pStyle w:val="Textbody"/>
        <w:keepNext/>
        <w:spacing w:after="0"/>
        <w:jc w:val="center"/>
        <w:rPr>
          <w:b/>
          <w:bCs/>
        </w:rPr>
      </w:pPr>
      <w:r>
        <w:rPr>
          <w:b/>
          <w:bCs/>
        </w:rPr>
        <w:t>Člen 2</w:t>
      </w:r>
    </w:p>
    <w:p w:rsidR="00294A53" w:rsidRPr="00282E2D" w:rsidRDefault="00294A53" w:rsidP="00CB7E5E">
      <w:pPr>
        <w:pStyle w:val="Standard"/>
        <w:keepNext/>
        <w:spacing w:after="0"/>
      </w:pPr>
    </w:p>
    <w:p w:rsidR="00294A53" w:rsidRPr="00282E2D" w:rsidRDefault="00294A53" w:rsidP="00294A53">
      <w:pPr>
        <w:pStyle w:val="Standard"/>
        <w:spacing w:after="0" w:line="240" w:lineRule="auto"/>
        <w:ind w:firstLine="709"/>
        <w:jc w:val="both"/>
      </w:pPr>
      <w:r>
        <w:rPr>
          <w:rStyle w:val="StrongEmphasis"/>
          <w:rFonts w:ascii="Times New Roman" w:hAnsi="Times New Roman"/>
          <w:b w:val="0"/>
          <w:sz w:val="24"/>
          <w:szCs w:val="24"/>
        </w:rPr>
        <w:t xml:space="preserve">Ministrica za ekološki prehod, minister za solidarnost in zdravje ter varuh pečatov in minister za pravosodje so vsak v skladu s svojimi pristojnostmi odgovorni za izvajanje te uredbe </w:t>
      </w:r>
      <w:r>
        <w:rPr>
          <w:rFonts w:ascii="Times" w:hAnsi="Times"/>
          <w:sz w:val="24"/>
        </w:rPr>
        <w:t xml:space="preserve">, ki bo objavljena v </w:t>
      </w:r>
      <w:r>
        <w:rPr>
          <w:rFonts w:ascii="Times" w:hAnsi="Times"/>
          <w:i/>
          <w:sz w:val="24"/>
        </w:rPr>
        <w:t xml:space="preserve">Uradnem listu </w:t>
      </w:r>
      <w:r>
        <w:rPr>
          <w:rFonts w:ascii="Times" w:hAnsi="Times"/>
          <w:sz w:val="24"/>
        </w:rPr>
        <w:t>Francoske republike.</w:t>
      </w:r>
    </w:p>
    <w:p w:rsidR="00294A53" w:rsidRPr="00282E2D" w:rsidRDefault="00294A53" w:rsidP="00294A53">
      <w:pPr>
        <w:pStyle w:val="Standard"/>
        <w:spacing w:after="0" w:line="240" w:lineRule="auto"/>
        <w:ind w:firstLine="709"/>
        <w:jc w:val="both"/>
      </w:pPr>
    </w:p>
    <w:p w:rsidR="00294A53" w:rsidRPr="00282E2D" w:rsidRDefault="00294A53" w:rsidP="00294A53">
      <w:pPr>
        <w:pStyle w:val="Textbody"/>
        <w:rPr>
          <w:shd w:val="clear" w:color="auto" w:fill="FFFF00"/>
        </w:rPr>
      </w:pPr>
    </w:p>
    <w:p w:rsidR="00294A53" w:rsidRPr="00282E2D" w:rsidRDefault="00294A53" w:rsidP="00294A53">
      <w:pPr>
        <w:pStyle w:val="SNDate"/>
      </w:pPr>
      <w:r>
        <w:t>Dne</w:t>
      </w:r>
    </w:p>
    <w:p w:rsidR="00294A53" w:rsidRPr="00282E2D" w:rsidRDefault="00294A53" w:rsidP="00294A53">
      <w:pPr>
        <w:pStyle w:val="SNDate"/>
      </w:pPr>
      <w:r>
        <w:t>Za predsednika vlade:</w:t>
      </w:r>
    </w:p>
    <w:p w:rsidR="00294A53" w:rsidRPr="00282E2D" w:rsidRDefault="00294A53" w:rsidP="00294A53">
      <w:pPr>
        <w:pStyle w:val="SNDate"/>
      </w:pPr>
      <w:r>
        <w:t>ministrica za ekološki prehod</w:t>
      </w:r>
    </w:p>
    <w:p w:rsidR="00294A53" w:rsidRPr="00282E2D" w:rsidRDefault="00294A53" w:rsidP="00294A53">
      <w:pPr>
        <w:pStyle w:val="SNDate"/>
      </w:pPr>
      <w:r>
        <w:t>Barbara POMPILI</w:t>
      </w:r>
    </w:p>
    <w:p w:rsidR="00294A53" w:rsidRPr="00282E2D" w:rsidRDefault="00294A53" w:rsidP="00294A53">
      <w:pPr>
        <w:pStyle w:val="SNDate"/>
      </w:pPr>
      <w:r>
        <w:t>minister za solidarnost in zdravje</w:t>
      </w:r>
    </w:p>
    <w:p w:rsidR="00294A53" w:rsidRPr="00282E2D" w:rsidRDefault="00294A53" w:rsidP="00294A53">
      <w:pPr>
        <w:pStyle w:val="SNDate"/>
      </w:pPr>
      <w:r>
        <w:lastRenderedPageBreak/>
        <w:t xml:space="preserve">Olivier VÉRAN </w:t>
      </w:r>
    </w:p>
    <w:p w:rsidR="00294A53" w:rsidRPr="00282E2D" w:rsidRDefault="00294A53" w:rsidP="00294A53">
      <w:pPr>
        <w:pStyle w:val="SNDate"/>
      </w:pPr>
      <w:r>
        <w:t>varuh pečatov in minister za pravosodje</w:t>
      </w:r>
    </w:p>
    <w:p w:rsidR="00294A53" w:rsidRPr="00282E2D" w:rsidRDefault="00294A53" w:rsidP="00294A53">
      <w:pPr>
        <w:pStyle w:val="SNDate"/>
      </w:pPr>
      <w:r>
        <w:t>Eric DUPONT-MORETTI</w:t>
      </w:r>
    </w:p>
    <w:sectPr w:rsidR="00294A53" w:rsidRPr="00282E2D" w:rsidSect="009D56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4EA" w:rsidRDefault="006054EA" w:rsidP="006439D9">
      <w:pPr>
        <w:spacing w:after="0" w:line="240" w:lineRule="auto"/>
      </w:pPr>
      <w:r>
        <w:separator/>
      </w:r>
    </w:p>
  </w:endnote>
  <w:endnote w:type="continuationSeparator" w:id="0">
    <w:p w:rsidR="006054EA" w:rsidRDefault="006054EA" w:rsidP="0064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LT Std">
    <w:altName w:val="Times LT St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4EA" w:rsidRDefault="006054EA" w:rsidP="006439D9">
      <w:pPr>
        <w:spacing w:after="0" w:line="240" w:lineRule="auto"/>
      </w:pPr>
      <w:r>
        <w:separator/>
      </w:r>
    </w:p>
  </w:footnote>
  <w:footnote w:type="continuationSeparator" w:id="0">
    <w:p w:rsidR="006054EA" w:rsidRDefault="006054EA" w:rsidP="006439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4A53"/>
    <w:rsid w:val="00013A58"/>
    <w:rsid w:val="000165B6"/>
    <w:rsid w:val="000245E7"/>
    <w:rsid w:val="00030F20"/>
    <w:rsid w:val="0004143C"/>
    <w:rsid w:val="000E06A7"/>
    <w:rsid w:val="000F3F3C"/>
    <w:rsid w:val="00150C57"/>
    <w:rsid w:val="001B569F"/>
    <w:rsid w:val="001C1799"/>
    <w:rsid w:val="001D1B71"/>
    <w:rsid w:val="001D6FD1"/>
    <w:rsid w:val="001D7575"/>
    <w:rsid w:val="00222F1E"/>
    <w:rsid w:val="00251D1A"/>
    <w:rsid w:val="00282E2D"/>
    <w:rsid w:val="00294A53"/>
    <w:rsid w:val="00335F03"/>
    <w:rsid w:val="00371980"/>
    <w:rsid w:val="00402427"/>
    <w:rsid w:val="00502224"/>
    <w:rsid w:val="00515153"/>
    <w:rsid w:val="00563D13"/>
    <w:rsid w:val="005B558E"/>
    <w:rsid w:val="006054EA"/>
    <w:rsid w:val="006439D9"/>
    <w:rsid w:val="006851A7"/>
    <w:rsid w:val="006956AB"/>
    <w:rsid w:val="0073037A"/>
    <w:rsid w:val="0077797E"/>
    <w:rsid w:val="007D1BA7"/>
    <w:rsid w:val="00840F72"/>
    <w:rsid w:val="00856C4D"/>
    <w:rsid w:val="00881E97"/>
    <w:rsid w:val="00884D07"/>
    <w:rsid w:val="008A1273"/>
    <w:rsid w:val="008A6D47"/>
    <w:rsid w:val="008C485B"/>
    <w:rsid w:val="008D5DD6"/>
    <w:rsid w:val="009D0F51"/>
    <w:rsid w:val="009D5655"/>
    <w:rsid w:val="00A27370"/>
    <w:rsid w:val="00A3740E"/>
    <w:rsid w:val="00A82D3A"/>
    <w:rsid w:val="00A8799E"/>
    <w:rsid w:val="00A93713"/>
    <w:rsid w:val="00AC0350"/>
    <w:rsid w:val="00AE1254"/>
    <w:rsid w:val="00AE527C"/>
    <w:rsid w:val="00B734F1"/>
    <w:rsid w:val="00B913FD"/>
    <w:rsid w:val="00BB0AB7"/>
    <w:rsid w:val="00BB11B6"/>
    <w:rsid w:val="00BC2C42"/>
    <w:rsid w:val="00BF3118"/>
    <w:rsid w:val="00C35B22"/>
    <w:rsid w:val="00C41624"/>
    <w:rsid w:val="00C627FE"/>
    <w:rsid w:val="00C66084"/>
    <w:rsid w:val="00CA2A93"/>
    <w:rsid w:val="00CB7E5E"/>
    <w:rsid w:val="00CC2BF2"/>
    <w:rsid w:val="00CE41DF"/>
    <w:rsid w:val="00D03377"/>
    <w:rsid w:val="00D45656"/>
    <w:rsid w:val="00D462DD"/>
    <w:rsid w:val="00D61627"/>
    <w:rsid w:val="00DB0F74"/>
    <w:rsid w:val="00DC7261"/>
    <w:rsid w:val="00DD53E9"/>
    <w:rsid w:val="00DF56E1"/>
    <w:rsid w:val="00E55C23"/>
    <w:rsid w:val="00EF79C2"/>
    <w:rsid w:val="00F17BFA"/>
    <w:rsid w:val="00FA0940"/>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8BCF59-2B2E-4CE3-B8D4-14061593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A5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94A53"/>
    <w:rPr>
      <w:sz w:val="16"/>
      <w:szCs w:val="16"/>
    </w:rPr>
  </w:style>
  <w:style w:type="paragraph" w:styleId="CommentText">
    <w:name w:val="annotation text"/>
    <w:basedOn w:val="Normal"/>
    <w:link w:val="CommentTextChar"/>
    <w:uiPriority w:val="99"/>
    <w:semiHidden/>
    <w:unhideWhenUsed/>
    <w:rsid w:val="00294A53"/>
    <w:pPr>
      <w:spacing w:line="240" w:lineRule="auto"/>
    </w:pPr>
    <w:rPr>
      <w:sz w:val="20"/>
      <w:szCs w:val="20"/>
    </w:rPr>
  </w:style>
  <w:style w:type="character" w:customStyle="1" w:styleId="CommentTextChar">
    <w:name w:val="Comment Text Char"/>
    <w:basedOn w:val="DefaultParagraphFont"/>
    <w:link w:val="CommentText"/>
    <w:uiPriority w:val="99"/>
    <w:semiHidden/>
    <w:rsid w:val="00294A53"/>
    <w:rPr>
      <w:sz w:val="20"/>
      <w:szCs w:val="20"/>
    </w:rPr>
  </w:style>
  <w:style w:type="paragraph" w:customStyle="1" w:styleId="SNDate">
    <w:name w:val="SNDate"/>
    <w:basedOn w:val="Normal"/>
    <w:next w:val="Normal"/>
    <w:link w:val="SNDateCar"/>
    <w:autoRedefine/>
    <w:qFormat/>
    <w:rsid w:val="00294A53"/>
    <w:pPr>
      <w:spacing w:before="480" w:after="1800" w:line="240" w:lineRule="auto"/>
      <w:ind w:firstLine="720"/>
    </w:pPr>
    <w:rPr>
      <w:rFonts w:ascii="Times New Roman" w:eastAsia="Times New Roman" w:hAnsi="Times New Roman" w:cs="Times New Roman"/>
      <w:sz w:val="24"/>
      <w:szCs w:val="24"/>
      <w:lang w:eastAsia="fr-FR"/>
    </w:rPr>
  </w:style>
  <w:style w:type="character" w:customStyle="1" w:styleId="SNDateCar">
    <w:name w:val="SNDate Car"/>
    <w:link w:val="SNDate"/>
    <w:rsid w:val="00294A53"/>
    <w:rPr>
      <w:rFonts w:ascii="Times New Roman" w:eastAsia="Times New Roman" w:hAnsi="Times New Roman" w:cs="Times New Roman"/>
      <w:sz w:val="24"/>
      <w:szCs w:val="24"/>
      <w:lang w:eastAsia="fr-FR"/>
    </w:rPr>
  </w:style>
  <w:style w:type="paragraph" w:customStyle="1" w:styleId="SNREPUBLIQUE">
    <w:name w:val="SNREPUBLIQUE"/>
    <w:basedOn w:val="Normal"/>
    <w:uiPriority w:val="99"/>
    <w:qFormat/>
    <w:rsid w:val="00294A53"/>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294A53"/>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next w:val="SNtitre"/>
    <w:autoRedefine/>
    <w:qFormat/>
    <w:rsid w:val="00294A53"/>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next w:val="SNNORCentr"/>
    <w:autoRedefine/>
    <w:qFormat/>
    <w:rsid w:val="00294A53"/>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next w:val="Normal"/>
    <w:qFormat/>
    <w:rsid w:val="00294A53"/>
    <w:pPr>
      <w:spacing w:after="0" w:line="240" w:lineRule="auto"/>
      <w:jc w:val="center"/>
    </w:pPr>
    <w:rPr>
      <w:rFonts w:ascii="Times New Roman" w:eastAsia="Times New Roman" w:hAnsi="Times New Roman" w:cs="Times New Roman"/>
      <w:bCs/>
      <w:sz w:val="24"/>
      <w:szCs w:val="20"/>
      <w:lang w:eastAsia="fr-FR"/>
    </w:rPr>
  </w:style>
  <w:style w:type="paragraph" w:customStyle="1" w:styleId="SNTimbre">
    <w:name w:val="SNTimbre"/>
    <w:basedOn w:val="Normal"/>
    <w:link w:val="SNTimbreCar"/>
    <w:autoRedefine/>
    <w:uiPriority w:val="99"/>
    <w:qFormat/>
    <w:rsid w:val="00294A53"/>
    <w:pPr>
      <w:widowControl w:val="0"/>
      <w:suppressAutoHyphens/>
      <w:snapToGrid w:val="0"/>
      <w:spacing w:before="120" w:after="0" w:line="240" w:lineRule="auto"/>
    </w:pPr>
    <w:rPr>
      <w:rFonts w:ascii="Times New Roman" w:eastAsia="Lucida Sans Unicode" w:hAnsi="Times New Roman" w:cs="Times New Roman"/>
      <w:sz w:val="24"/>
      <w:szCs w:val="24"/>
      <w:lang w:eastAsia="fr-FR"/>
    </w:rPr>
  </w:style>
  <w:style w:type="character" w:customStyle="1" w:styleId="SNTimbreCar">
    <w:name w:val="SNTimbre Car"/>
    <w:link w:val="SNTimbre"/>
    <w:rsid w:val="00294A53"/>
    <w:rPr>
      <w:rFonts w:ascii="Times New Roman" w:eastAsia="Lucida Sans Unicode" w:hAnsi="Times New Roman" w:cs="Times New Roman"/>
      <w:sz w:val="24"/>
      <w:szCs w:val="24"/>
      <w:lang w:eastAsia="fr-FR"/>
    </w:rPr>
  </w:style>
  <w:style w:type="paragraph" w:customStyle="1" w:styleId="SNVisa">
    <w:name w:val="SNVisa"/>
    <w:basedOn w:val="Normal"/>
    <w:autoRedefine/>
    <w:uiPriority w:val="99"/>
    <w:qFormat/>
    <w:rsid w:val="00294A53"/>
    <w:pPr>
      <w:spacing w:before="120" w:after="120" w:line="240" w:lineRule="auto"/>
      <w:ind w:firstLine="720"/>
      <w:jc w:val="both"/>
    </w:pPr>
    <w:rPr>
      <w:rFonts w:ascii="Times New Roman" w:eastAsia="Times New Roman" w:hAnsi="Times New Roman" w:cs="Times New Roman"/>
      <w:sz w:val="24"/>
      <w:szCs w:val="24"/>
      <w:lang w:eastAsia="fr-FR"/>
    </w:rPr>
  </w:style>
  <w:style w:type="paragraph" w:customStyle="1" w:styleId="SNActe">
    <w:name w:val="SNActe"/>
    <w:basedOn w:val="Normal"/>
    <w:autoRedefine/>
    <w:qFormat/>
    <w:rsid w:val="00294A53"/>
    <w:pPr>
      <w:spacing w:before="480" w:after="360" w:line="276" w:lineRule="auto"/>
      <w:jc w:val="center"/>
    </w:pPr>
    <w:rPr>
      <w:rFonts w:ascii="Times New Roman" w:hAnsi="Times New Roman" w:cs="Times New Roman"/>
      <w:b/>
      <w:sz w:val="24"/>
      <w:szCs w:val="24"/>
    </w:rPr>
  </w:style>
  <w:style w:type="paragraph" w:customStyle="1" w:styleId="SNArticle">
    <w:name w:val="SNArticle"/>
    <w:basedOn w:val="Normal"/>
    <w:autoRedefine/>
    <w:qFormat/>
    <w:rsid w:val="00294A53"/>
    <w:pPr>
      <w:spacing w:before="240" w:after="240" w:line="276" w:lineRule="auto"/>
      <w:jc w:val="center"/>
    </w:pPr>
    <w:rPr>
      <w:rFonts w:ascii="Times New Roman" w:hAnsi="Times New Roman" w:cs="Times New Roman"/>
      <w:b/>
      <w:sz w:val="24"/>
      <w:szCs w:val="24"/>
    </w:rPr>
  </w:style>
  <w:style w:type="paragraph" w:customStyle="1" w:styleId="Standard">
    <w:name w:val="Standard"/>
    <w:rsid w:val="00294A53"/>
    <w:pPr>
      <w:suppressAutoHyphens/>
      <w:autoSpaceDN w:val="0"/>
      <w:spacing w:after="160" w:line="259" w:lineRule="auto"/>
      <w:textAlignment w:val="baseline"/>
    </w:pPr>
    <w:rPr>
      <w:rFonts w:ascii="Calibri" w:eastAsia="SimSun" w:hAnsi="Calibri" w:cs="Tahoma"/>
      <w:kern w:val="3"/>
    </w:rPr>
  </w:style>
  <w:style w:type="paragraph" w:customStyle="1" w:styleId="Textbody">
    <w:name w:val="Text body"/>
    <w:basedOn w:val="Standard"/>
    <w:rsid w:val="00294A53"/>
    <w:pPr>
      <w:spacing w:after="120" w:line="240" w:lineRule="auto"/>
      <w:jc w:val="both"/>
    </w:pPr>
    <w:rPr>
      <w:rFonts w:ascii="Times New Roman" w:eastAsia="Times New Roman" w:hAnsi="Times New Roman" w:cs="Times New Roman"/>
      <w:sz w:val="24"/>
      <w:szCs w:val="24"/>
      <w:lang w:eastAsia="fr-FR"/>
    </w:rPr>
  </w:style>
  <w:style w:type="character" w:customStyle="1" w:styleId="StrongEmphasis">
    <w:name w:val="Strong Emphasis"/>
    <w:rsid w:val="00294A53"/>
    <w:rPr>
      <w:b/>
      <w:bCs/>
    </w:rPr>
  </w:style>
  <w:style w:type="paragraph" w:styleId="BalloonText">
    <w:name w:val="Balloon Text"/>
    <w:basedOn w:val="Normal"/>
    <w:link w:val="BalloonTextChar"/>
    <w:uiPriority w:val="99"/>
    <w:semiHidden/>
    <w:unhideWhenUsed/>
    <w:rsid w:val="00294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A5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84D07"/>
    <w:rPr>
      <w:b/>
      <w:bCs/>
    </w:rPr>
  </w:style>
  <w:style w:type="character" w:customStyle="1" w:styleId="CommentSubjectChar">
    <w:name w:val="Comment Subject Char"/>
    <w:basedOn w:val="CommentTextChar"/>
    <w:link w:val="CommentSubject"/>
    <w:uiPriority w:val="99"/>
    <w:semiHidden/>
    <w:rsid w:val="00884D07"/>
    <w:rPr>
      <w:b/>
      <w:bCs/>
      <w:sz w:val="20"/>
      <w:szCs w:val="20"/>
    </w:rPr>
  </w:style>
  <w:style w:type="paragraph" w:styleId="NormalWeb">
    <w:name w:val="Normal (Web)"/>
    <w:basedOn w:val="Normal"/>
    <w:uiPriority w:val="99"/>
    <w:semiHidden/>
    <w:unhideWhenUsed/>
    <w:rsid w:val="00A9371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7D1BA7"/>
    <w:pPr>
      <w:autoSpaceDE w:val="0"/>
      <w:autoSpaceDN w:val="0"/>
      <w:adjustRightInd w:val="0"/>
      <w:spacing w:after="0" w:line="240" w:lineRule="auto"/>
    </w:pPr>
    <w:rPr>
      <w:rFonts w:ascii="Times LT Std" w:hAnsi="Times LT Std" w:cs="Times LT Std"/>
      <w:color w:val="000000"/>
      <w:sz w:val="24"/>
      <w:szCs w:val="24"/>
    </w:rPr>
  </w:style>
  <w:style w:type="paragraph" w:styleId="Header">
    <w:name w:val="header"/>
    <w:basedOn w:val="Normal"/>
    <w:link w:val="HeaderChar"/>
    <w:uiPriority w:val="99"/>
    <w:unhideWhenUsed/>
    <w:rsid w:val="00643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9D9"/>
  </w:style>
  <w:style w:type="paragraph" w:styleId="Footer">
    <w:name w:val="footer"/>
    <w:basedOn w:val="Normal"/>
    <w:link w:val="FooterChar"/>
    <w:uiPriority w:val="99"/>
    <w:unhideWhenUsed/>
    <w:rsid w:val="00643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1625">
      <w:bodyDiv w:val="1"/>
      <w:marLeft w:val="0"/>
      <w:marRight w:val="0"/>
      <w:marTop w:val="0"/>
      <w:marBottom w:val="0"/>
      <w:divBdr>
        <w:top w:val="none" w:sz="0" w:space="0" w:color="auto"/>
        <w:left w:val="none" w:sz="0" w:space="0" w:color="auto"/>
        <w:bottom w:val="none" w:sz="0" w:space="0" w:color="auto"/>
        <w:right w:val="none" w:sz="0" w:space="0" w:color="auto"/>
      </w:divBdr>
    </w:div>
    <w:div w:id="584341002">
      <w:bodyDiv w:val="1"/>
      <w:marLeft w:val="0"/>
      <w:marRight w:val="0"/>
      <w:marTop w:val="0"/>
      <w:marBottom w:val="0"/>
      <w:divBdr>
        <w:top w:val="none" w:sz="0" w:space="0" w:color="auto"/>
        <w:left w:val="none" w:sz="0" w:space="0" w:color="auto"/>
        <w:bottom w:val="none" w:sz="0" w:space="0" w:color="auto"/>
        <w:right w:val="none" w:sz="0" w:space="0" w:color="auto"/>
      </w:divBdr>
    </w:div>
    <w:div w:id="789472047">
      <w:bodyDiv w:val="1"/>
      <w:marLeft w:val="0"/>
      <w:marRight w:val="0"/>
      <w:marTop w:val="0"/>
      <w:marBottom w:val="0"/>
      <w:divBdr>
        <w:top w:val="none" w:sz="0" w:space="0" w:color="auto"/>
        <w:left w:val="none" w:sz="0" w:space="0" w:color="auto"/>
        <w:bottom w:val="none" w:sz="0" w:space="0" w:color="auto"/>
        <w:right w:val="none" w:sz="0" w:space="0" w:color="auto"/>
      </w:divBdr>
    </w:div>
    <w:div w:id="9266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4501C-A1C6-4C85-95E3-9C568F7F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1191</Words>
  <Characters>6792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BONITO, Joana</cp:lastModifiedBy>
  <cp:revision>10</cp:revision>
  <dcterms:created xsi:type="dcterms:W3CDTF">2020-12-01T11:31:00Z</dcterms:created>
  <dcterms:modified xsi:type="dcterms:W3CDTF">2020-12-30T11:28:00Z</dcterms:modified>
</cp:coreProperties>
</file>