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322" w:rsidRPr="00FC0D01" w:rsidRDefault="00251322" w:rsidP="00251322">
      <w:pPr>
        <w:spacing w:before="120" w:line="320" w:lineRule="exact"/>
        <w:rPr>
          <w:sz w:val="16"/>
          <w:szCs w:val="16"/>
          <w:rFonts w:ascii="Verdana" w:hAnsi="Verdana"/>
        </w:rPr>
      </w:pPr>
      <w:r>
        <w:rPr>
          <w:sz w:val="16"/>
          <w:rFonts w:ascii="Verdana" w:hAnsi="Verdana"/>
        </w:rPr>
        <w:t xml:space="preserve">Per:</w:t>
      </w:r>
      <w:r>
        <w:rPr>
          <w:sz w:val="16"/>
          <w:rFonts w:ascii="Verdana" w:hAnsi="Verdana"/>
        </w:rPr>
        <w:t xml:space="preserve"> </w:t>
      </w:r>
      <w:r>
        <w:rPr>
          <w:sz w:val="16"/>
          <w:rFonts w:ascii="Verdana" w:hAnsi="Verdana"/>
        </w:rPr>
        <w:t xml:space="preserve">15 maart 2021</w:t>
      </w:r>
    </w:p>
    <w:p w:rsidR="002C21BC" w:rsidRPr="00B93BDE" w:rsidRDefault="009C24A4">
      <w:pPr>
        <w:rPr>
          <w:sz w:val="22"/>
          <w:szCs w:val="22"/>
          <w:rFonts w:ascii="Calibri" w:hAnsi="Calibri"/>
        </w:rPr>
      </w:pPr>
      <w:r>
        <w:rPr>
          <w:sz w:val="22"/>
          <w:rFonts w:ascii="Calibri" w:hAnsi="Calibri"/>
        </w:rPr>
        <w:t xml:space="preserve">__________________________________________________________________________________</w:t>
      </w:r>
    </w:p>
    <w:p w:rsidR="009C24A4" w:rsidRPr="009C24A4" w:rsidRDefault="009C24A4" w:rsidP="003564B3">
      <w:pPr>
        <w:autoSpaceDE w:val="0"/>
        <w:autoSpaceDN w:val="0"/>
        <w:adjustRightInd w:val="0"/>
        <w:spacing w:line="276" w:lineRule="auto"/>
        <w:jc w:val="center"/>
        <w:rPr>
          <w:rFonts w:ascii="Calibri" w:hAnsi="Calibri"/>
          <w:sz w:val="22"/>
          <w:szCs w:val="22"/>
        </w:rPr>
      </w:pPr>
    </w:p>
    <w:p w:rsidR="008C60A0" w:rsidRPr="008C60A0" w:rsidRDefault="00D87095" w:rsidP="003564B3">
      <w:pPr>
        <w:spacing w:line="276" w:lineRule="auto"/>
        <w:jc w:val="center"/>
        <w:rPr>
          <w:b/>
          <w:sz w:val="22"/>
          <w:szCs w:val="22"/>
          <w:rFonts w:ascii="Calibri" w:eastAsia="Calibri" w:hAnsi="Calibri"/>
        </w:rPr>
      </w:pPr>
      <w:r>
        <w:rPr>
          <w:b/>
          <w:sz w:val="22"/>
          <w:rFonts w:ascii="Calibri" w:hAnsi="Calibri"/>
        </w:rPr>
        <w:t xml:space="preserve">Statuut betreffende het voorschrift van mediabemiddelaars overeenkomstig § 96 van het Staatsmediaverdrag</w:t>
      </w:r>
    </w:p>
    <w:p w:rsidR="008C60A0" w:rsidRPr="008C60A0" w:rsidRDefault="008C60A0" w:rsidP="003564B3">
      <w:pPr>
        <w:spacing w:line="276" w:lineRule="auto"/>
        <w:jc w:val="center"/>
        <w:rPr>
          <w:b/>
          <w:sz w:val="22"/>
          <w:szCs w:val="22"/>
          <w:rFonts w:ascii="Calibri" w:eastAsia="Calibri" w:hAnsi="Calibri"/>
        </w:rPr>
      </w:pPr>
      <w:r>
        <w:rPr>
          <w:b/>
          <w:sz w:val="22"/>
          <w:rFonts w:ascii="Calibri" w:hAnsi="Calibri"/>
        </w:rPr>
        <w:br/>
      </w:r>
      <w:r>
        <w:rPr>
          <w:b/>
          <w:sz w:val="22"/>
          <w:rFonts w:ascii="Calibri" w:hAnsi="Calibri"/>
        </w:rPr>
        <w:t xml:space="preserve">(MI-statuut)</w:t>
      </w:r>
    </w:p>
    <w:p w:rsidR="008C60A0" w:rsidRPr="008C60A0" w:rsidRDefault="008C60A0" w:rsidP="003564B3">
      <w:pPr>
        <w:spacing w:line="276" w:lineRule="auto"/>
        <w:jc w:val="center"/>
        <w:rPr>
          <w:b/>
          <w:sz w:val="22"/>
          <w:szCs w:val="22"/>
          <w:rFonts w:ascii="Calibri" w:eastAsia="Calibri" w:hAnsi="Calibri"/>
        </w:rPr>
      </w:pPr>
      <w:r>
        <w:rPr>
          <w:sz w:val="22"/>
          <w:rFonts w:ascii="Calibri" w:hAnsi="Calibri"/>
        </w:rPr>
        <w:br/>
      </w:r>
      <w:r>
        <w:rPr>
          <w:sz w:val="22"/>
          <w:b/>
          <w:rFonts w:ascii="Calibri" w:hAnsi="Calibri"/>
        </w:rPr>
        <w:t xml:space="preserve">van ...</w:t>
      </w:r>
    </w:p>
    <w:p w:rsidR="008C60A0" w:rsidRPr="008C60A0" w:rsidRDefault="008C60A0" w:rsidP="003564B3">
      <w:pPr>
        <w:spacing w:line="276" w:lineRule="auto"/>
        <w:jc w:val="center"/>
        <w:rPr>
          <w:rFonts w:ascii="Calibri" w:eastAsia="Calibri" w:hAnsi="Calibri"/>
          <w:sz w:val="22"/>
          <w:szCs w:val="22"/>
          <w:lang w:eastAsia="en-US"/>
        </w:rPr>
      </w:pPr>
    </w:p>
    <w:p w:rsidR="008C60A0" w:rsidRPr="008C60A0" w:rsidRDefault="008C60A0" w:rsidP="003564B3">
      <w:pPr>
        <w:spacing w:line="276" w:lineRule="auto"/>
        <w:rPr>
          <w:bCs/>
          <w:sz w:val="22"/>
          <w:szCs w:val="22"/>
          <w:rFonts w:ascii="Calibri" w:eastAsia="Calibri" w:hAnsi="Calibri"/>
        </w:rPr>
      </w:pPr>
      <w:r>
        <w:rPr>
          <w:sz w:val="22"/>
          <w:rFonts w:ascii="Calibri" w:hAnsi="Calibri"/>
        </w:rPr>
        <w:t xml:space="preserve">Op grond van § 96, zin 1 van het Staatsmediaverdrag (MStV) van 14 t/m 28 april 2020 (... referentie), stelt de [naam van de federale staatsmedia-autoriteit] in overleg met de andere federale staatsmedia-autoriteit het volgende statuut vast:</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Sectie 1:</w:t>
      </w:r>
      <w:r>
        <w:rPr>
          <w:b/>
          <w:sz w:val="22"/>
          <w:rFonts w:ascii="Calibri" w:hAnsi="Calibri"/>
        </w:rPr>
        <w:t xml:space="preserve"> </w:t>
      </w:r>
      <w:r>
        <w:rPr>
          <w:b/>
          <w:sz w:val="22"/>
          <w:rFonts w:ascii="Calibri" w:hAnsi="Calibri"/>
        </w:rPr>
        <w:t xml:space="preserve">Algemene bepalingen</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 1</w:t>
      </w: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Doelstellingen</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(1) Op grond van § 96 MStV wordt in dit statuut nader ingegaan op de inhoudelijke en procedurele specificatie van de wettelijke bepalingen voor het voorschrift van mediabemiddelaars en aanbieders van mediabemiddelaars (§§ 91 tot 95 MStV).</w:t>
      </w:r>
    </w:p>
    <w:p w:rsid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(2) Dit statuut dient om de diversiteit van meningen (diversiteit van aanbod en aanbieder) te waarborgen.</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(3) Bij de toepassing van dit statuut wordt rekening gehouden met de leidende rol van mediabemiddelaars voor de respectieve gebruikersgroepen.</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 2</w:t>
      </w: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Toepassingsbereik</w:t>
      </w:r>
    </w:p>
    <w:p w:rsidR="00D87095" w:rsidRP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(1) </w:t>
      </w:r>
      <w:r>
        <w:rPr>
          <w:sz w:val="22"/>
          <w:vertAlign w:val="superscript"/>
          <w:rFonts w:ascii="Calibri" w:hAnsi="Calibri"/>
        </w:rPr>
        <w:t xml:space="preserve">1</w:t>
      </w:r>
      <w:r>
        <w:rPr>
          <w:sz w:val="22"/>
          <w:rFonts w:ascii="Calibri" w:hAnsi="Calibri"/>
        </w:rPr>
        <w:t xml:space="preserve">Het toepassingsgebied van het statuut omvat mediabemiddelaars, geïntegreerde mediabemiddelaars en hun aanbieders.</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De term ‘geïntegreerde mediabemiddelaar’ overeenkomstig § 91, lid 1 MStV betekent elke integratie van een bemiddelende functie in het aanbod van derden, waardoor gebruikers van het aanbod van derden gebruik kunnen maken van de bemiddelende functie.</w:t>
      </w:r>
    </w:p>
    <w:p w:rsidR="00D87095" w:rsidRP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(2) Het aantal gebruikers overeenkomstig § 91, lid 2, alinea 1 MStV is de som van de maandelijkse unieke gebruikers.</w:t>
      </w:r>
      <w:r>
        <w:rPr>
          <w:sz w:val="22"/>
          <w:rFonts w:ascii="Calibri" w:hAnsi="Calibri"/>
        </w:rPr>
        <w:t xml:space="preserve"> </w:t>
      </w:r>
    </w:p>
    <w:p w:rsid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(3) Indien de aanbieder van een mediabemiddelaar naar de verordening in § 91, lid 2, alinea 1 van MStV verwijst, dient hij, op verzoek van de bevoegde federale staatsmedia-autoriteit, binnen een maand het aantal gebruikers en de documenten en informatie die nodig zijn voor het onderzoek te presenteren.</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(4) Indien de bemiddelende functie nog niet werd aangeboden of minder dan zes maanden werd aangeboden, maakt de aanbieder van de mediabemiddelaar op verzoek van de bevoegde federale media-autoriteit een prognose van de progressie van het aantal gebruikers volgens § 91, lid 2, alinea 1 van MStV, verstrekt hij geloofwaardig bewijsmateriaal en tevens de voor het onderzoek vereiste documenten en informatie.</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 3</w:t>
      </w: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Gemachtigde agent</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(1) Een gemachtigde agent kan een natuurlijke of rechtspersoon zijn.</w:t>
      </w:r>
    </w:p>
    <w:p w:rsid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Natuurlijke personen moeten hun woon- of gewone verblijfplaats hebben, rechtspersonen moeten de statutaire zetel van hun hoofdkantoor in de Bondsrepubliek Duitsland hebben.</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Een oproepbaar adres wordt vermeld.</w:t>
      </w:r>
    </w:p>
    <w:p w:rsid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(3) Aan de vereisten overeenkomstig § 92, zin 1, tweede halve zin van MStV wordt gewoonlijk voldaan indien de gemachtigde agent is aangewezen in het kader van de informatie vereist volgens § 5, lid 1 van de Telemediawet (TMG) en § 18, lid 1 van MStV.</w:t>
      </w:r>
    </w:p>
    <w:p w:rsidR="00D87095" w:rsidRPr="00D87095" w:rsidRDefault="00D87095" w:rsidP="00D87095">
      <w:pPr>
        <w:spacing w:line="276" w:lineRule="auto"/>
        <w:jc w:val="center"/>
        <w:rPr>
          <w:rFonts w:ascii="Calibri" w:eastAsia="Calibri" w:hAnsi="Calibri"/>
          <w:sz w:val="22"/>
          <w:szCs w:val="22"/>
          <w:lang w:eastAsia="en-US"/>
        </w:rPr>
      </w:pPr>
    </w:p>
    <w:p w:rsidR="00D87095" w:rsidRPr="00D87095" w:rsidRDefault="00D87095" w:rsidP="00D87095">
      <w:pPr>
        <w:spacing w:line="276" w:lineRule="auto"/>
        <w:jc w:val="center"/>
        <w:rPr>
          <w:rFonts w:ascii="Calibri" w:eastAsia="Calibri" w:hAnsi="Calibri"/>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Sectie 2:</w:t>
      </w:r>
      <w:r>
        <w:rPr>
          <w:b/>
          <w:sz w:val="22"/>
          <w:rFonts w:ascii="Calibri" w:hAnsi="Calibri"/>
        </w:rPr>
        <w:t xml:space="preserve"> </w:t>
      </w:r>
      <w:r>
        <w:rPr>
          <w:b/>
          <w:sz w:val="22"/>
          <w:rFonts w:ascii="Calibri" w:hAnsi="Calibri"/>
        </w:rPr>
        <w:t xml:space="preserve">Transparantie</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 4</w:t>
      </w:r>
    </w:p>
    <w:p w:rsidR="00D87095" w:rsidRDefault="00D87095" w:rsidP="00D87095">
      <w:pPr>
        <w:spacing w:line="276" w:lineRule="auto"/>
        <w:jc w:val="center"/>
        <w:rPr>
          <w:b/>
          <w:sz w:val="22"/>
          <w:szCs w:val="22"/>
          <w:rFonts w:ascii="Calibri" w:eastAsia="Calibri" w:hAnsi="Calibri"/>
        </w:rPr>
      </w:pPr>
      <w:r>
        <w:rPr>
          <w:b/>
          <w:sz w:val="22"/>
          <w:rFonts w:ascii="Calibri" w:hAnsi="Calibri"/>
        </w:rPr>
        <w:t xml:space="preserve">Doelstellingen</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2A4057" w:rsidP="002A4057">
      <w:pPr>
        <w:spacing w:line="276" w:lineRule="auto"/>
        <w:rPr>
          <w:sz w:val="22"/>
          <w:szCs w:val="22"/>
          <w:rFonts w:ascii="Calibri" w:eastAsia="Calibri" w:hAnsi="Calibri"/>
        </w:rPr>
      </w:pPr>
      <w:r>
        <w:rPr>
          <w:sz w:val="22"/>
          <w:vertAlign w:val="superscript"/>
          <w:rFonts w:ascii="Calibri" w:hAnsi="Calibri"/>
        </w:rPr>
        <w:t xml:space="preserve">1</w:t>
      </w:r>
      <w:r>
        <w:rPr>
          <w:sz w:val="22"/>
          <w:rFonts w:ascii="Calibri" w:hAnsi="Calibri"/>
        </w:rPr>
        <w:t xml:space="preserve">De bepalingen van deze sectie zijn bedoeld om de juiste transparantie te waarborgen voor de gebruikers van mediabemiddelaars met betrekking tot de informatie vermeld in § 93, lid 1 van MStV en § 6 (informatie transparant te maken).</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Dit moet met name een geïnformeerd gebruik van de mediabemiddelaar mogelijk maken met betrekking tot de samenvoeging, selectie en presentatie van journalistieke en redactionele inhoud.</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Ze richten zich ook tot de aanbieders van journalistieke-editoriële inhoud.</w:t>
      </w:r>
    </w:p>
    <w:p w:rsidR="00D87095" w:rsidRPr="00D87095" w:rsidRDefault="00D87095" w:rsidP="002A4057">
      <w:pPr>
        <w:spacing w:line="276" w:lineRule="auto"/>
        <w:jc w:val="center"/>
        <w:rPr>
          <w:rFonts w:ascii="Calibri" w:eastAsia="Calibri" w:hAnsi="Calibri"/>
          <w:b/>
          <w:sz w:val="22"/>
          <w:szCs w:val="22"/>
          <w:lang w:eastAsia="en-US"/>
        </w:rPr>
      </w:pP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 5</w:t>
      </w: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Formele vereisten</w:t>
      </w:r>
    </w:p>
    <w:p w:rsidR="00D87095" w:rsidRPr="00D87095" w:rsidRDefault="00D87095" w:rsidP="002A4057">
      <w:pPr>
        <w:spacing w:line="276" w:lineRule="auto"/>
        <w:rPr>
          <w:rFonts w:ascii="Calibri" w:eastAsia="Calibri" w:hAnsi="Calibri"/>
          <w:sz w:val="22"/>
          <w:szCs w:val="22"/>
          <w:lang w:eastAsia="en-US"/>
        </w:rPr>
      </w:pPr>
    </w:p>
    <w:p w:rsidR="00D87095" w:rsidRDefault="00D87095" w:rsidP="002A4057">
      <w:pPr>
        <w:spacing w:line="276" w:lineRule="auto"/>
        <w:rPr>
          <w:sz w:val="22"/>
          <w:szCs w:val="22"/>
          <w:rFonts w:ascii="Calibri" w:eastAsia="Calibri" w:hAnsi="Calibri"/>
        </w:rPr>
      </w:pPr>
      <w:r>
        <w:rPr>
          <w:sz w:val="22"/>
          <w:rFonts w:ascii="Calibri" w:hAnsi="Calibri"/>
        </w:rPr>
        <w:t xml:space="preserve">(1) Informatie volgens § 93, lid 1 van MStV, wijzigingen volgens § 93, lid 3 van MStV en informatie volgens § 6 moeten in het Duits transparant worden gemaakt.</w:t>
      </w:r>
    </w:p>
    <w:p w:rsidR="002A4057" w:rsidRPr="00D87095"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Informatie die transparant moet worden gemaakt, is gemakkelijk waarneembaar in de zin van § 93 MStV, indien zij voor een gewone gebruiker in een duidelijk waarneembare positie wordt geplaatst, rekening houdend met de typische gebruikssituatie van de mediabemiddelaar.</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Dit is meestal het geval als de informatie die transparant moet worden gemaakt duidelijk kan worden onderscheiden van de rest van de inhoud en rechtstreeks verband houdt met invoer- of navigatieopties die essentieel zijn voor het gebruik van de mediabemiddelaar.</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Bij gebruik van een weblink die verwijst naar de informatie die transparant moet worden gemaakt, zijn de bovenstaande vereisten dienovereenkomstig van toepassing.</w:t>
      </w:r>
      <w:r>
        <w:rPr>
          <w:sz w:val="22"/>
          <w:rFonts w:ascii="Calibri" w:hAnsi="Calibri"/>
        </w:rPr>
        <w:t xml:space="preserve"> </w:t>
      </w:r>
    </w:p>
    <w:p w:rsidR="002A4057"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(3)</w:t>
      </w:r>
      <w:r>
        <w:rPr>
          <w:sz w:val="22"/>
          <w:vertAlign w:val="superscript"/>
          <w:rFonts w:ascii="Calibri" w:hAnsi="Calibri"/>
        </w:rPr>
        <w:t xml:space="preserve">1</w:t>
      </w:r>
      <w:r>
        <w:rPr>
          <w:sz w:val="22"/>
          <w:rFonts w:ascii="Calibri" w:hAnsi="Calibri"/>
        </w:rPr>
        <w:t xml:space="preserve">Informatie die transparant moet worden gemaakt, is onmiddellijk toegankelijk in de zin van § 93 van MStV, als deze zonder noemenswaardige tussenstappen waarneembaar is voor de gebruiker.</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Dit geldt met name niet als de informatie toegankelijk is met meer dan twee weblinks en/of het opvragen van de informatie afhankelijk wordt gemaakt van voorafgaande registratie of een login.</w:t>
      </w:r>
    </w:p>
    <w:p w:rsidR="002A4057"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(4) Informatie die transparant moet worden gemaakt is altijd beschikbaar in de zin van § 93 van MStV, als de gebruiker er op elk moment toegang toe heeft.</w:t>
      </w:r>
      <w:r>
        <w:rPr>
          <w:sz w:val="22"/>
          <w:rFonts w:ascii="Calibri" w:hAnsi="Calibri"/>
        </w:rPr>
        <w:t xml:space="preserve"> </w:t>
      </w:r>
    </w:p>
    <w:p w:rsidR="002A4057"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(5) Informatie die transparant moet worden gemaakt, wordt verstrekt in een begrijpelijke taal in de zin van § 93 van MStV, indien deze de gewone gebruiker het basisbegrip kan verschaffen van de in § 93, lid 1 bedoelde omstandigheden die vereist zijn voor een geïnformeerd gebruik van de mediabemiddelaar.</w:t>
      </w:r>
    </w:p>
    <w:p w:rsidR="002A4057" w:rsidRDefault="002A4057" w:rsidP="002A4057">
      <w:pPr>
        <w:spacing w:line="276" w:lineRule="auto"/>
        <w:rPr>
          <w:rFonts w:ascii="Calibri" w:eastAsia="Calibri" w:hAnsi="Calibri"/>
          <w:sz w:val="22"/>
          <w:szCs w:val="22"/>
          <w:lang w:eastAsia="en-US"/>
        </w:rPr>
      </w:pPr>
    </w:p>
    <w:p w:rsidR="00D87095" w:rsidRDefault="00D87095" w:rsidP="002A4057">
      <w:pPr>
        <w:spacing w:line="276" w:lineRule="auto"/>
        <w:rPr>
          <w:sz w:val="22"/>
          <w:szCs w:val="22"/>
          <w:rFonts w:ascii="Calibri" w:eastAsia="Calibri" w:hAnsi="Calibri"/>
        </w:rPr>
      </w:pPr>
      <w:r>
        <w:rPr>
          <w:sz w:val="22"/>
          <w:rFonts w:ascii="Calibri" w:hAnsi="Calibri"/>
        </w:rPr>
        <w:t xml:space="preserve">(6) Indien het gebruik van de mediabemiddelaar hoofdzakelijk spraakgestuurd is, moet de informatie die transparant moet worden gemaakt ook akoestisch worden gereproduceerd op verzoek van de gebruiker, waarbij een akoestische aanduiding van de plaats waar de te verstrekken informatie transparant is, voldoende is.</w:t>
      </w:r>
    </w:p>
    <w:p w:rsidR="002A4057" w:rsidRPr="00D87095" w:rsidRDefault="002A4057" w:rsidP="002A4057">
      <w:pPr>
        <w:spacing w:line="276" w:lineRule="auto"/>
        <w:jc w:val="center"/>
        <w:rPr>
          <w:rFonts w:ascii="Calibri" w:eastAsia="Calibri" w:hAnsi="Calibri"/>
          <w:b/>
          <w:sz w:val="22"/>
          <w:szCs w:val="22"/>
          <w:lang w:eastAsia="en-US"/>
        </w:rPr>
      </w:pP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 6</w:t>
      </w: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Informatieverplichtingen</w:t>
      </w:r>
    </w:p>
    <w:p w:rsidR="00D87095" w:rsidRPr="00D87095" w:rsidRDefault="00D87095" w:rsidP="002A4057">
      <w:pPr>
        <w:spacing w:line="276" w:lineRule="auto"/>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(1) </w:t>
      </w:r>
      <w:r>
        <w:rPr>
          <w:sz w:val="22"/>
          <w:vertAlign w:val="superscript"/>
          <w:rFonts w:ascii="Calibri" w:hAnsi="Calibri"/>
        </w:rPr>
        <w:t xml:space="preserve">1</w:t>
      </w:r>
      <w:r>
        <w:rPr>
          <w:sz w:val="22"/>
          <w:rFonts w:ascii="Calibri" w:hAnsi="Calibri"/>
        </w:rPr>
        <w:t xml:space="preserve">De aanbieder van een mediabemiddelaar is verplicht om de criteria die de toegang van inhoud tot een mediabemiddelaar bepalen en de retentie ervan transparant te maken. (§ 93, lid 1, punt 1 van MStV).</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Daartoe moet de aanbieder van een mediabemiddelaar met name de volgende informatie verstrekken:</w:t>
      </w:r>
    </w:p>
    <w:p w:rsidR="00D87095" w:rsidRPr="00D87095" w:rsidRDefault="00D87095" w:rsidP="002A4057">
      <w:pPr>
        <w:numPr>
          <w:ilvl w:val="0"/>
          <w:numId w:val="11"/>
        </w:numPr>
        <w:spacing w:after="200" w:line="276" w:lineRule="auto"/>
        <w:contextualSpacing/>
        <w:rPr>
          <w:sz w:val="22"/>
          <w:szCs w:val="22"/>
          <w:rFonts w:ascii="Calibri" w:eastAsia="Calibri" w:hAnsi="Calibri"/>
        </w:rPr>
      </w:pPr>
      <w:r>
        <w:rPr>
          <w:sz w:val="22"/>
          <w:rFonts w:ascii="Calibri" w:hAnsi="Calibri"/>
        </w:rPr>
        <w:t xml:space="preserve">Een beschrijving van de technische, economische, aanbieders-, gebruikers- en inhoudgerelateerde voorwaarden om te bepalen of de inhoud door middel van een mediabemiddelaar waarneembaar wordt gemaakt,</w:t>
      </w:r>
    </w:p>
    <w:p w:rsidR="00D87095" w:rsidRPr="00D87095" w:rsidRDefault="00D87095" w:rsidP="002A4057">
      <w:pPr>
        <w:numPr>
          <w:ilvl w:val="0"/>
          <w:numId w:val="11"/>
        </w:numPr>
        <w:spacing w:after="200" w:line="276" w:lineRule="auto"/>
        <w:contextualSpacing/>
        <w:rPr>
          <w:sz w:val="22"/>
          <w:szCs w:val="22"/>
          <w:rFonts w:ascii="Calibri" w:eastAsia="Calibri" w:hAnsi="Calibri"/>
        </w:rPr>
      </w:pPr>
      <w:r>
        <w:rPr>
          <w:sz w:val="22"/>
          <w:rFonts w:ascii="Calibri" w:hAnsi="Calibri"/>
        </w:rPr>
        <w:t xml:space="preserve">in het geval dat bepaalde inhoud wordt gefilterd, gedegradeerd of verbeterd in termen van waarneembaarheid bij toegang tot en verblijf in de mediabemiddelaar, met name ook door het gebruik van automatische systemen, moeten de betrokken categorie van inhoud en de doelstellingen van de filtering of beoordeling worden vermeld en</w:t>
      </w:r>
    </w:p>
    <w:p w:rsidR="00D87095" w:rsidRDefault="00D87095" w:rsidP="002A4057">
      <w:pPr>
        <w:numPr>
          <w:ilvl w:val="0"/>
          <w:numId w:val="11"/>
        </w:numPr>
        <w:spacing w:after="200" w:line="276" w:lineRule="auto"/>
        <w:contextualSpacing/>
        <w:rPr>
          <w:sz w:val="22"/>
          <w:szCs w:val="22"/>
          <w:rFonts w:ascii="Calibri" w:eastAsia="Calibri" w:hAnsi="Calibri"/>
        </w:rPr>
      </w:pPr>
      <w:r>
        <w:rPr>
          <w:sz w:val="22"/>
          <w:rFonts w:ascii="Calibri" w:hAnsi="Calibri"/>
        </w:rPr>
        <w:t xml:space="preserve">informatie over de vraag of, en zo ja, hoe de toegang tot en de retentie van inhoud bij de mediabemiddelaar wordt of kan worden beïnvloed door betalingen of andere directe of indirecte voordelen in natura</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De aanbieder van een mediabemiddelaar is op grond van § 93, lid 1, alinea 2 van MStV verplicht de centrale criteria voor aggregatie, selectie en presentatie van inhoud en de weging daarvan, met inbegrip van informatie over het functioneren van de gebruikte algoritmen, transparant te maken.</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Daartoe moet de aanbieder van een mediabemiddelaar met name de volgende informatie verstrekken:</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een beschrijving van de centrale criteria voor aggregatie, selectie en presentatie die door de aanbieder van mediabemiddelaar worden gebruikt,</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een beschrijving van de relatieve weging van de centrale criteria ten opzichte van elkaar en ten opzichte van niet-centrale criteria, zonder deze laatste transparant te maken,</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een beschrijving van de optimalisatiedoelstellingen die worden nagestreefd door de centrale criteria,</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informatie over de vraag of en, zo ja, hoe de vindbaarheid van inhoud bij de mediabemiddelaar wordt of kan worden beïnvloed door betaling van vergoedingen of andere directe of indirecte vergoedingsoverwegingen,</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een beschrijving van de basisprocesstappen die ten grondslag liggen aan de aggregatie, de selectie en de presentatie van de inhoud, inclusief welke persoonlijke en andere gegevens in de aggregatie, selectie en presentatie worden opgenomen,</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informatie over het type en de omvang van de gebruikte personalisatie en of, en zo ja, hoe inhoud wordt beoordeeld op relevantie voor de betreffende gebruiker,</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informatie over of, en zo ja, op welke wijze het gebruikersgedrag bij de mediabemiddelaar de aggregatie, selectie en presentatie van content kan beïnvloeden, inclusief de indicaties van de mogelijkheden van beïnvloeding die de gebruiker via instellingen en deelfuncties ter beschikking staan, en</w:t>
      </w:r>
    </w:p>
    <w:p w:rsid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informatie over of, en zo ja, hoe de aanbieder van een mediabemiddelaar omgaat met zijn eigen inhoud, inhoud van een aangesloten bedrijf (§ 15 van de wet op de naamloze vennootschappen (AktG)) of inhoud van samenwerkingspartners op een speciale manier tijdens aggregatie, selectie en/of presentatie.</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Belangrijke wijzigingen van de criteria die transparant moeten worden gemaakt overeenkomstig § 93, lid 1 van MStV worden onmiddellijk waarneembaar gemaakt.</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Daartoe houdt de aanbieder van een mediabemiddelaar een overzicht ter beschikking van de belangrijke wijzigingen die in de tijd zijn doorgevoerd.</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Alle andere wijzigingen in de criteria die transparant moeten worden gemaakt overeenkomstig § 93, lid 1 van MStV worden ten minste om de vier maanden na de inwerkingtreding van dit statuut bekendgemaakt.</w:t>
      </w:r>
      <w:r>
        <w:rPr>
          <w:sz w:val="22"/>
          <w:rFonts w:ascii="Calibri" w:hAnsi="Calibri"/>
        </w:rPr>
        <w:t xml:space="preserve"> </w:t>
      </w:r>
      <w:r>
        <w:rPr>
          <w:sz w:val="22"/>
          <w:rFonts w:ascii="Calibri" w:hAnsi="Calibri"/>
        </w:rPr>
        <w:t xml:space="preserve">§ 5 is dienovereenkomstig van toepassing.</w:t>
      </w:r>
    </w:p>
    <w:p w:rsidR="00D87095" w:rsidRDefault="00D87095" w:rsidP="002A4057">
      <w:pPr>
        <w:spacing w:line="276" w:lineRule="auto"/>
        <w:jc w:val="center"/>
        <w:rPr>
          <w:rFonts w:ascii="Calibri" w:eastAsia="Calibri" w:hAnsi="Calibri"/>
          <w:b/>
          <w:sz w:val="22"/>
          <w:szCs w:val="22"/>
          <w:lang w:eastAsia="en-US"/>
        </w:rPr>
      </w:pPr>
    </w:p>
    <w:p w:rsidR="002A4057" w:rsidRPr="00D87095" w:rsidRDefault="002A4057" w:rsidP="002A4057">
      <w:pPr>
        <w:spacing w:line="276" w:lineRule="auto"/>
        <w:jc w:val="center"/>
        <w:rPr>
          <w:rFonts w:ascii="Calibri" w:eastAsia="Calibri" w:hAnsi="Calibri"/>
          <w:b/>
          <w:sz w:val="22"/>
          <w:szCs w:val="22"/>
          <w:lang w:eastAsia="en-US"/>
        </w:rPr>
      </w:pPr>
    </w:p>
    <w:p w:rsidR="00D87095" w:rsidRPr="00D87095" w:rsidRDefault="002A4057" w:rsidP="002A4057">
      <w:pPr>
        <w:spacing w:line="276" w:lineRule="auto"/>
        <w:jc w:val="center"/>
        <w:rPr>
          <w:b/>
          <w:sz w:val="22"/>
          <w:szCs w:val="22"/>
          <w:rFonts w:ascii="Calibri" w:eastAsia="Calibri" w:hAnsi="Calibri"/>
        </w:rPr>
      </w:pPr>
      <w:r>
        <w:rPr>
          <w:b/>
          <w:sz w:val="22"/>
          <w:rFonts w:ascii="Calibri" w:hAnsi="Calibri"/>
        </w:rPr>
        <w:t xml:space="preserve">Sectie 3:</w:t>
      </w:r>
      <w:r>
        <w:rPr>
          <w:b/>
          <w:sz w:val="22"/>
          <w:rFonts w:ascii="Calibri" w:hAnsi="Calibri"/>
        </w:rPr>
        <w:t xml:space="preserve"> </w:t>
      </w:r>
      <w:r>
        <w:rPr>
          <w:b/>
          <w:sz w:val="22"/>
          <w:rFonts w:ascii="Calibri" w:hAnsi="Calibri"/>
        </w:rPr>
        <w:t xml:space="preserve">Non-discriminatie</w:t>
      </w:r>
    </w:p>
    <w:p w:rsidR="00D87095" w:rsidRPr="00D87095" w:rsidRDefault="00D87095" w:rsidP="002A4057">
      <w:pPr>
        <w:spacing w:line="276" w:lineRule="auto"/>
        <w:jc w:val="center"/>
        <w:rPr>
          <w:rFonts w:ascii="Calibri" w:eastAsia="Calibri" w:hAnsi="Calibri"/>
          <w:b/>
          <w:sz w:val="22"/>
          <w:szCs w:val="22"/>
          <w:lang w:eastAsia="en-US"/>
        </w:rPr>
      </w:pPr>
    </w:p>
    <w:p w:rsidR="00D87095" w:rsidRDefault="00D87095" w:rsidP="002A4057">
      <w:pPr>
        <w:spacing w:line="276" w:lineRule="auto"/>
        <w:jc w:val="center"/>
        <w:rPr>
          <w:b/>
          <w:sz w:val="22"/>
          <w:szCs w:val="22"/>
          <w:rFonts w:ascii="Calibri" w:eastAsia="Calibri" w:hAnsi="Calibri"/>
        </w:rPr>
      </w:pPr>
      <w:r>
        <w:rPr>
          <w:b/>
          <w:sz w:val="22"/>
          <w:rFonts w:ascii="Calibri" w:hAnsi="Calibri"/>
        </w:rPr>
        <w:t xml:space="preserve">§ 7 Algemene bepalingen</w:t>
      </w:r>
    </w:p>
    <w:p w:rsidR="002A4057" w:rsidRPr="00D87095" w:rsidRDefault="002A4057" w:rsidP="002A4057">
      <w:pPr>
        <w:spacing w:line="276" w:lineRule="auto"/>
        <w:jc w:val="center"/>
        <w:rPr>
          <w:rFonts w:ascii="Calibri" w:eastAsia="Calibri" w:hAnsi="Calibri"/>
          <w:b/>
          <w:sz w:val="22"/>
          <w:szCs w:val="22"/>
          <w:lang w:eastAsia="en-US"/>
        </w:rPr>
      </w:pPr>
    </w:p>
    <w:p w:rsid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(1) De verplichting van een mediabemiddelaar volgens sectie 94, lid 1 van MStV omvat ook bepaalde delen en bijdragen van een journalistiek en redactioneel aanbod.</w:t>
      </w:r>
    </w:p>
    <w:p w:rsidR="002A4057" w:rsidRPr="00D87095" w:rsidRDefault="002A4057" w:rsidP="002A4057">
      <w:pPr>
        <w:spacing w:after="200" w:line="276" w:lineRule="auto"/>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Bij het bepalen van een bijzonder sterke invloed in de zin van § 94 lid 1 van MStV is de invloed van de mediabemiddelaar op de waarneembaarheid van journalistiek-redactionele inhoud binnen het meningsvormingsproces doorslaggevend.</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Bij de beoordeling kan met name rekening worden gehouden</w:t>
      </w:r>
    </w:p>
    <w:p w:rsidR="00D87095" w:rsidRPr="00D87095" w:rsidRDefault="00D87095" w:rsidP="002A4057">
      <w:pPr>
        <w:numPr>
          <w:ilvl w:val="0"/>
          <w:numId w:val="35"/>
        </w:numPr>
        <w:spacing w:after="200" w:line="276" w:lineRule="auto"/>
        <w:contextualSpacing/>
        <w:rPr>
          <w:sz w:val="22"/>
          <w:szCs w:val="22"/>
          <w:rFonts w:ascii="Calibri" w:eastAsia="Calibri" w:hAnsi="Calibri"/>
        </w:rPr>
      </w:pPr>
      <w:r>
        <w:rPr>
          <w:sz w:val="22"/>
          <w:rFonts w:ascii="Calibri" w:hAnsi="Calibri"/>
        </w:rPr>
        <w:t xml:space="preserve">met de positie van de mediabemiddelaar op de respectieve relevante markten;</w:t>
      </w:r>
    </w:p>
    <w:p w:rsidR="00D87095" w:rsidRPr="00D87095" w:rsidRDefault="00D87095" w:rsidP="002A4057">
      <w:pPr>
        <w:numPr>
          <w:ilvl w:val="0"/>
          <w:numId w:val="35"/>
        </w:numPr>
        <w:spacing w:after="200" w:line="276" w:lineRule="auto"/>
        <w:contextualSpacing/>
        <w:rPr>
          <w:sz w:val="22"/>
          <w:szCs w:val="22"/>
          <w:rFonts w:ascii="Calibri" w:eastAsia="Calibri" w:hAnsi="Calibri"/>
        </w:rPr>
      </w:pPr>
      <w:r>
        <w:rPr>
          <w:sz w:val="22"/>
          <w:rFonts w:ascii="Calibri" w:hAnsi="Calibri"/>
        </w:rPr>
        <w:t xml:space="preserve">een algemeen overzicht van het gebruik, bijvoorbeeld op basis van het beschikbare gebruiksbereik, het aantal gebruikers, de duur en de activiteit van gebruikers of het aantal views per gebruiker.</w:t>
      </w:r>
      <w:r>
        <w:rPr>
          <w:sz w:val="22"/>
          <w:rFonts w:ascii="Calibri" w:hAnsi="Calibri"/>
        </w:rPr>
        <w:t xml:space="preserve"> </w:t>
      </w:r>
    </w:p>
    <w:p w:rsidR="002A4057" w:rsidRPr="002A4057" w:rsidRDefault="002A4057" w:rsidP="002A4057">
      <w:pPr>
        <w:spacing w:line="276" w:lineRule="auto"/>
        <w:jc w:val="center"/>
        <w:rPr>
          <w:rFonts w:ascii="Calibri" w:eastAsia="Calibri" w:hAnsi="Calibri"/>
          <w:b/>
          <w:sz w:val="22"/>
          <w:szCs w:val="22"/>
          <w:lang w:eastAsia="en-US"/>
        </w:rPr>
      </w:pP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 8</w:t>
      </w:r>
      <w:r>
        <w:rPr>
          <w:b/>
          <w:sz w:val="22"/>
          <w:rFonts w:ascii="Calibri" w:hAnsi="Calibri"/>
        </w:rPr>
        <w:br/>
      </w:r>
      <w:r>
        <w:rPr>
          <w:b/>
          <w:sz w:val="22"/>
          <w:rFonts w:ascii="Calibri" w:hAnsi="Calibri"/>
        </w:rPr>
        <w:t xml:space="preserve">Systematische afwijking volgens § 94 lid 2, eerste alternatieve MStV</w:t>
      </w:r>
    </w:p>
    <w:p w:rsidR="00D87095" w:rsidRPr="00D87095" w:rsidRDefault="00D87095" w:rsidP="002A4057">
      <w:pPr>
        <w:spacing w:line="276" w:lineRule="auto"/>
        <w:jc w:val="center"/>
        <w:rPr>
          <w:rFonts w:ascii="Calibri" w:eastAsia="Calibri" w:hAnsi="Calibri"/>
          <w:b/>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(1) Beslissend voor de beoordeling of een overtreding op § 94, lid 2, eerste alternatieve MStV van toepassing is</w:t>
      </w:r>
    </w:p>
    <w:p w:rsidR="00D87095" w:rsidRPr="00D87095" w:rsidRDefault="00D87095" w:rsidP="002A4057">
      <w:pPr>
        <w:numPr>
          <w:ilvl w:val="0"/>
          <w:numId w:val="36"/>
        </w:numPr>
        <w:spacing w:after="200" w:line="276" w:lineRule="auto"/>
        <w:contextualSpacing/>
        <w:rPr>
          <w:sz w:val="22"/>
          <w:szCs w:val="22"/>
          <w:rFonts w:ascii="Calibri" w:eastAsia="Calibri" w:hAnsi="Calibri"/>
        </w:rPr>
      </w:pPr>
      <w:r>
        <w:rPr>
          <w:sz w:val="22"/>
          <w:rFonts w:ascii="Calibri" w:hAnsi="Calibri"/>
        </w:rPr>
        <w:t xml:space="preserve">zijn de criteria en de informatie over de weging van de criteria die de mediabemiddelaar publiceert om zijn verplichting volgens § 93, lid 1 van MStV te voldoen, of</w:t>
      </w:r>
    </w:p>
    <w:p w:rsidR="00D87095" w:rsidRDefault="00D87095" w:rsidP="002A4057">
      <w:pPr>
        <w:numPr>
          <w:ilvl w:val="0"/>
          <w:numId w:val="36"/>
        </w:numPr>
        <w:spacing w:after="200" w:line="276" w:lineRule="auto"/>
        <w:contextualSpacing/>
        <w:rPr>
          <w:sz w:val="22"/>
          <w:szCs w:val="22"/>
          <w:rFonts w:ascii="Calibri" w:eastAsia="Calibri" w:hAnsi="Calibri"/>
        </w:rPr>
      </w:pPr>
      <w:r>
        <w:rPr>
          <w:sz w:val="22"/>
          <w:rFonts w:ascii="Calibri" w:hAnsi="Calibri"/>
        </w:rPr>
        <w:t xml:space="preserve">de criteria en de informatie over de weging van de criteria die de aanbieder van de mediabemiddelaar zou moeten publiceren om aan zijn verplichting volgens § 93, lid 1, MStV te voldoen.</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(2) Een afwijking in de zin van § 94, lid 2, eerste alternatieve MStV wordt geacht te bestaan met name indien de aanbieder van een mediabemiddelaar</w:t>
      </w:r>
      <w:r>
        <w:rPr>
          <w:sz w:val="22"/>
          <w:rFonts w:ascii="Calibri" w:hAnsi="Calibri"/>
        </w:rPr>
        <w:t xml:space="preserve"> </w:t>
      </w:r>
    </w:p>
    <w:p w:rsidR="00D87095" w:rsidRPr="00D87095" w:rsidRDefault="00D87095" w:rsidP="002A4057">
      <w:pPr>
        <w:numPr>
          <w:ilvl w:val="0"/>
          <w:numId w:val="37"/>
        </w:numPr>
        <w:spacing w:after="200" w:line="276" w:lineRule="auto"/>
        <w:contextualSpacing/>
        <w:rPr>
          <w:sz w:val="22"/>
          <w:szCs w:val="22"/>
          <w:rFonts w:ascii="Calibri" w:eastAsia="Calibri" w:hAnsi="Calibri"/>
        </w:rPr>
      </w:pPr>
      <w:r>
        <w:rPr>
          <w:sz w:val="22"/>
          <w:rFonts w:ascii="Calibri" w:hAnsi="Calibri"/>
        </w:rPr>
        <w:t xml:space="preserve">de gepubliceerde criteria of criteria niet toepast, anders dan die welke gepubliceerd moeten worden overeenkomstig § 93, lid 1, alinea 1 en 2 van MStV, of</w:t>
      </w:r>
    </w:p>
    <w:p w:rsidR="00D87095" w:rsidRDefault="00D87095" w:rsidP="002A4057">
      <w:pPr>
        <w:numPr>
          <w:ilvl w:val="0"/>
          <w:numId w:val="37"/>
        </w:numPr>
        <w:spacing w:after="200" w:line="276" w:lineRule="auto"/>
        <w:contextualSpacing/>
        <w:rPr>
          <w:sz w:val="22"/>
          <w:szCs w:val="22"/>
          <w:rFonts w:ascii="Calibri" w:eastAsia="Calibri" w:hAnsi="Calibri"/>
        </w:rPr>
      </w:pPr>
      <w:r>
        <w:rPr>
          <w:sz w:val="22"/>
          <w:rFonts w:ascii="Calibri" w:hAnsi="Calibri"/>
        </w:rPr>
        <w:t xml:space="preserve">afwijkt van de gepubliceerde weging van de centrale criteria van een aggregatie, selectie en presentatie van inhoud.</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De beslissing of een afwijking in de zin van § 94, lid 2, eerste alternatief MStV systematisch is, moet worden bepaald op basis van een totaaloverzicht van alle omstandigheden.</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Er wordt met name rekening gehouden met de duur, regelmatigheid, herhaling en planning van de afwijking.</w:t>
      </w:r>
    </w:p>
    <w:p w:rsidR="002A4057" w:rsidRPr="00D87095" w:rsidRDefault="002A4057" w:rsidP="002A4057">
      <w:pPr>
        <w:spacing w:after="200" w:line="276" w:lineRule="auto"/>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(4) Een afwijking is gerechtvaardigd als dit te wijten is aan een objectief gerechtvaardigde reden.</w:t>
      </w:r>
      <w:r>
        <w:rPr>
          <w:sz w:val="22"/>
          <w:rFonts w:ascii="Calibri" w:hAnsi="Calibri"/>
        </w:rPr>
        <w:t xml:space="preserve"> </w:t>
      </w:r>
      <w:r>
        <w:rPr>
          <w:sz w:val="22"/>
          <w:rFonts w:ascii="Calibri" w:hAnsi="Calibri"/>
        </w:rPr>
        <w:t xml:space="preserve">De redenen hiervoor kunnen met name</w:t>
      </w:r>
    </w:p>
    <w:p w:rsidR="00D87095" w:rsidRPr="00D87095" w:rsidRDefault="00D87095" w:rsidP="002A4057">
      <w:pPr>
        <w:numPr>
          <w:ilvl w:val="0"/>
          <w:numId w:val="38"/>
        </w:numPr>
        <w:spacing w:after="200" w:line="276" w:lineRule="auto"/>
        <w:contextualSpacing/>
        <w:rPr>
          <w:sz w:val="22"/>
          <w:szCs w:val="22"/>
          <w:rFonts w:ascii="Calibri" w:eastAsia="Calibri" w:hAnsi="Calibri"/>
        </w:rPr>
      </w:pPr>
      <w:r>
        <w:rPr>
          <w:sz w:val="22"/>
          <w:rFonts w:ascii="Calibri" w:hAnsi="Calibri"/>
        </w:rPr>
        <w:t xml:space="preserve">wettelijke verboden of wettelijke verplichtingen zijn;</w:t>
      </w:r>
    </w:p>
    <w:p w:rsidR="00D87095" w:rsidRPr="00D87095" w:rsidRDefault="00D87095" w:rsidP="002A4057">
      <w:pPr>
        <w:numPr>
          <w:ilvl w:val="0"/>
          <w:numId w:val="38"/>
        </w:numPr>
        <w:spacing w:after="200" w:line="276" w:lineRule="auto"/>
        <w:contextualSpacing/>
        <w:rPr>
          <w:sz w:val="22"/>
          <w:szCs w:val="22"/>
          <w:rFonts w:ascii="Calibri" w:eastAsia="Calibri" w:hAnsi="Calibri"/>
        </w:rPr>
      </w:pPr>
      <w:r>
        <w:rPr>
          <w:sz w:val="22"/>
          <w:rFonts w:ascii="Calibri" w:hAnsi="Calibri"/>
        </w:rPr>
        <w:t xml:space="preserve">technische voorwaarden voor de presentatie aan de gebruiker;</w:t>
      </w:r>
    </w:p>
    <w:p w:rsidR="00D87095" w:rsidRDefault="00D87095" w:rsidP="002A4057">
      <w:pPr>
        <w:numPr>
          <w:ilvl w:val="0"/>
          <w:numId w:val="38"/>
        </w:numPr>
        <w:spacing w:after="200" w:line="276" w:lineRule="auto"/>
        <w:contextualSpacing/>
        <w:rPr>
          <w:sz w:val="22"/>
          <w:szCs w:val="22"/>
          <w:rFonts w:ascii="Calibri" w:eastAsia="Calibri" w:hAnsi="Calibri"/>
        </w:rPr>
      </w:pPr>
      <w:r>
        <w:rPr>
          <w:sz w:val="22"/>
          <w:rFonts w:ascii="Calibri" w:hAnsi="Calibri"/>
        </w:rPr>
        <w:t xml:space="preserve">eisen ter bescherming van de integriteit van de dienst.</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(5) Of er een objectief gerechtvaardigde reden is, wordt beoordeeld na een afweging van de belangen van de betrokken partijen, rekening houdend met de doelstelling van het MStV om de diversiteit van de meningen te waarborgen.</w:t>
      </w:r>
      <w:r>
        <w:rPr>
          <w:sz w:val="22"/>
          <w:rFonts w:ascii="Calibri" w:hAnsi="Calibri"/>
        </w:rPr>
        <w:t xml:space="preserve">  </w:t>
      </w:r>
    </w:p>
    <w:p w:rsidR="00D87095" w:rsidRPr="00D87095" w:rsidRDefault="00D87095" w:rsidP="006E5D47">
      <w:pPr>
        <w:spacing w:line="276" w:lineRule="auto"/>
        <w:jc w:val="center"/>
        <w:rPr>
          <w:rFonts w:ascii="Calibri" w:eastAsia="Calibri" w:hAnsi="Calibri"/>
          <w:b/>
          <w:sz w:val="22"/>
          <w:szCs w:val="22"/>
          <w:lang w:eastAsia="en-US"/>
        </w:rPr>
      </w:pP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 9</w:t>
      </w: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Onredelijke obstructie volgens § 94, lid 2, tweede alternatieve MStV</w:t>
      </w:r>
    </w:p>
    <w:p w:rsidR="00D87095" w:rsidRPr="00D87095" w:rsidRDefault="00D87095" w:rsidP="006E5D47">
      <w:pPr>
        <w:spacing w:line="276" w:lineRule="auto"/>
        <w:jc w:val="center"/>
        <w:rPr>
          <w:rFonts w:ascii="Calibri" w:eastAsia="Calibri" w:hAnsi="Calibri"/>
          <w:b/>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Een obstructie in de zin van § 94, lid 2, tweede alternatieve MStV is de directe of indirecte beperking in termen van toegang tot of vindbaarheid van een journalistiek en redactioneel aanbod.</w:t>
      </w: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 8, lid 1 is dienovereenkomstig van toepassing.</w:t>
      </w:r>
    </w:p>
    <w:p w:rsidR="006E5D47" w:rsidRDefault="006E5D47" w:rsidP="006E5D47">
      <w:pPr>
        <w:spacing w:after="200" w:line="276" w:lineRule="auto"/>
        <w:contextualSpacing/>
        <w:rPr>
          <w:rFonts w:ascii="Calibri" w:eastAsia="Calibri" w:hAnsi="Calibri"/>
          <w:sz w:val="22"/>
          <w:szCs w:val="22"/>
          <w:lang w:eastAsia="en-US"/>
        </w:rPr>
      </w:pPr>
    </w:p>
    <w:p w:rsid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Of een obstructie in de zin van § 94, lid 2, tweede alternatief MStV systematisch is, moet worden bepaald op basis van een algemeen overzicht van alle omstandigheden.</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Er moet rekening worden gehouden met de duur, frequentie, herhaling en regelmaat van de obstructie.</w:t>
      </w:r>
    </w:p>
    <w:p w:rsidR="006E5D47" w:rsidRPr="00D87095"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(4) </w:t>
      </w:r>
      <w:r>
        <w:rPr>
          <w:sz w:val="22"/>
          <w:vertAlign w:val="superscript"/>
          <w:rFonts w:ascii="Calibri" w:hAnsi="Calibri"/>
        </w:rPr>
        <w:t xml:space="preserve">1</w:t>
      </w:r>
      <w:r>
        <w:rPr>
          <w:sz w:val="22"/>
          <w:rFonts w:ascii="Calibri" w:hAnsi="Calibri"/>
        </w:rPr>
        <w:t xml:space="preserve">De onredelijke aard van een obstructie wordt beoordeeld op basis van een evenwicht tussen de belangen van de partijen, rekening houdend met het doel van de MStV om de diversiteit van de meningen te beschermen.</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De onredelijke aard van een belemmering kan voortkomen uit een individueel criterium of uit de cumulatieve interactie van meerdere criteria.</w:t>
      </w:r>
      <w:r>
        <w:rPr>
          <w:sz w:val="22"/>
          <w:rFonts w:ascii="Calibri" w:hAnsi="Calibri"/>
        </w:rPr>
        <w:t xml:space="preserve">  </w:t>
      </w:r>
    </w:p>
    <w:p w:rsidR="00D87095" w:rsidRDefault="00D87095" w:rsidP="006E5D47">
      <w:pPr>
        <w:spacing w:line="276" w:lineRule="auto"/>
        <w:jc w:val="center"/>
        <w:rPr>
          <w:rFonts w:ascii="Calibri" w:eastAsia="Calibri" w:hAnsi="Calibri"/>
          <w:b/>
          <w:sz w:val="22"/>
          <w:szCs w:val="22"/>
          <w:lang w:eastAsia="en-US"/>
        </w:rPr>
      </w:pPr>
    </w:p>
    <w:p w:rsidR="006E5D47" w:rsidRPr="00D87095" w:rsidRDefault="006E5D47" w:rsidP="006E5D47">
      <w:pPr>
        <w:spacing w:line="276" w:lineRule="auto"/>
        <w:jc w:val="center"/>
        <w:rPr>
          <w:rFonts w:ascii="Calibri" w:eastAsia="Calibri" w:hAnsi="Calibri"/>
          <w:b/>
          <w:sz w:val="22"/>
          <w:szCs w:val="22"/>
          <w:lang w:eastAsia="en-US"/>
        </w:rPr>
      </w:pPr>
    </w:p>
    <w:p w:rsidR="00D87095" w:rsidRPr="00D87095" w:rsidRDefault="006E5D47" w:rsidP="006E5D47">
      <w:pPr>
        <w:spacing w:line="276" w:lineRule="auto"/>
        <w:jc w:val="center"/>
        <w:rPr>
          <w:b/>
          <w:sz w:val="22"/>
          <w:szCs w:val="22"/>
          <w:rFonts w:ascii="Calibri" w:eastAsia="Calibri" w:hAnsi="Calibri"/>
        </w:rPr>
      </w:pPr>
      <w:r>
        <w:rPr>
          <w:b/>
          <w:sz w:val="22"/>
          <w:rFonts w:ascii="Calibri" w:hAnsi="Calibri"/>
        </w:rPr>
        <w:t xml:space="preserve">Sectie 4:</w:t>
      </w:r>
      <w:r>
        <w:rPr>
          <w:b/>
          <w:sz w:val="22"/>
          <w:rFonts w:ascii="Calibri" w:hAnsi="Calibri"/>
        </w:rPr>
        <w:t xml:space="preserve"> </w:t>
      </w:r>
      <w:r>
        <w:rPr>
          <w:b/>
          <w:sz w:val="22"/>
          <w:rFonts w:ascii="Calibri" w:hAnsi="Calibri"/>
        </w:rPr>
        <w:t xml:space="preserve">Procedure en onderzoek</w:t>
      </w:r>
    </w:p>
    <w:p w:rsidR="00D87095" w:rsidRPr="00D87095" w:rsidRDefault="00D87095" w:rsidP="006E5D47">
      <w:pPr>
        <w:spacing w:line="276" w:lineRule="auto"/>
        <w:jc w:val="center"/>
        <w:rPr>
          <w:rFonts w:ascii="Calibri" w:eastAsia="Calibri" w:hAnsi="Calibri"/>
          <w:b/>
          <w:sz w:val="22"/>
          <w:szCs w:val="22"/>
          <w:lang w:eastAsia="en-US"/>
        </w:rPr>
      </w:pP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 10</w:t>
      </w:r>
    </w:p>
    <w:p w:rsidR="00D87095" w:rsidRDefault="00D87095" w:rsidP="006E5D47">
      <w:pPr>
        <w:spacing w:line="276" w:lineRule="auto"/>
        <w:jc w:val="center"/>
        <w:rPr>
          <w:b/>
          <w:sz w:val="22"/>
          <w:szCs w:val="22"/>
          <w:rFonts w:ascii="Calibri" w:eastAsia="Calibri" w:hAnsi="Calibri"/>
        </w:rPr>
      </w:pPr>
      <w:r>
        <w:rPr>
          <w:b/>
          <w:sz w:val="22"/>
          <w:rFonts w:ascii="Calibri" w:hAnsi="Calibri"/>
        </w:rPr>
        <w:t xml:space="preserve">Competentie van het ZAK</w:t>
      </w:r>
    </w:p>
    <w:p w:rsidR="006E5D47" w:rsidRPr="00D87095" w:rsidRDefault="006E5D47" w:rsidP="006E5D47">
      <w:pPr>
        <w:spacing w:after="200" w:line="276" w:lineRule="auto"/>
        <w:contextualSpacing/>
        <w:rPr>
          <w:rFonts w:ascii="Calibri" w:eastAsia="Calibri" w:hAnsi="Calibri"/>
          <w:sz w:val="22"/>
          <w:szCs w:val="22"/>
          <w:lang w:eastAsia="en-US"/>
        </w:rPr>
      </w:pPr>
    </w:p>
    <w:p w:rsid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Voor de taken die in het kader van dit statuut moeten worden uitgevoerd, dient de Commissie voor Vergunningen en Toezicht (ZAK) van de bevoegde federale staatsmedia-autoriteit als geschikt orgaan (§ 104, lid 2, zin 1 nr. 1, § 105, lid 1, zin 1 nr. 10 van MStV in samenhang met het reglement van procedure van ZAK – GVO ZAK).</w:t>
      </w:r>
    </w:p>
    <w:p w:rsidR="006E5D47" w:rsidRPr="00D87095"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De bevoegde media-autoriteit van de federale staat zendt via het Gezamenlijk Bureau onmiddellijk klachten toe aan het ZAK overeenkomstig § 11 en stelt het ambtshalve in kennis van de onderzoeken.</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Het ZAK voert de procedure uit totdat de beslissing gereed is.</w:t>
      </w:r>
    </w:p>
    <w:p w:rsidR="006E5D47" w:rsidRPr="006E5D47" w:rsidRDefault="006E5D47" w:rsidP="006E5D47">
      <w:pPr>
        <w:spacing w:line="276" w:lineRule="auto"/>
        <w:jc w:val="center"/>
        <w:rPr>
          <w:rFonts w:ascii="Calibri" w:eastAsia="Calibri" w:hAnsi="Calibri"/>
          <w:b/>
          <w:sz w:val="22"/>
          <w:szCs w:val="22"/>
          <w:lang w:eastAsia="en-US"/>
        </w:rPr>
      </w:pP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 11</w:t>
      </w:r>
    </w:p>
    <w:p w:rsidR="00D87095" w:rsidRDefault="00D87095" w:rsidP="006E5D47">
      <w:pPr>
        <w:spacing w:line="276" w:lineRule="auto"/>
        <w:jc w:val="center"/>
        <w:rPr>
          <w:b/>
          <w:sz w:val="22"/>
          <w:szCs w:val="22"/>
          <w:rFonts w:ascii="Calibri" w:eastAsia="Calibri" w:hAnsi="Calibri"/>
        </w:rPr>
      </w:pPr>
      <w:r>
        <w:rPr>
          <w:b/>
          <w:sz w:val="22"/>
          <w:rFonts w:ascii="Calibri" w:hAnsi="Calibri"/>
        </w:rPr>
        <w:t xml:space="preserve">Non-discriminatieprocedure</w:t>
      </w:r>
    </w:p>
    <w:p w:rsidR="006E5D47" w:rsidRPr="00D87095" w:rsidRDefault="006E5D47" w:rsidP="006E5D47">
      <w:pPr>
        <w:spacing w:line="276" w:lineRule="auto"/>
        <w:jc w:val="center"/>
        <w:rPr>
          <w:rFonts w:ascii="Calibri" w:eastAsia="Calibri" w:hAnsi="Calibri"/>
          <w:b/>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De bevoegde federale staatsmedia-autoriteit onderzoekt via het ZAK, op basis van een klacht of in duidelijk ambtshalve gevallen, of de aanbieder van een mediabemiddelaar de bepalingen van § 94, leden 1 en 2 van MStV of §§ 8 en 9 overtreedt.</w:t>
      </w:r>
    </w:p>
    <w:p w:rsidR="006E5D47"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Recht op beroep volgens § 94, lid 3, lid 1 MStV wordt verleend aan</w:t>
      </w:r>
      <w:r>
        <w:rPr>
          <w:sz w:val="22"/>
          <w:rFonts w:ascii="Calibri" w:hAnsi="Calibri"/>
        </w:rPr>
        <w:t xml:space="preserve"> </w:t>
      </w:r>
    </w:p>
    <w:p w:rsidR="00D87095" w:rsidRPr="00D87095" w:rsidRDefault="00D87095" w:rsidP="006E5D47">
      <w:pPr>
        <w:numPr>
          <w:ilvl w:val="0"/>
          <w:numId w:val="39"/>
        </w:numPr>
        <w:spacing w:after="200" w:line="276" w:lineRule="auto"/>
        <w:contextualSpacing/>
        <w:rPr>
          <w:sz w:val="22"/>
          <w:szCs w:val="22"/>
          <w:rFonts w:ascii="Calibri" w:eastAsia="Calibri" w:hAnsi="Calibri"/>
        </w:rPr>
      </w:pPr>
      <w:r>
        <w:rPr>
          <w:sz w:val="22"/>
          <w:rFonts w:ascii="Calibri" w:hAnsi="Calibri"/>
        </w:rPr>
        <w:t xml:space="preserve">aanbieders van journalistieke en redactionele inhoud en</w:t>
      </w:r>
      <w:r>
        <w:rPr>
          <w:sz w:val="22"/>
          <w:rFonts w:ascii="Calibri" w:hAnsi="Calibri"/>
        </w:rPr>
        <w:t xml:space="preserve"> </w:t>
      </w:r>
    </w:p>
    <w:p w:rsidR="00D87095" w:rsidRDefault="00D87095" w:rsidP="006E5D47">
      <w:pPr>
        <w:numPr>
          <w:ilvl w:val="0"/>
          <w:numId w:val="39"/>
        </w:numPr>
        <w:spacing w:after="200" w:line="276" w:lineRule="auto"/>
        <w:contextualSpacing/>
        <w:rPr>
          <w:sz w:val="22"/>
          <w:szCs w:val="22"/>
          <w:rFonts w:ascii="Calibri" w:eastAsia="Calibri" w:hAnsi="Calibri"/>
        </w:rPr>
      </w:pPr>
      <w:r>
        <w:rPr>
          <w:sz w:val="22"/>
          <w:rFonts w:ascii="Calibri" w:hAnsi="Calibri"/>
        </w:rPr>
        <w:t xml:space="preserve">aanbieders van mediaplatforms en gebruikersinterfaces, voor zover zij klagen over discriminatie van de pakketten van journalistieke en redactionele inhoud die zij aanbieden.</w:t>
      </w:r>
    </w:p>
    <w:p w:rsidR="006E5D47" w:rsidRPr="00D87095" w:rsidRDefault="006E5D47" w:rsidP="006E5D47">
      <w:pPr>
        <w:spacing w:after="200" w:line="276" w:lineRule="auto"/>
        <w:ind w:left="720"/>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De klager moet zijn beroep motiveren.</w:t>
      </w:r>
      <w:r>
        <w:rPr>
          <w:sz w:val="22"/>
          <w:rFonts w:ascii="Calibri" w:hAnsi="Calibri"/>
        </w:rPr>
        <w:t xml:space="preserve"> </w:t>
      </w:r>
      <w:r>
        <w:rPr>
          <w:sz w:val="22"/>
          <w:rFonts w:ascii="Calibri" w:hAnsi="Calibri"/>
        </w:rPr>
        <w:t xml:space="preserve">Daartoe wordt een geschikt bewijs geleverd waaruit voldoende bewijs zal blijken voor de vermeende discriminatie van de inhoud van de journalistieke en redactionele inhoud in de zin van § 94, lid 2 van MStV of §§ 8 en 9.</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Met name, de volgende documenten worden ingediend:</w:t>
      </w:r>
    </w:p>
    <w:p w:rsidR="00D87095" w:rsidRPr="00D87095" w:rsidRDefault="00D87095" w:rsidP="006E5D47">
      <w:pPr>
        <w:numPr>
          <w:ilvl w:val="0"/>
          <w:numId w:val="40"/>
        </w:numPr>
        <w:spacing w:after="200" w:line="276" w:lineRule="auto"/>
        <w:contextualSpacing/>
        <w:rPr>
          <w:sz w:val="22"/>
          <w:szCs w:val="22"/>
          <w:rFonts w:ascii="Calibri" w:eastAsia="Calibri" w:hAnsi="Calibri"/>
        </w:rPr>
      </w:pPr>
      <w:r>
        <w:rPr>
          <w:sz w:val="22"/>
          <w:rFonts w:ascii="Calibri" w:hAnsi="Calibri"/>
        </w:rPr>
        <w:t xml:space="preserve">evaluaties van de vindbaarheid van eigen journalistieke en editoriële inhoud in de mediabemiddelaar en</w:t>
      </w:r>
    </w:p>
    <w:p w:rsidR="00D87095" w:rsidRPr="00D87095" w:rsidRDefault="00D87095" w:rsidP="006E5D47">
      <w:pPr>
        <w:numPr>
          <w:ilvl w:val="0"/>
          <w:numId w:val="40"/>
        </w:numPr>
        <w:spacing w:after="200" w:line="276" w:lineRule="auto"/>
        <w:contextualSpacing/>
        <w:rPr>
          <w:sz w:val="22"/>
          <w:szCs w:val="22"/>
          <w:rFonts w:ascii="Calibri" w:eastAsia="Calibri" w:hAnsi="Calibri"/>
        </w:rPr>
      </w:pPr>
      <w:r>
        <w:rPr>
          <w:sz w:val="22"/>
          <w:rFonts w:ascii="Calibri" w:hAnsi="Calibri"/>
        </w:rPr>
        <w:t xml:space="preserve">geschikte studies.</w:t>
      </w:r>
    </w:p>
    <w:p w:rsidR="00D87095" w:rsidRPr="00D87095" w:rsidRDefault="006E5D47" w:rsidP="006E5D47">
      <w:pPr>
        <w:spacing w:after="200" w:line="276" w:lineRule="auto"/>
        <w:contextualSpacing/>
        <w:rPr>
          <w:sz w:val="22"/>
          <w:szCs w:val="22"/>
          <w:rFonts w:ascii="Calibri" w:eastAsia="Calibri" w:hAnsi="Calibri"/>
        </w:rPr>
      </w:pPr>
      <w:r>
        <w:rPr>
          <w:sz w:val="22"/>
          <w:vertAlign w:val="superscript"/>
          <w:rFonts w:ascii="Calibri" w:hAnsi="Calibri"/>
        </w:rPr>
        <w:t xml:space="preserve">3</w:t>
      </w:r>
      <w:r>
        <w:rPr>
          <w:sz w:val="22"/>
          <w:rFonts w:ascii="Calibri" w:hAnsi="Calibri"/>
        </w:rPr>
        <w:t xml:space="preserve">Bovendien verstrekt de klager, waar mogelijk, voldoende bewijs waaruit blijkt dat de mediabemiddelaar bijzonder grote invloed heeft op de waarneming van journalistieke en redactionele inhoud in de zin van § 94, lid 1 van MStV.</w:t>
      </w:r>
      <w:r>
        <w:rPr>
          <w:sz w:val="22"/>
          <w:rFonts w:ascii="Calibri" w:hAnsi="Calibri"/>
        </w:rPr>
        <w:t xml:space="preserve"> </w:t>
      </w:r>
    </w:p>
    <w:p w:rsidR="006E5D47"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(4) Er is sprake van een voor een vanzelfsprekend geval overeenkomstig § 94, lid 3, zin 2 en lid 1 van MStV indien de feiten die aan de schending van het discriminatieverbod ten grondslag liggen, duidelijk herkenbaar zijn voor derden.</w:t>
      </w:r>
      <w:r>
        <w:rPr>
          <w:sz w:val="22"/>
          <w:rFonts w:ascii="Calibri" w:hAnsi="Calibri"/>
        </w:rPr>
        <w:t xml:space="preserve"> </w:t>
      </w:r>
    </w:p>
    <w:p w:rsidR="00D87095" w:rsidRPr="00D87095" w:rsidRDefault="00D87095"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 12</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Rectificatie</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6E5D47" w:rsidP="006E5D47">
      <w:pPr>
        <w:spacing w:after="200" w:line="276" w:lineRule="auto"/>
        <w:contextualSpacing/>
        <w:rPr>
          <w:sz w:val="22"/>
          <w:szCs w:val="22"/>
          <w:rFonts w:ascii="Calibri" w:eastAsia="Calibri" w:hAnsi="Calibri"/>
        </w:rPr>
      </w:pPr>
      <w:r>
        <w:rPr>
          <w:sz w:val="22"/>
          <w:vertAlign w:val="superscript"/>
          <w:rFonts w:ascii="Calibri" w:hAnsi="Calibri"/>
        </w:rPr>
        <w:t xml:space="preserve">1</w:t>
      </w:r>
      <w:r>
        <w:rPr>
          <w:sz w:val="22"/>
          <w:rFonts w:ascii="Calibri" w:hAnsi="Calibri"/>
        </w:rPr>
        <w:t xml:space="preserve">Indien de bevoegde media-autoriteit van de federale staat via het ZAK vaststelt dat de aanbieder van een mediabemiddelaar de §§ 92 tot en met 94 van MStV of bepalingen van dit statuut overtreedt, moet de aanbieder van de mediabemiddelaar de mediabemiddelaar onmiddellijk rectificeren.</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De aanbieder van de mediabemiddelaar is verplicht op geschikte en begrijpelijke wijze het bewijs van de rectificatie te leveren aan de bevoegde media-autoriteit van de federale staat.</w:t>
      </w:r>
    </w:p>
    <w:p w:rsidR="00D87095" w:rsidRPr="00D87095" w:rsidRDefault="00D87095"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 13</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Informatie en indiening van documenten</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w:t>
      </w:r>
      <w:r>
        <w:rPr>
          <w:sz w:val="22"/>
          <w:vertAlign w:val="superscript"/>
          <w:rFonts w:ascii="Calibri" w:hAnsi="Calibri"/>
        </w:rPr>
        <w:t xml:space="preserve">1</w:t>
      </w:r>
      <w:r>
        <w:rPr>
          <w:sz w:val="22"/>
          <w:rFonts w:ascii="Calibri" w:hAnsi="Calibri"/>
        </w:rPr>
        <w:t xml:space="preserve">Om een mogelijke inbreuk te verifiëren, is de aanbieder van een mediabemiddelaar verplicht alle nodige informatie te verstrekken, informatie ter beschikking te stellen en documenten in te dienen.</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De bevoegde media-autoriteit van de federale staat mag met name</w:t>
      </w:r>
    </w:p>
    <w:p w:rsidR="00D87095" w:rsidRP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de indiening van alle documentatie eisen, die de criteria of de centrale criteria volgens § 93 lid 1 alinea 1 van MStV en hun weging bewijst en ook de werking van de gebruikte algoritmen volgens § 93 lid 1 alinea 2 van MStV;</w:t>
      </w:r>
    </w:p>
    <w:p w:rsidR="00D87095" w:rsidRP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als getuigen horen: de medewerkers van de mediabemiddelaar die betrokken zijn bij de definitie, technische implementatie en wijziging van de criteria volgens § 93 lid 1 alinea 1 van MStV, of centrale criteria en hun weging en ook de gebruikte algoritmen volgens § 93 lid 1 alinea 2 van MStV;</w:t>
      </w:r>
    </w:p>
    <w:p w:rsidR="00D87095" w:rsidRP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van de aanbieder van mediabemiddelaar een beëdigde verklaring eisen met betrekking tot de informatie die transparant moet worden gemaakt overeenkomstig § 93, lid 1 van MStV en § 6;</w:t>
      </w:r>
    </w:p>
    <w:p w:rsid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de indiening van contractuele overeenkomsten, verbintenissen of andere verplichtingen die objectief verband houden met de toegang tot en het behoud van inhoud aan de mediabemiddelaar eisen, met name voor zover zij betrekking hebben op de opname, presentatie en bewaring van journalistieke en redactionele inhoud.</w:t>
      </w:r>
    </w:p>
    <w:p w:rsidR="00D622FF" w:rsidRPr="00D87095" w:rsidRDefault="00D622FF" w:rsidP="00D622FF">
      <w:pPr>
        <w:spacing w:after="200" w:line="276" w:lineRule="auto"/>
        <w:ind w:left="720"/>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Bij de indiening van de in lid 1 bedoelde documenten markeert de aanbieder van de mediabemiddelaar de delen van de documenten die handels- of bedrijfsgeheimen bevatten.</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In dat geval moeten ze een aanvullende versie indienen die, vanuit hun standpunt, door derden kan worden bekeken zonder handels- of bedrijfsgeheimen bekend te maken.</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Indien dit niet het geval is, mag de media-autoriteit van de federale staat toestemming voor inspectie aanvaarden, tenzij zij op de hoogte is van bijzondere omstandigheden die een dergelijk vermoeden niet rechtvaardigen.</w:t>
      </w:r>
      <w:r>
        <w:rPr>
          <w:sz w:val="22"/>
          <w:rFonts w:ascii="Calibri" w:hAnsi="Calibri"/>
        </w:rPr>
        <w:t xml:space="preserve"> </w:t>
      </w:r>
      <w:r>
        <w:rPr>
          <w:sz w:val="22"/>
          <w:vertAlign w:val="superscript"/>
          <w:rFonts w:ascii="Calibri" w:hAnsi="Calibri"/>
        </w:rPr>
        <w:t xml:space="preserve">4</w:t>
      </w:r>
      <w:r>
        <w:rPr>
          <w:sz w:val="22"/>
          <w:rFonts w:ascii="Calibri" w:hAnsi="Calibri"/>
        </w:rPr>
        <w:t xml:space="preserve">Indien de media-autoriteit van de federale staat de markering van de documenten als handels- of bedrijfsgeheimen ongerechtvaardigd acht, moet zij de aanbieder de mogelijkheid geven om opmerkingen te maken alvorens te beslissen over het verlenen van toegang aan derden.</w:t>
      </w:r>
    </w:p>
    <w:p w:rsidR="00D87095" w:rsidRDefault="006E5D47" w:rsidP="006E5D47">
      <w:pPr>
        <w:spacing w:after="200" w:line="276" w:lineRule="auto"/>
        <w:contextualSpacing/>
        <w:jc w:val="center"/>
        <w:rPr>
          <w:b/>
          <w:sz w:val="22"/>
          <w:szCs w:val="22"/>
          <w:rFonts w:ascii="Calibri" w:eastAsia="Calibri" w:hAnsi="Calibri"/>
        </w:rPr>
      </w:pPr>
      <w:r>
        <w:rPr>
          <w:b/>
          <w:sz w:val="22"/>
          <w:rFonts w:ascii="Calibri" w:hAnsi="Calibri"/>
        </w:rPr>
        <w:t xml:space="preserve"> </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6E5D47" w:rsidP="006E5D47">
      <w:pPr>
        <w:spacing w:after="200" w:line="276" w:lineRule="auto"/>
        <w:contextualSpacing/>
        <w:jc w:val="center"/>
        <w:rPr>
          <w:b/>
          <w:sz w:val="22"/>
          <w:szCs w:val="22"/>
          <w:rFonts w:ascii="Calibri" w:eastAsia="Calibri" w:hAnsi="Calibri"/>
        </w:rPr>
      </w:pPr>
      <w:r>
        <w:rPr>
          <w:b/>
          <w:sz w:val="22"/>
          <w:rFonts w:ascii="Calibri" w:hAnsi="Calibri"/>
        </w:rPr>
        <w:t xml:space="preserve">Sectie 5:</w:t>
      </w:r>
      <w:r>
        <w:rPr>
          <w:b/>
          <w:sz w:val="22"/>
          <w:rFonts w:ascii="Calibri" w:hAnsi="Calibri"/>
        </w:rPr>
        <w:t xml:space="preserve"> </w:t>
      </w:r>
      <w:r>
        <w:rPr>
          <w:b/>
          <w:sz w:val="22"/>
          <w:rFonts w:ascii="Calibri" w:hAnsi="Calibri"/>
        </w:rPr>
        <w:t xml:space="preserve">Slotbepalingen</w:t>
      </w:r>
    </w:p>
    <w:p w:rsidR="00D87095" w:rsidRPr="00D87095" w:rsidRDefault="00D87095"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 14</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Evaluatie</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DF0BF7">
      <w:pPr>
        <w:spacing w:after="200" w:line="276" w:lineRule="auto"/>
        <w:contextualSpacing/>
        <w:rPr>
          <w:sz w:val="22"/>
          <w:szCs w:val="22"/>
          <w:rFonts w:ascii="Calibri" w:eastAsia="Calibri" w:hAnsi="Calibri"/>
        </w:rPr>
      </w:pPr>
      <w:r>
        <w:rPr>
          <w:sz w:val="22"/>
          <w:rFonts w:ascii="Calibri" w:hAnsi="Calibri"/>
        </w:rPr>
        <w:t xml:space="preserve">Het ZAK herziet dit statuut ten minste om de drie jaar, waarbij met name rekening wordt gehouden met</w:t>
      </w:r>
      <w:r>
        <w:rPr>
          <w:sz w:val="22"/>
          <w:rFonts w:ascii="Calibri" w:hAnsi="Calibri"/>
        </w:rPr>
        <w:tab/>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de ervaring die met de praktische toepassing van dit statuut is opgedaan;</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technische en economische ontwikkelingen op regelgevingsgebied;</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het belang van individuele mediabemiddelaars voor de publieke opinievorming;</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ontwikkelingen op het gebied van co-regulering, zoals verbintenissen in de hele sector;</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de ontwikkeling van onderzoek op het gebied van transparantie en discriminatie;</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de ontwikkeling van onderzoek en wetenschap op het gebied van data-analyse, kunstmatige intelligentie en machine learning.</w:t>
      </w:r>
    </w:p>
    <w:p w:rsidR="00D87095" w:rsidRPr="00D87095" w:rsidRDefault="00D87095"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 15</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Inwerkingtreding</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8C60A0" w:rsidRPr="008C60A0" w:rsidRDefault="006E5D47" w:rsidP="00DF0BF7">
      <w:pPr>
        <w:spacing w:after="200" w:line="276" w:lineRule="auto"/>
        <w:contextualSpacing/>
        <w:rPr>
          <w:sz w:val="22"/>
          <w:szCs w:val="22"/>
          <w:rFonts w:ascii="Calibri" w:eastAsia="Calibri" w:hAnsi="Calibri"/>
        </w:rPr>
      </w:pPr>
      <w:r>
        <w:rPr>
          <w:sz w:val="22"/>
          <w:vertAlign w:val="superscript"/>
          <w:rFonts w:ascii="Calibri" w:hAnsi="Calibri"/>
        </w:rPr>
        <w:t xml:space="preserve">1</w:t>
      </w:r>
      <w:r>
        <w:rPr>
          <w:sz w:val="22"/>
          <w:rFonts w:ascii="Calibri" w:hAnsi="Calibri"/>
        </w:rPr>
        <w:t xml:space="preserve">Deze wet treedt in werking op 1 september 2021.</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Indien uiterlijk op 31 augustus 2021 de overeenkomstige statuten niet door alle media-autoriteiten van de federale staat zijn uitgevaardigd en gepubliceerd, is dit statuut achterhaald.</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De voorzitter van de Conferentie van Directeuren van de Federale Staatsmedia-autoriteiten (DLM) publiceert op internet onder het overkoepelende merk ‘die medienanstalten’ of alle federale media-autoriteiten de overeenkomstige statuten hebben uitgevaardigd en gepubliceerd binnen de termijn gespecificeerd in zin 2.</w:t>
      </w:r>
      <w:r w:rsidR="00CF50DB">
        <w:rPr>
          <w:rStyle w:val="Funotenzeichen"/>
          <w:rFonts w:asciiTheme="minorHAnsi" w:eastAsia="Calibri" w:hAnsiTheme="minorHAnsi" w:cstheme="minorHAnsi"/>
          <w:sz w:val="22"/>
          <w:szCs w:val="22"/>
          <w:lang w:eastAsia="en-US"/>
        </w:rPr>
        <w:footnoteReference w:id="1"/>
      </w:r>
    </w:p>
    <w:sectPr w:rsidR="008C60A0" w:rsidRPr="008C60A0">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DB6" w:rsidRDefault="00F32DB6" w:rsidP="00986629">
      <w:r>
        <w:separator/>
      </w:r>
    </w:p>
  </w:endnote>
  <w:endnote w:type="continuationSeparator" w:id="0">
    <w:p w:rsidR="00F32DB6" w:rsidRDefault="00F32DB6" w:rsidP="0098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szCs w:val="22"/>
      </w:rPr>
      <w:id w:val="-1344168373"/>
      <w:docPartObj>
        <w:docPartGallery w:val="Page Numbers (Bottom of Page)"/>
        <w:docPartUnique/>
      </w:docPartObj>
    </w:sdtPr>
    <w:sdtEndPr/>
    <w:sdtContent>
      <w:p w:rsidR="00C41351" w:rsidRPr="00C41351" w:rsidRDefault="00C41351">
        <w:pPr>
          <w:pStyle w:val="Fuzeile"/>
          <w:jc w:val="center"/>
          <w:rPr>
            <w:sz w:val="22"/>
            <w:szCs w:val="22"/>
            <w:rFonts w:asciiTheme="minorHAnsi" w:hAnsiTheme="minorHAnsi" w:cstheme="minorHAnsi"/>
          </w:rPr>
        </w:pPr>
        <w:r w:rsidRPr="00C41351">
          <w:rPr>
            <w:sz w:val="22"/>
            <w:rFonts w:asciiTheme="minorHAnsi" w:hAnsiTheme="minorHAnsi" w:cstheme="minorHAnsi"/>
          </w:rPr>
          <w:fldChar w:fldCharType="begin"/>
        </w:r>
        <w:r w:rsidRPr="00C41351">
          <w:rPr>
            <w:sz w:val="22"/>
            <w:rFonts w:asciiTheme="minorHAnsi" w:hAnsiTheme="minorHAnsi" w:cstheme="minorHAnsi"/>
          </w:rPr>
          <w:instrText>PAGE   \* MERGEFORMAT</w:instrText>
        </w:r>
        <w:r w:rsidRPr="00C41351">
          <w:rPr>
            <w:sz w:val="22"/>
            <w:rFonts w:asciiTheme="minorHAnsi" w:hAnsiTheme="minorHAnsi" w:cstheme="minorHAnsi"/>
          </w:rPr>
          <w:fldChar w:fldCharType="separate"/>
        </w:r>
        <w:r w:rsidR="00673759">
          <w:rPr>
            <w:sz w:val="22"/>
            <w:rFonts w:asciiTheme="minorHAnsi" w:hAnsiTheme="minorHAnsi" w:cstheme="minorHAnsi"/>
          </w:rPr>
          <w:t>8</w:t>
        </w:r>
        <w:r w:rsidRPr="00C41351">
          <w:rPr>
            <w:sz w:val="22"/>
            <w:rFonts w:asciiTheme="minorHAnsi" w:hAnsiTheme="minorHAnsi" w:cstheme="minorHAnsi"/>
          </w:rPr>
          <w:fldChar w:fldCharType="end"/>
        </w:r>
      </w:p>
    </w:sdtContent>
  </w:sdt>
  <w:p w:rsidR="00793947" w:rsidRDefault="007939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DB6" w:rsidRDefault="00F32DB6" w:rsidP="00986629">
      <w:r>
        <w:separator/>
      </w:r>
    </w:p>
  </w:footnote>
  <w:footnote w:type="continuationSeparator" w:id="0">
    <w:p w:rsidR="00F32DB6" w:rsidRDefault="00F32DB6" w:rsidP="00986629">
      <w:r>
        <w:continuationSeparator/>
      </w:r>
    </w:p>
  </w:footnote>
  <w:footnote w:id="1">
    <w:p w:rsidR="00CF50DB" w:rsidRDefault="00CF50DB" w:rsidP="00CF50DB">
      <w:pPr>
        <w:pStyle w:val="Funotentext"/>
      </w:pPr>
      <w:r>
        <w:rPr>
          <w:rStyle w:val="Funotenzeichen"/>
        </w:rPr>
        <w:footnoteRef/>
      </w:r>
      <w:r>
        <w:t xml:space="preserve"> </w:t>
      </w:r>
      <w:r>
        <w:rPr>
          <w:rFonts w:asciiTheme="minorHAnsi" w:hAnsiTheme="minorHAnsi"/>
        </w:rPr>
        <w:t xml:space="preserve">Aanmelding heeft plaatsgevonden overeenkomstig Richtlijn (EU) 2015/1535 van het Europees Parlement en de Raad van 9 september 2015 betreffende een informatieprocedure op het gebied van technische voorschriften en regels betreffende de diensten van de informatiemaatschappij. (PB L 241, 17.9.2015, blz.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629" w:rsidRPr="00986629" w:rsidRDefault="00986629">
    <w:pPr>
      <w:pStyle w:val="Kopfzeile"/>
      <w:rPr>
        <w:sz w:val="16"/>
      </w:rPr>
    </w:pPr>
    <w:r>
      <w:rPr>
        <w:sz w:val="20"/>
      </w:rPr>
      <w:br/>
    </w:r>
    <w:r>
      <w:drawing>
        <wp:anchor distT="0" distB="0" distL="114300" distR="114300" simplePos="0" relativeHeight="251658240" behindDoc="0" locked="1" layoutInCell="1" allowOverlap="1">
          <wp:simplePos x="0" y="0"/>
          <wp:positionH relativeFrom="page">
            <wp:posOffset>4425950</wp:posOffset>
          </wp:positionH>
          <wp:positionV relativeFrom="page">
            <wp:posOffset>400685</wp:posOffset>
          </wp:positionV>
          <wp:extent cx="2172970" cy="510540"/>
          <wp:effectExtent l="0" t="0" r="0" b="3810"/>
          <wp:wrapNone/>
          <wp:docPr id="2"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970" cy="510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br/>
    </w:r>
    <w:r>
      <w:rPr>
        <w:sz w:val="20"/>
      </w:rPr>
      <w:br/>
    </w:r>
  </w:p>
  <w:p w:rsidR="00986629" w:rsidRDefault="009866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5E2F"/>
    <w:multiLevelType w:val="hybridMultilevel"/>
    <w:tmpl w:val="18DABDC4"/>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 w15:restartNumberingAfterBreak="0">
    <w:nsid w:val="06051896"/>
    <w:multiLevelType w:val="hybridMultilevel"/>
    <w:tmpl w:val="EFC056D6"/>
    <w:lvl w:ilvl="0" w:tplc="683A0714">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 w15:restartNumberingAfterBreak="0">
    <w:nsid w:val="07184E44"/>
    <w:multiLevelType w:val="hybridMultilevel"/>
    <w:tmpl w:val="90D252CA"/>
    <w:lvl w:ilvl="0" w:tplc="232480C8">
      <w:start w:val="7"/>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663BE0"/>
    <w:multiLevelType w:val="hybridMultilevel"/>
    <w:tmpl w:val="985221C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A35CFB"/>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8E5509B"/>
    <w:multiLevelType w:val="hybridMultilevel"/>
    <w:tmpl w:val="51242B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D7D09E5"/>
    <w:multiLevelType w:val="hybridMultilevel"/>
    <w:tmpl w:val="20A490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E6E209C"/>
    <w:multiLevelType w:val="hybridMultilevel"/>
    <w:tmpl w:val="26E44CA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34F459E"/>
    <w:multiLevelType w:val="hybridMultilevel"/>
    <w:tmpl w:val="D2EC5AA2"/>
    <w:lvl w:ilvl="0" w:tplc="18A608C6">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107088F"/>
    <w:multiLevelType w:val="hybridMultilevel"/>
    <w:tmpl w:val="5A586D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2ED627A"/>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6D4295E"/>
    <w:multiLevelType w:val="hybridMultilevel"/>
    <w:tmpl w:val="5F7A48D2"/>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2" w15:restartNumberingAfterBreak="0">
    <w:nsid w:val="36ED5ED2"/>
    <w:multiLevelType w:val="hybridMultilevel"/>
    <w:tmpl w:val="102A79D4"/>
    <w:lvl w:ilvl="0" w:tplc="533E0752">
      <w:start w:val="4"/>
      <w:numFmt w:val="bullet"/>
      <w:lvlText w:val="•"/>
      <w:lvlJc w:val="left"/>
      <w:pPr>
        <w:ind w:left="1146" w:hanging="360"/>
      </w:pPr>
      <w:rPr>
        <w:rFonts w:ascii="Calibri" w:eastAsia="Times New Roman" w:hAnsi="Calibri" w:cs="Times New Roman"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3" w15:restartNumberingAfterBreak="0">
    <w:nsid w:val="38107676"/>
    <w:multiLevelType w:val="hybridMultilevel"/>
    <w:tmpl w:val="A37424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BA021BB"/>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CE023A2"/>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FBF55E0"/>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0611B0F"/>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20A4431"/>
    <w:multiLevelType w:val="hybridMultilevel"/>
    <w:tmpl w:val="2EBEBD2A"/>
    <w:lvl w:ilvl="0" w:tplc="71568D74">
      <w:start w:val="1"/>
      <w:numFmt w:val="decimal"/>
      <w:lvlText w:val="%1."/>
      <w:lvlJc w:val="left"/>
      <w:pPr>
        <w:ind w:left="720" w:hanging="360"/>
      </w:pPr>
      <w:rPr>
        <w:rFonts w:asciiTheme="minorHAnsi" w:hAnsiTheme="minorHAnsi" w:cs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2DB1BCD"/>
    <w:multiLevelType w:val="hybridMultilevel"/>
    <w:tmpl w:val="AE6A8532"/>
    <w:lvl w:ilvl="0" w:tplc="2DF45302">
      <w:start w:val="1"/>
      <w:numFmt w:val="decimal"/>
      <w:lvlText w:val="%1."/>
      <w:lvlJc w:val="left"/>
      <w:pPr>
        <w:ind w:left="720" w:hanging="360"/>
      </w:pPr>
      <w:rPr>
        <w:strike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9371A26"/>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AAA1800"/>
    <w:multiLevelType w:val="hybridMultilevel"/>
    <w:tmpl w:val="FA22ABB6"/>
    <w:lvl w:ilvl="0" w:tplc="0407000F">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C8C61D4"/>
    <w:multiLevelType w:val="hybridMultilevel"/>
    <w:tmpl w:val="578E6428"/>
    <w:lvl w:ilvl="0" w:tplc="1E38CADE">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3" w15:restartNumberingAfterBreak="0">
    <w:nsid w:val="4DCA13AA"/>
    <w:multiLevelType w:val="hybridMultilevel"/>
    <w:tmpl w:val="079668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FCB7322"/>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7743BE5"/>
    <w:multiLevelType w:val="hybridMultilevel"/>
    <w:tmpl w:val="0E88EBC8"/>
    <w:lvl w:ilvl="0" w:tplc="274A954C">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8685FB1"/>
    <w:multiLevelType w:val="hybridMultilevel"/>
    <w:tmpl w:val="F01601A0"/>
    <w:lvl w:ilvl="0" w:tplc="24ECC678">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B4070C1"/>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DCF0F6C"/>
    <w:multiLevelType w:val="hybridMultilevel"/>
    <w:tmpl w:val="5356724C"/>
    <w:lvl w:ilvl="0" w:tplc="2D9C354C">
      <w:start w:val="1"/>
      <w:numFmt w:val="decimal"/>
      <w:lvlText w:val="%1."/>
      <w:lvlJc w:val="left"/>
      <w:pPr>
        <w:ind w:left="360" w:hanging="360"/>
      </w:pPr>
      <w:rPr>
        <w:rFonts w:asciiTheme="minorHAnsi" w:hAnsiTheme="minorHAnsi" w:cstheme="minorHAnsi"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F1B679E"/>
    <w:multiLevelType w:val="hybridMultilevel"/>
    <w:tmpl w:val="18E8C4F4"/>
    <w:lvl w:ilvl="0" w:tplc="ABD6BEBC">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FB310F1"/>
    <w:multiLevelType w:val="hybridMultilevel"/>
    <w:tmpl w:val="49C8E2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29256E5"/>
    <w:multiLevelType w:val="hybridMultilevel"/>
    <w:tmpl w:val="9C4484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4BF2FD9"/>
    <w:multiLevelType w:val="hybridMultilevel"/>
    <w:tmpl w:val="BC302260"/>
    <w:lvl w:ilvl="0" w:tplc="B422F4C4">
      <w:start w:val="4"/>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5901D5B"/>
    <w:multiLevelType w:val="hybridMultilevel"/>
    <w:tmpl w:val="37307526"/>
    <w:lvl w:ilvl="0" w:tplc="951E0C1C">
      <w:start w:val="6"/>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1715989"/>
    <w:multiLevelType w:val="hybridMultilevel"/>
    <w:tmpl w:val="C7B611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6507B0"/>
    <w:multiLevelType w:val="hybridMultilevel"/>
    <w:tmpl w:val="D9DA2D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7072854"/>
    <w:multiLevelType w:val="hybridMultilevel"/>
    <w:tmpl w:val="230E27C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7AB94F96"/>
    <w:multiLevelType w:val="hybridMultilevel"/>
    <w:tmpl w:val="7F9018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B2C0987"/>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BD45114"/>
    <w:multiLevelType w:val="hybridMultilevel"/>
    <w:tmpl w:val="4FACE3C8"/>
    <w:lvl w:ilvl="0" w:tplc="9FF4C736">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DE8053D"/>
    <w:multiLevelType w:val="hybridMultilevel"/>
    <w:tmpl w:val="712C2D8E"/>
    <w:lvl w:ilvl="0" w:tplc="90C0BA88">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7DFB5C93"/>
    <w:multiLevelType w:val="hybridMultilevel"/>
    <w:tmpl w:val="664E4A22"/>
    <w:lvl w:ilvl="0" w:tplc="0D56F5BE">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9"/>
  </w:num>
  <w:num w:numId="3">
    <w:abstractNumId w:val="13"/>
  </w:num>
  <w:num w:numId="4">
    <w:abstractNumId w:val="6"/>
  </w:num>
  <w:num w:numId="5">
    <w:abstractNumId w:val="11"/>
  </w:num>
  <w:num w:numId="6">
    <w:abstractNumId w:val="1"/>
  </w:num>
  <w:num w:numId="7">
    <w:abstractNumId w:val="0"/>
  </w:num>
  <w:num w:numId="8">
    <w:abstractNumId w:val="22"/>
  </w:num>
  <w:num w:numId="9">
    <w:abstractNumId w:val="31"/>
  </w:num>
  <w:num w:numId="10">
    <w:abstractNumId w:val="12"/>
  </w:num>
  <w:num w:numId="11">
    <w:abstractNumId w:val="4"/>
  </w:num>
  <w:num w:numId="12">
    <w:abstractNumId w:val="34"/>
  </w:num>
  <w:num w:numId="13">
    <w:abstractNumId w:val="23"/>
  </w:num>
  <w:num w:numId="14">
    <w:abstractNumId w:val="37"/>
  </w:num>
  <w:num w:numId="15">
    <w:abstractNumId w:val="5"/>
  </w:num>
  <w:num w:numId="16">
    <w:abstractNumId w:val="30"/>
  </w:num>
  <w:num w:numId="17">
    <w:abstractNumId w:val="36"/>
  </w:num>
  <w:num w:numId="18">
    <w:abstractNumId w:val="28"/>
  </w:num>
  <w:num w:numId="19">
    <w:abstractNumId w:val="35"/>
  </w:num>
  <w:num w:numId="20">
    <w:abstractNumId w:val="7"/>
  </w:num>
  <w:num w:numId="21">
    <w:abstractNumId w:val="18"/>
  </w:num>
  <w:num w:numId="22">
    <w:abstractNumId w:val="19"/>
  </w:num>
  <w:num w:numId="23">
    <w:abstractNumId w:val="21"/>
  </w:num>
  <w:num w:numId="24">
    <w:abstractNumId w:val="8"/>
  </w:num>
  <w:num w:numId="25">
    <w:abstractNumId w:val="25"/>
  </w:num>
  <w:num w:numId="26">
    <w:abstractNumId w:val="41"/>
  </w:num>
  <w:num w:numId="27">
    <w:abstractNumId w:val="40"/>
  </w:num>
  <w:num w:numId="28">
    <w:abstractNumId w:val="26"/>
  </w:num>
  <w:num w:numId="29">
    <w:abstractNumId w:val="39"/>
  </w:num>
  <w:num w:numId="30">
    <w:abstractNumId w:val="29"/>
  </w:num>
  <w:num w:numId="31">
    <w:abstractNumId w:val="32"/>
  </w:num>
  <w:num w:numId="32">
    <w:abstractNumId w:val="33"/>
  </w:num>
  <w:num w:numId="33">
    <w:abstractNumId w:val="2"/>
  </w:num>
  <w:num w:numId="34">
    <w:abstractNumId w:val="16"/>
  </w:num>
  <w:num w:numId="35">
    <w:abstractNumId w:val="20"/>
  </w:num>
  <w:num w:numId="36">
    <w:abstractNumId w:val="38"/>
  </w:num>
  <w:num w:numId="37">
    <w:abstractNumId w:val="24"/>
  </w:num>
  <w:num w:numId="38">
    <w:abstractNumId w:val="14"/>
  </w:num>
  <w:num w:numId="39">
    <w:abstractNumId w:val="27"/>
  </w:num>
  <w:num w:numId="40">
    <w:abstractNumId w:val="17"/>
  </w:num>
  <w:num w:numId="41">
    <w:abstractNumId w:val="10"/>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C25"/>
    <w:rsid w:val="000045F8"/>
    <w:rsid w:val="00011024"/>
    <w:rsid w:val="000C657E"/>
    <w:rsid w:val="00133120"/>
    <w:rsid w:val="001333BE"/>
    <w:rsid w:val="001607B9"/>
    <w:rsid w:val="001D1CDD"/>
    <w:rsid w:val="001D2E17"/>
    <w:rsid w:val="00202046"/>
    <w:rsid w:val="00251322"/>
    <w:rsid w:val="002644D4"/>
    <w:rsid w:val="00281091"/>
    <w:rsid w:val="002A4057"/>
    <w:rsid w:val="002A4368"/>
    <w:rsid w:val="002C21BC"/>
    <w:rsid w:val="003564B3"/>
    <w:rsid w:val="003C28A6"/>
    <w:rsid w:val="003D2EE7"/>
    <w:rsid w:val="003E6BAD"/>
    <w:rsid w:val="004303CE"/>
    <w:rsid w:val="0045797A"/>
    <w:rsid w:val="004F1AEC"/>
    <w:rsid w:val="00511D74"/>
    <w:rsid w:val="00521970"/>
    <w:rsid w:val="00575BA9"/>
    <w:rsid w:val="005C3C1E"/>
    <w:rsid w:val="005D5943"/>
    <w:rsid w:val="00650B4F"/>
    <w:rsid w:val="00673759"/>
    <w:rsid w:val="00691044"/>
    <w:rsid w:val="006E5D47"/>
    <w:rsid w:val="00702C72"/>
    <w:rsid w:val="007417F7"/>
    <w:rsid w:val="00793947"/>
    <w:rsid w:val="007D4A2A"/>
    <w:rsid w:val="00816EE9"/>
    <w:rsid w:val="00817E45"/>
    <w:rsid w:val="0083446E"/>
    <w:rsid w:val="00862E68"/>
    <w:rsid w:val="0089595F"/>
    <w:rsid w:val="008C60A0"/>
    <w:rsid w:val="008F77BA"/>
    <w:rsid w:val="009217BC"/>
    <w:rsid w:val="00986629"/>
    <w:rsid w:val="009C24A4"/>
    <w:rsid w:val="00AD10EE"/>
    <w:rsid w:val="00AE0EB4"/>
    <w:rsid w:val="00AE3223"/>
    <w:rsid w:val="00AF7A0C"/>
    <w:rsid w:val="00B126BF"/>
    <w:rsid w:val="00B21DD1"/>
    <w:rsid w:val="00B25AAD"/>
    <w:rsid w:val="00B50565"/>
    <w:rsid w:val="00B82C25"/>
    <w:rsid w:val="00B93BDE"/>
    <w:rsid w:val="00BA4949"/>
    <w:rsid w:val="00C41351"/>
    <w:rsid w:val="00C65B4D"/>
    <w:rsid w:val="00C902B9"/>
    <w:rsid w:val="00C90B7C"/>
    <w:rsid w:val="00CF50DB"/>
    <w:rsid w:val="00D234F3"/>
    <w:rsid w:val="00D622FF"/>
    <w:rsid w:val="00D87095"/>
    <w:rsid w:val="00DC1A2C"/>
    <w:rsid w:val="00DD3710"/>
    <w:rsid w:val="00DF0BF7"/>
    <w:rsid w:val="00E14290"/>
    <w:rsid w:val="00E52E94"/>
    <w:rsid w:val="00EF480D"/>
    <w:rsid w:val="00F32DB6"/>
    <w:rsid w:val="00F33CAE"/>
    <w:rsid w:val="00F40F94"/>
    <w:rsid w:val="00F65A92"/>
    <w:rsid w:val="00FA60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A0877444-1310-4159-A6DA-9FFF7C70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jc w:val="center"/>
      <w:outlineLvl w:val="0"/>
    </w:pPr>
    <w:rPr>
      <w:rFonts w:ascii="Arial" w:hAnsi="Arial"/>
      <w:b/>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Default">
    <w:name w:val="Default"/>
    <w:rPr>
      <w:rFonts w:ascii="Calibri" w:hAnsi="Calibri"/>
      <w:color w:val="000000"/>
      <w:sz w:val="24"/>
    </w:rPr>
  </w:style>
  <w:style w:type="paragraph" w:styleId="Textkrper">
    <w:name w:val="Body Text"/>
    <w:basedOn w:val="Standard"/>
    <w:rPr>
      <w:rFonts w:ascii="Arial" w:hAnsi="Arial"/>
      <w:sz w:val="21"/>
    </w:rPr>
  </w:style>
  <w:style w:type="character" w:customStyle="1" w:styleId="KommentartextZchn">
    <w:name w:val="Kommentartext Zchn"/>
    <w:link w:val="Kommentartext"/>
    <w:locked/>
    <w:rPr>
      <w:lang w:val="nl-NL" w:eastAsia="de-DE" w:bidi="ar-SA"/>
    </w:rPr>
  </w:style>
  <w:style w:type="paragraph" w:styleId="Kopfzeile">
    <w:name w:val="header"/>
    <w:basedOn w:val="Standard"/>
    <w:link w:val="KopfzeileZchn"/>
    <w:rsid w:val="00986629"/>
    <w:pPr>
      <w:tabs>
        <w:tab w:val="center" w:pos="4536"/>
        <w:tab w:val="right" w:pos="9072"/>
      </w:tabs>
    </w:pPr>
  </w:style>
  <w:style w:type="character" w:customStyle="1" w:styleId="KopfzeileZchn">
    <w:name w:val="Kopfzeile Zchn"/>
    <w:link w:val="Kopfzeile"/>
    <w:uiPriority w:val="99"/>
    <w:rsid w:val="00986629"/>
    <w:rPr>
      <w:sz w:val="24"/>
      <w:szCs w:val="24"/>
    </w:rPr>
  </w:style>
  <w:style w:type="paragraph" w:styleId="Fuzeile">
    <w:name w:val="footer"/>
    <w:basedOn w:val="Standard"/>
    <w:link w:val="FuzeileZchn"/>
    <w:uiPriority w:val="99"/>
    <w:rsid w:val="00986629"/>
    <w:pPr>
      <w:tabs>
        <w:tab w:val="center" w:pos="4536"/>
        <w:tab w:val="right" w:pos="9072"/>
      </w:tabs>
    </w:pPr>
  </w:style>
  <w:style w:type="character" w:customStyle="1" w:styleId="FuzeileZchn">
    <w:name w:val="Fußzeile Zchn"/>
    <w:link w:val="Fuzeile"/>
    <w:uiPriority w:val="99"/>
    <w:rsid w:val="00986629"/>
    <w:rPr>
      <w:sz w:val="24"/>
      <w:szCs w:val="24"/>
    </w:rPr>
  </w:style>
  <w:style w:type="paragraph" w:customStyle="1" w:styleId="GGSZ">
    <w:name w:val="GGS ZÜ"/>
    <w:basedOn w:val="Standard"/>
    <w:link w:val="GGSZZchn"/>
    <w:uiPriority w:val="4"/>
    <w:qFormat/>
    <w:rsid w:val="005D5943"/>
    <w:pPr>
      <w:spacing w:before="120"/>
    </w:pPr>
    <w:rPr>
      <w:rFonts w:asciiTheme="minorHAnsi" w:hAnsiTheme="minorHAnsi"/>
      <w:b/>
      <w:sz w:val="22"/>
    </w:rPr>
  </w:style>
  <w:style w:type="character" w:customStyle="1" w:styleId="GGSZZchn">
    <w:name w:val="GGS ZÜ Zchn"/>
    <w:basedOn w:val="Absatz-Standardschriftart"/>
    <w:link w:val="GGSZ"/>
    <w:uiPriority w:val="4"/>
    <w:rsid w:val="005D5943"/>
    <w:rPr>
      <w:rFonts w:asciiTheme="minorHAnsi" w:hAnsiTheme="minorHAnsi"/>
      <w:b/>
      <w:sz w:val="22"/>
      <w:szCs w:val="24"/>
    </w:rPr>
  </w:style>
  <w:style w:type="paragraph" w:styleId="Listenabsatz">
    <w:name w:val="List Paragraph"/>
    <w:basedOn w:val="Standard"/>
    <w:uiPriority w:val="34"/>
    <w:qFormat/>
    <w:rsid w:val="00650B4F"/>
    <w:pPr>
      <w:ind w:left="720"/>
      <w:contextualSpacing/>
    </w:pPr>
  </w:style>
  <w:style w:type="paragraph" w:styleId="Funotentext">
    <w:name w:val="footnote text"/>
    <w:basedOn w:val="Standard"/>
    <w:link w:val="FunotentextZchn"/>
    <w:rsid w:val="00CF50DB"/>
    <w:rPr>
      <w:sz w:val="20"/>
      <w:szCs w:val="20"/>
    </w:rPr>
  </w:style>
  <w:style w:type="character" w:customStyle="1" w:styleId="FunotentextZchn">
    <w:name w:val="Fußnotentext Zchn"/>
    <w:basedOn w:val="Absatz-Standardschriftart"/>
    <w:link w:val="Funotentext"/>
    <w:rsid w:val="00CF50DB"/>
  </w:style>
  <w:style w:type="character" w:styleId="Funotenzeichen">
    <w:name w:val="footnote reference"/>
    <w:basedOn w:val="Absatz-Standardschriftart"/>
    <w:rsid w:val="00CF50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60007-F058-44F5-87D7-C0DBC8FAA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2426</Words>
  <Characters>15768</Characters>
  <Application>Microsoft Office Word</Application>
  <DocSecurity>4</DocSecurity>
  <Lines>131</Lines>
  <Paragraphs>36</Paragraphs>
  <ScaleCrop>false</ScaleCrop>
  <HeadingPairs>
    <vt:vector size="2" baseType="variant">
      <vt:variant>
        <vt:lpstr>Titel</vt:lpstr>
      </vt:variant>
      <vt:variant>
        <vt:i4>1</vt:i4>
      </vt:variant>
    </vt:vector>
  </HeadingPairs>
  <TitlesOfParts>
    <vt:vector size="1" baseType="lpstr">
      <vt:lpstr>Geschäfts- und Verfahrensordnung</vt:lpstr>
    </vt:vector>
  </TitlesOfParts>
  <Company>Bayer. Sozialgerichtsbarkeit</Company>
  <LinksUpToDate>false</LinksUpToDate>
  <CharactersWithSpaces>18158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Geschäfts- und Verfahrensordnung</dc:title>
  <dc:subject/>
  <dc:creator>Sigmar.Roll</dc:creator>
  <cp:keywords/>
  <cp:lastModifiedBy>Redmann, Petra, EC2</cp:lastModifiedBy>
  <cp:revision>2</cp:revision>
  <cp:lastPrinted>2014-01-13T11:15:00Z</cp:lastPrinted>
  <dcterms:created xsi:type="dcterms:W3CDTF">2021-03-16T11:15:00Z</dcterms:created>
  <dcterms:modified xsi:type="dcterms:W3CDTF">2021-03-16T11:15:00Z</dcterms:modified>
</cp:coreProperties>
</file>